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Here’s a </w:t>
      </w:r>
      <w:r>
        <w:rPr>
          <w:b/>
          <w:bCs/>
          <w:rStyle w:val="Normal"/>
        </w:rPr>
        <w:t xml:space="preserve">concise summary</w:t>
      </w:r>
      <w:r>
        <w:rPr>
          <w:rStyle w:val="Normal"/>
        </w:rPr>
        <w:t xml:space="preserve"> of the document you shared: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b/>
          <w:bCs/>
          <w:rStyle w:val="Normal"/>
        </w:rPr>
        <w:t xml:space="preserve">Apple Inc. – Annual Report on Form 10-K (Fiscal Year Ended September 28, 2024)</w:t>
      </w:r>
    </w:p>
    <w:p>
      <w:pPr>
        <w:pStyle w:val="Heading4"/>
      </w:pPr>
      <w:r>
        <w:rPr>
          <w:b/>
          <w:bCs/>
          <w:rStyle w:val="Normal"/>
        </w:rPr>
        <w:t xml:space="preserve">Company Overview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Designs, manufactures, and markets </w:t>
      </w:r>
      <w:r>
        <w:rPr>
          <w:b/>
          <w:bCs/>
          <w:rStyle w:val="Normal"/>
        </w:rPr>
        <w:t xml:space="preserve">iPhone, Mac, iPad, wearables, accessories</w:t>
      </w:r>
      <w:r>
        <w:rPr>
          <w:rStyle w:val="Normal"/>
        </w:rPr>
        <w:t xml:space="preserve">, and offers </w:t>
      </w:r>
      <w:r>
        <w:rPr>
          <w:b/>
          <w:bCs/>
          <w:rStyle w:val="Normal"/>
        </w:rPr>
        <w:t xml:space="preserve">services</w:t>
      </w:r>
      <w:r>
        <w:rPr>
          <w:rStyle w:val="Normal"/>
        </w:rPr>
        <w:t xml:space="preserve"> (App Store, Apple Music, iCloud, AppleCare, Apple Pay, etc.).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Operates globally with segments: </w:t>
      </w:r>
      <w:r>
        <w:rPr>
          <w:b/>
          <w:bCs/>
          <w:rStyle w:val="Normal"/>
        </w:rPr>
        <w:t xml:space="preserve">Americas, Europe, Greater China, Japan, Rest of Asia Pacific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Workforce: ~164,000 employees; emphasis on inclusion, diversity, and employee development.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b/>
          <w:bCs/>
          <w:rStyle w:val="Normal"/>
        </w:rPr>
        <w:t xml:space="preserve">Key Financial Highlights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Net Sales:</w:t>
      </w:r>
      <w:r>
        <w:rPr>
          <w:rStyle w:val="Normal"/>
        </w:rPr>
        <w:t xml:space="preserve"> $391.0B (↑2% YoY)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Products: $294.9B (flat)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3"/>
        </w:numPr>
      </w:pPr>
      <w:r>
        <w:rPr>
          <w:rStyle w:val="Normal"/>
        </w:rPr>
        <w:t xml:space="preserve">iPhone: $201.2B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3"/>
        </w:numPr>
      </w:pPr>
      <w:r>
        <w:rPr>
          <w:rStyle w:val="Normal"/>
        </w:rPr>
        <w:t xml:space="preserve">Mac: $30.0B (↑2%)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3"/>
        </w:numPr>
      </w:pPr>
      <w:r>
        <w:rPr>
          <w:rStyle w:val="Normal"/>
        </w:rPr>
        <w:t xml:space="preserve">iPad: $26.7B (↓9%)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3"/>
        </w:numPr>
      </w:pPr>
      <w:r>
        <w:rPr>
          <w:rStyle w:val="Normal"/>
        </w:rPr>
        <w:t xml:space="preserve">Wearables/Home/Accessories: $28.3B (↓27%)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Services: $96.2B (↑13%)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Net Income:</w:t>
      </w:r>
      <w:r>
        <w:rPr>
          <w:rStyle w:val="Normal"/>
        </w:rPr>
        <w:t xml:space="preserve"> $93.7B (↓3% YoY)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Gross Margin:</w:t>
      </w:r>
      <w:r>
        <w:rPr>
          <w:rStyle w:val="Normal"/>
        </w:rPr>
        <w:t xml:space="preserve"> 46.2% overall; Services margin ~74%.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Cash &amp; Marketable Securities:</w:t>
      </w:r>
      <w:r>
        <w:rPr>
          <w:rStyle w:val="Normal"/>
        </w:rPr>
        <w:t xml:space="preserve"> $140.8B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Debt:</w:t>
      </w:r>
      <w:r>
        <w:rPr>
          <w:rStyle w:val="Normal"/>
        </w:rPr>
        <w:t xml:space="preserve"> $97.3B outstanding notes; $10B commercial paper.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Shareholder Returns:</w:t>
      </w:r>
      <w:r>
        <w:rPr>
          <w:rStyle w:val="Normal"/>
        </w:rPr>
        <w:t xml:space="preserve"> $95B share repurchases; $15.2B dividends.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b/>
          <w:bCs/>
          <w:rStyle w:val="Normal"/>
        </w:rPr>
        <w:t xml:space="preserve">Major Events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Product Launches:</w:t>
      </w:r>
      <w:r>
        <w:rPr>
          <w:rStyle w:val="Normal"/>
        </w:rPr>
        <w:t xml:space="preserve"> iPhone 16 series, Apple Watch Series 10, AirPods 4, Apple Vision Pro.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Software Updates:</w:t>
      </w:r>
      <w:r>
        <w:rPr>
          <w:rStyle w:val="Normal"/>
        </w:rPr>
        <w:t xml:space="preserve"> iOS 18, macOS Sequoia, watchOS 11, visionOS 2.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Apple Intelligence™:</w:t>
      </w:r>
      <w:r>
        <w:rPr>
          <w:rStyle w:val="Normal"/>
        </w:rPr>
        <w:t xml:space="preserve"> New generative AI-based personal intelligence system.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b/>
          <w:bCs/>
          <w:rStyle w:val="Normal"/>
        </w:rPr>
        <w:t xml:space="preserve">Risk Factors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Global economic uncertainty, supply chain concentration in Asia.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Intense competition in hardware and services.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Regulatory and legal challenges (antitrust, privacy, DMA compliance in EU).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Cybersecurity threats and data protection obligations.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Dependence on component suppliers and third-party developers.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b/>
          <w:bCs/>
          <w:rStyle w:val="Normal"/>
        </w:rPr>
        <w:t xml:space="preserve">Legal Proceedings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EU Digital Markets Act:</w:t>
      </w:r>
      <w:r>
        <w:rPr>
          <w:rStyle w:val="Normal"/>
        </w:rPr>
        <w:t xml:space="preserve"> Ongoing investigations; potential fines up to 10% of global revenue.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U.S. DOJ Antitrust Lawsuit:</w:t>
      </w:r>
      <w:r>
        <w:rPr>
          <w:rStyle w:val="Normal"/>
        </w:rPr>
        <w:t xml:space="preserve"> Alleged monopolization in smartphone markets.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Epic Games litigation:</w:t>
      </w:r>
      <w:r>
        <w:rPr>
          <w:rStyle w:val="Normal"/>
        </w:rPr>
        <w:t xml:space="preserve"> Compliance with injunction on App Store practices.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b/>
          <w:bCs/>
          <w:rStyle w:val="Normal"/>
        </w:rPr>
        <w:t xml:space="preserve">Tax &amp; Compliance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State Aid Decision:</w:t>
      </w:r>
      <w:r>
        <w:rPr>
          <w:rStyle w:val="Normal"/>
        </w:rPr>
        <w:t xml:space="preserve"> €14.2B ($15.8B) payable to Ireland after ECJ ruling; $10.2B one-time tax charge recorded.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Effective tax rate: 24.1% (↑ due to State Aid Decision).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b/>
          <w:bCs/>
          <w:rStyle w:val="Normal"/>
        </w:rPr>
        <w:t xml:space="preserve">Governance &amp; Controls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Strong internal controls; unqualified audit opinion by Ernst &amp; Young LLP.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Insider Trading Policy and Rule 10D-1 Recovery Policy implemented.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b/>
          <w:bCs/>
          <w:rStyle w:val="Normal"/>
        </w:rPr>
        <w:t xml:space="preserve">Forward-Looking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Focus on innovation (AI, spatial computing), expanding services, and managing regulatory changes.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Expect continued margin pressure and FX volatility.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Would you like me to also </w:t>
      </w:r>
      <w:r>
        <w:rPr>
          <w:b/>
          <w:bCs/>
          <w:rStyle w:val="Normal"/>
        </w:rPr>
        <w:t xml:space="preserve">create a visual dashboard</w:t>
      </w:r>
      <w:r>
        <w:rPr>
          <w:rStyle w:val="Normal"/>
        </w:rPr>
        <w:t xml:space="preserve"> (charts for revenue by segment, product category, and net income trend), or prepare a </w:t>
      </w:r>
      <w:r>
        <w:rPr>
          <w:b/>
          <w:bCs/>
          <w:rStyle w:val="Normal"/>
        </w:rPr>
        <w:t xml:space="preserve">one-page executive summary for stakeholders</w:t>
      </w:r>
      <w:r>
        <w:rPr>
          <w:rStyle w:val="Normal"/>
        </w:rPr>
        <w:t xml:space="preserve">?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2025-12-08T04:04:42.674Z</dcterms:created>
  <dcterms:modified xsi:type="dcterms:W3CDTF">2025-12-08T04:04:42.674Z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