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left"/>
      </w:pPr>
      <w:r>
        <w:rPr>
          <w:rFonts w:ascii="Microsoft YaHei" w:hAnsi="Microsoft YaHei" w:eastAsia="Microsoft YaHei"/>
          <w:b/>
          <w:color w:val="17324D"/>
          <w:sz w:val="50"/>
        </w:rPr>
        <w:t>提升数据与原论文</w:t>
        <w:br/>
        <w:t>逐项对比</w:t>
      </w:r>
    </w:p>
    <w:p>
      <w:pPr>
        <w:spacing w:before="160" w:after="360"/>
      </w:pPr>
      <w:r>
        <w:rPr>
          <w:rFonts w:ascii="Microsoft YaHei" w:hAnsi="Microsoft YaHei" w:eastAsia="Microsoft YaHei"/>
          <w:b/>
          <w:color w:val="237C82"/>
          <w:sz w:val="25"/>
        </w:rPr>
        <w:t>RTX 4060 本地实验：性能提升、可比性边界与原文位置索引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7257"/>
      </w:tblGrid>
      <w:tr>
        <w:tc>
          <w:tcPr>
            <w:tcW w:type="dxa" w:w="4933"/>
            <w:shd w:fill="E9F0F7"/>
            <w:tcMar>
              <w:top w:w="115" w:type="dxa"/>
              <w:start w:w="85" w:type="dxa"/>
              <w:bottom w:w="115" w:type="dxa"/>
              <w:end w:w="85" w:type="dxa"/>
            </w:tcMar>
            <w:tcBorders>
              <w:bottom w:val="single" w:sz="4" w:color="C7D4DF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对照论文</w:t>
            </w:r>
          </w:p>
        </w:tc>
        <w:tc>
          <w:tcPr>
            <w:tcW w:type="dxa" w:w="4933"/>
            <w:shd w:fill="E9F0F7"/>
            <w:tcMar>
              <w:top w:w="115" w:type="dxa"/>
              <w:start w:w="85" w:type="dxa"/>
              <w:bottom w:w="115" w:type="dxa"/>
              <w:end w:w="85" w:type="dxa"/>
            </w:tcMar>
            <w:tcBorders>
              <w:bottom w:val="single" w:sz="4" w:color="C7D4DF"/>
            </w:tcBorders>
          </w:tcPr>
          <w:p>
            <w:r/>
            <w:r>
              <w:rPr>
                <w:rFonts w:ascii="Microsoft YaHei" w:hAnsi="Microsoft YaHei" w:eastAsia="Microsoft YaHei"/>
                <w:color w:val="27313B"/>
                <w:sz w:val="17"/>
              </w:rPr>
              <w:t>Zhu et al., Analyzing bullet chats for recommendation intent identification: Dataset and method, Artificial Intelligence 355 (2026) 104528</w:t>
            </w:r>
          </w:p>
        </w:tc>
      </w:tr>
      <w:tr>
        <w:tc>
          <w:tcPr>
            <w:tcW w:type="dxa" w:w="4933"/>
            <w:shd w:fill="E9F0F7"/>
            <w:tcMar>
              <w:top w:w="115" w:type="dxa"/>
              <w:start w:w="85" w:type="dxa"/>
              <w:bottom w:w="115" w:type="dxa"/>
              <w:end w:w="85" w:type="dxa"/>
            </w:tcMar>
            <w:tcBorders>
              <w:bottom w:val="single" w:sz="4" w:color="C7D4DF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核心数据集</w:t>
            </w:r>
          </w:p>
        </w:tc>
        <w:tc>
          <w:tcPr>
            <w:tcW w:type="dxa" w:w="4933"/>
            <w:shd w:fill="E9F0F7"/>
            <w:tcMar>
              <w:top w:w="115" w:type="dxa"/>
              <w:start w:w="85" w:type="dxa"/>
              <w:bottom w:w="115" w:type="dxa"/>
              <w:end w:w="85" w:type="dxa"/>
            </w:tcMar>
            <w:tcBorders>
              <w:bottom w:val="single" w:sz="4" w:color="C7D4DF"/>
            </w:tcBorders>
          </w:tcPr>
          <w:p>
            <w:r/>
            <w:r>
              <w:rPr>
                <w:rFonts w:ascii="Microsoft YaHei" w:hAnsi="Microsoft YaHei" w:eastAsia="Microsoft YaHei"/>
                <w:color w:val="27313B"/>
                <w:sz w:val="17"/>
              </w:rPr>
              <w:t>RecDY；论文固定测试集，本地严格对照 n = 9,069</w:t>
            </w:r>
          </w:p>
        </w:tc>
      </w:tr>
      <w:tr>
        <w:tc>
          <w:tcPr>
            <w:tcW w:type="dxa" w:w="4933"/>
            <w:shd w:fill="E9F0F7"/>
            <w:tcMar>
              <w:top w:w="115" w:type="dxa"/>
              <w:start w:w="85" w:type="dxa"/>
              <w:bottom w:w="115" w:type="dxa"/>
              <w:end w:w="85" w:type="dxa"/>
            </w:tcMar>
            <w:tcBorders>
              <w:bottom w:val="single" w:sz="4" w:color="C7D4DF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本地环境</w:t>
            </w:r>
          </w:p>
        </w:tc>
        <w:tc>
          <w:tcPr>
            <w:tcW w:type="dxa" w:w="4933"/>
            <w:shd w:fill="E9F0F7"/>
            <w:tcMar>
              <w:top w:w="115" w:type="dxa"/>
              <w:start w:w="85" w:type="dxa"/>
              <w:bottom w:w="115" w:type="dxa"/>
              <w:end w:w="85" w:type="dxa"/>
            </w:tcMar>
            <w:tcBorders>
              <w:bottom w:val="single" w:sz="4" w:color="C7D4DF"/>
            </w:tcBorders>
          </w:tcPr>
          <w:p>
            <w:r/>
            <w:r>
              <w:rPr>
                <w:rFonts w:ascii="Microsoft YaHei" w:hAnsi="Microsoft YaHei" w:eastAsia="Microsoft YaHei"/>
                <w:color w:val="27313B"/>
                <w:sz w:val="17"/>
              </w:rPr>
              <w:t>NVIDIA GeForce RTX 4060 Laptop GPU，8 GB 显存</w:t>
            </w:r>
          </w:p>
        </w:tc>
      </w:tr>
      <w:tr>
        <w:tc>
          <w:tcPr>
            <w:tcW w:type="dxa" w:w="4933"/>
            <w:shd w:fill="E9F0F7"/>
            <w:tcMar>
              <w:top w:w="115" w:type="dxa"/>
              <w:start w:w="85" w:type="dxa"/>
              <w:bottom w:w="115" w:type="dxa"/>
              <w:end w:w="85" w:type="dxa"/>
            </w:tcMar>
            <w:tcBorders>
              <w:bottom w:val="single" w:sz="4" w:color="C7D4DF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17324D"/>
                <w:sz w:val="17"/>
              </w:rPr>
              <w:t>生成日期</w:t>
            </w:r>
          </w:p>
        </w:tc>
        <w:tc>
          <w:tcPr>
            <w:tcW w:type="dxa" w:w="4933"/>
            <w:shd w:fill="E9F0F7"/>
            <w:tcMar>
              <w:top w:w="115" w:type="dxa"/>
              <w:start w:w="85" w:type="dxa"/>
              <w:bottom w:w="115" w:type="dxa"/>
              <w:end w:w="85" w:type="dxa"/>
            </w:tcMar>
            <w:tcBorders>
              <w:bottom w:val="single" w:sz="4" w:color="C7D4DF"/>
            </w:tcBorders>
          </w:tcPr>
          <w:p>
            <w:r/>
            <w:r>
              <w:rPr>
                <w:rFonts w:ascii="Microsoft YaHei" w:hAnsi="Microsoft YaHei" w:eastAsia="Microsoft YaHei"/>
                <w:color w:val="27313B"/>
                <w:sz w:val="17"/>
              </w:rPr>
              <w:t>2026-07-18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9"/>
        <w:gridCol w:w="8107"/>
      </w:tblGrid>
      <w:tr>
        <w:tc>
          <w:tcPr>
            <w:tcW w:type="dxa" w:w="4933"/>
            <w:shd w:fill="E3F1EA"/>
            <w:tcMar>
              <w:top w:w="120" w:type="dxa"/>
              <w:start w:w="85" w:type="dxa"/>
              <w:bottom w:w="120" w:type="dxa"/>
              <w:end w:w="85" w:type="dxa"/>
            </w:tcMar>
            <w:tcBorders>
              <w:top w:val="single" w:sz="4" w:color="2D7C55"/>
              <w:bottom w:val="single" w:sz="4" w:color="2D7C55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D7C55"/>
                <w:sz w:val="17"/>
              </w:rPr>
              <w:t>一句话结论</w:t>
            </w:r>
          </w:p>
        </w:tc>
        <w:tc>
          <w:tcPr>
            <w:tcW w:type="dxa" w:w="4933"/>
            <w:shd w:fill="E3F1EA"/>
            <w:tcMar>
              <w:top w:w="120" w:type="dxa"/>
              <w:start w:w="85" w:type="dxa"/>
              <w:bottom w:w="120" w:type="dxa"/>
              <w:end w:w="85" w:type="dxa"/>
            </w:tcMar>
            <w:tcBorders>
              <w:top w:val="single" w:sz="4" w:color="2D7C55"/>
              <w:bottom w:val="single" w:sz="4" w:color="2D7C55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color w:val="27313B"/>
                <w:sz w:val="17"/>
              </w:rPr>
              <w:t>本地低成本方案在内部实验上取得可重复的局部提升；与论文 Table 5 最接近的独立运行仍低 1.23 pp，而 70-shot 三模型工程集成达到 81.65%，高 2.42 pp，但它使用了更大的累计标注覆盖，不能表述为同预算单模型超过 SPT-RII。</w:t>
            </w:r>
          </w:p>
        </w:tc>
      </w:tr>
    </w:tbl>
    <w:p>
      <w:pPr>
        <w:spacing w:after="0"/>
      </w:pPr>
    </w:p>
    <w:p>
      <w:pPr>
        <w:spacing w:before="440"/>
      </w:pPr>
      <w:r>
        <w:rPr>
          <w:rFonts w:ascii="Microsoft YaHei" w:hAnsi="Microsoft YaHei" w:eastAsia="Microsoft YaHei"/>
          <w:color w:val="5F6872"/>
          <w:sz w:val="18"/>
        </w:rPr>
        <w:t>文档性质：独立实验对比附件  ·  数据、图、位置一一对应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24D"/>
          <w:sz w:val="34"/>
        </w:rPr>
        <w:t>1. 结论先行</w:t>
      </w:r>
    </w:p>
    <w:p>
      <w:pPr>
        <w:spacing w:before="0" w:after="140" w:line="324" w:lineRule="auto"/>
      </w:pPr>
      <w:r>
        <w:rPr>
          <w:rFonts w:ascii="Microsoft YaHei" w:hAnsi="Microsoft YaHei" w:eastAsia="Microsoft YaHei"/>
          <w:color w:val="27313B"/>
          <w:sz w:val="19"/>
        </w:rPr>
        <w:t>本项目没有完整复现 SPT-RII 的 soft prompt、BiLSTM prompt interaction、动态 verbalizer 和词性/语义锚更新，而是在 RTX 4060 8 GB 条件下建立了一条低成本替代路线：扩大训练规模、压缩解释、验证集/OOF 融合、三种子概率集成，以及只在低置信样本上调用 Qwen 的不确定性门控。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76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比较层级</w:t>
            </w:r>
          </w:p>
        </w:tc>
        <w:tc>
          <w:tcPr>
            <w:tcW w:type="dxa" w:w="1928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实验</w:t>
            </w:r>
          </w:p>
        </w:tc>
        <w:tc>
          <w:tcPr>
            <w:tcW w:type="dxa" w:w="2069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本地结果</w:t>
            </w:r>
          </w:p>
        </w:tc>
        <w:tc>
          <w:tcPr>
            <w:tcW w:type="dxa" w:w="1814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原论文参照</w:t>
            </w:r>
          </w:p>
        </w:tc>
        <w:tc>
          <w:tcPr>
            <w:tcW w:type="dxa" w:w="964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变化</w:t>
            </w:r>
          </w:p>
        </w:tc>
        <w:tc>
          <w:tcPr>
            <w:tcW w:type="dxa" w:w="1332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判定</w:t>
            </w:r>
          </w:p>
        </w:tc>
      </w:tr>
      <w:tr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E9F0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严格对齐论文 Table 5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E9F0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70-shot 独立运行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E9F0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78.00±0.14%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E9F0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论文 79.23±0.31%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E9F0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-1.23 pp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E9F0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最接近同协议</w:t>
            </w:r>
          </w:p>
        </w:tc>
      </w:tr>
      <w:tr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8EED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工程集成点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8EED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70-shot 三种子概率集成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8EED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81.65%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8EED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论文 79.23±0.31%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8EED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+2.42 pp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8EED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累计标签预算更大</w:t>
            </w:r>
          </w:p>
        </w:tc>
      </w:tr>
      <w:tr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内部改进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TF-IDF，1000 训练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82.29% → 83.82%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不同测试协议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+1.53 pp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CI 跨 0</w:t>
            </w:r>
          </w:p>
        </w:tc>
      </w:tr>
      <w:tr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内部改进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RoBERTa，1000 训练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87.19±0.53% → 87.63±0.29%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不同测试协议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+0.43 pp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3 个种子均为正</w:t>
            </w:r>
          </w:p>
        </w:tc>
      </w:tr>
      <w:tr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探索性改进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不确定性门控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82.29% → 83.71%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不同测试协议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+1.42 pp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95% CI [-2.61,+5.37]</w:t>
            </w:r>
          </w:p>
        </w:tc>
      </w:tr>
    </w:tbl>
    <w:p>
      <w:pPr>
        <w:spacing w:after="20"/>
      </w:pPr>
    </w:p>
    <w:p>
      <w:pPr>
        <w:keepNext w:val="0"/>
        <w:spacing w:after="160"/>
        <w:jc w:val="center"/>
      </w:pPr>
      <w:r>
        <w:rPr>
          <w:rFonts w:ascii="Microsoft YaHei" w:hAnsi="Microsoft YaHei" w:eastAsia="Microsoft YaHei"/>
          <w:color w:val="5F6872"/>
          <w:sz w:val="16"/>
        </w:rPr>
        <w:t>表 1  本文档中五类结果的层级。只有第一行可作为协议对齐的独立运行对照。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9"/>
        <w:gridCol w:w="8107"/>
      </w:tblGrid>
      <w:tr>
        <w:tc>
          <w:tcPr>
            <w:tcW w:type="dxa" w:w="4933"/>
            <w:shd w:fill="F8EED7"/>
            <w:tcMar>
              <w:top w:w="120" w:type="dxa"/>
              <w:start w:w="85" w:type="dxa"/>
              <w:bottom w:w="120" w:type="dxa"/>
              <w:end w:w="85" w:type="dxa"/>
            </w:tcMar>
            <w:tcBorders>
              <w:top w:val="single" w:sz="4" w:color="B07A16"/>
              <w:bottom w:val="single" w:sz="4" w:color="B07A16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B07A16"/>
                <w:sz w:val="17"/>
              </w:rPr>
              <w:t>最重要的边界</w:t>
            </w:r>
          </w:p>
        </w:tc>
        <w:tc>
          <w:tcPr>
            <w:tcW w:type="dxa" w:w="4933"/>
            <w:shd w:fill="F8EED7"/>
            <w:tcMar>
              <w:top w:w="120" w:type="dxa"/>
              <w:start w:w="85" w:type="dxa"/>
              <w:bottom w:w="120" w:type="dxa"/>
              <w:end w:w="85" w:type="dxa"/>
            </w:tcMar>
            <w:tcBorders>
              <w:top w:val="single" w:sz="4" w:color="B07A16"/>
              <w:bottom w:val="single" w:sz="4" w:color="B07A16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color w:val="27313B"/>
                <w:sz w:val="17"/>
              </w:rPr>
              <w:t>论文仅写 F1/Prec./Rec.，没有明确 macro、micro 或 weighted averaging；本地采用 scikit-learn Macro-F1/Macro-Precision/Macro-Recall。因此本文给出数值差，但称为“近似口径对照”，不声称指标定义完全等价。</w:t>
            </w:r>
          </w:p>
        </w:tc>
      </w:tr>
    </w:tbl>
    <w:p>
      <w:pPr>
        <w:spacing w:after="0"/>
      </w:pPr>
    </w:p>
    <w:p>
      <w:pPr>
        <w:spacing w:before="0" w:after="140" w:line="324" w:lineRule="auto"/>
      </w:pPr>
      <w:r>
        <w:rPr>
          <w:rFonts w:ascii="Microsoft YaHei" w:hAnsi="Microsoft YaHei" w:eastAsia="Microsoft YaHei"/>
          <w:b/>
          <w:color w:val="17324D"/>
          <w:sz w:val="19"/>
        </w:rPr>
        <w:t>提升来自什么：</w:t>
      </w:r>
      <w:r>
        <w:rPr>
          <w:rFonts w:ascii="Microsoft YaHei" w:hAnsi="Microsoft YaHei" w:eastAsia="Microsoft YaHei"/>
          <w:color w:val="27313B"/>
          <w:sz w:val="19"/>
        </w:rPr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27313B"/>
          <w:sz w:val="18"/>
        </w:rPr>
        <w:t>把 400 条训练扩到 1,000 条，首先提高基础分类器稳定性。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27313B"/>
          <w:sz w:val="18"/>
        </w:rPr>
        <w:t>不再把冗长解释直接硬拼到输入，而是保留内容通道与解释通道，通过 OOF/验证集选择融合权重和阈值。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27313B"/>
          <w:sz w:val="18"/>
        </w:rPr>
        <w:t>RoBERTa 使用更短的 compact explanation；在 1,000 条训练时，三种子差值均为正。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27313B"/>
          <w:sz w:val="18"/>
        </w:rPr>
        <w:t>Qwen 不做全量替换，只给低置信样本提供第二意见，减少无效计算与错误覆盖。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27313B"/>
          <w:sz w:val="18"/>
        </w:rPr>
        <w:t>三种子概率集成降低单次抽样波动，但扩大了累计训练样本并集，属于工程性能点。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24D"/>
          <w:sz w:val="34"/>
        </w:rPr>
        <w:t>2. 原论文位置索引与本地对应关系</w:t>
      </w:r>
    </w:p>
    <w:p>
      <w:pPr>
        <w:spacing w:before="0" w:after="140" w:line="324" w:lineRule="auto"/>
      </w:pPr>
      <w:r>
        <w:rPr>
          <w:rFonts w:ascii="Microsoft YaHei" w:hAnsi="Microsoft YaHei" w:eastAsia="Microsoft YaHei"/>
          <w:color w:val="27313B"/>
          <w:sz w:val="19"/>
        </w:rPr>
        <w:t>PDF 页码与论文印刷页码一致。下表采用“原论文位置 → 原文作用 → 本地对应 → 可比性”的顺序，读者可直接回到原文核验。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134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主题</w:t>
            </w:r>
          </w:p>
        </w:tc>
        <w:tc>
          <w:tcPr>
            <w:tcW w:type="dxa" w:w="2324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原论文精确位置</w:t>
            </w:r>
          </w:p>
        </w:tc>
        <w:tc>
          <w:tcPr>
            <w:tcW w:type="dxa" w:w="2891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原文内容</w:t>
            </w:r>
          </w:p>
        </w:tc>
        <w:tc>
          <w:tcPr>
            <w:tcW w:type="dxa" w:w="1984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本地对应</w:t>
            </w:r>
          </w:p>
        </w:tc>
        <w:tc>
          <w:tcPr>
            <w:tcW w:type="dxa" w:w="1020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关系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问题动机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§5.1，p.8，S0064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短弹幕依赖上下文；流式语义锚会被稀释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上下文重构与解释增强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理论动机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解释生成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§5.2–§5.3，pp.9–10，Fig.5，S0066–S0073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LLM 在前 20 条滑窗内做语境语义重构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Qwen 背景、compact explanation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概念对应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提示学习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§5.4，p.10，S0073/S0077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Soft prompt + BiLSTM 交互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未实现；用 RoBERTa/TF-IDF 替代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未复现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动态标签词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§5.5–§5.6，pp.10–12，S0080–S0101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POS 候选、语义距离、half-life=10、Top-k 更新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未实现；验证集融合/门控替代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未复现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数据协议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§6.1，p.12，S0109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各平台 70% train / 30% test；测试集只用于最终评估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RecDY 固定 test n=9,069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协议对齐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训练设置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§6.3–§6.4，p.13，S0113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50/60/70-shot；验证集等大；3 次重复；4090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每类 shot；种子100/101/102；4060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近似对齐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E9F0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主结果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E9F0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§6.5，Table 5，p.14，T001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E9F0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RecDY SPT-RII F1 77.84/78.92/79.23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E9F0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独立均值与工程集成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E9F0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核心对照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消融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§6.6，Fig.6，p.15，S0116/S0117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去解释 -4.3 pp；去更新 -2.8 pp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解释通道、late fusion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概念对应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大模型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§6.7，Table 6，p.16，S0117/S0118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LLM/PEFT 与 SPT-RII 对照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Qwen 直接分类/不确定性门控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协议不同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效率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§6.10，Table 9，p.17，S0186/S0210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更换解释模型后的 F1 与时间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Qwen3-8B Q4 生成时间/显存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描述性对照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参数敏感性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§6.12，Fig.9，pp.19–20，S0264/S0266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窗口 0→20 提升，过大引入过时噪声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压缩上下文、验证集融合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设计依据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错误分析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§6.13，pp.20–21，S0266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隐式语义、上下文不足等错误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门控净纠正 5 条；分流诊断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概念对应</w:t>
            </w:r>
          </w:p>
        </w:tc>
      </w:tr>
    </w:tbl>
    <w:p>
      <w:pPr>
        <w:spacing w:after="20"/>
      </w:pPr>
    </w:p>
    <w:p>
      <w:pPr>
        <w:keepNext w:val="0"/>
        <w:spacing w:after="160"/>
        <w:jc w:val="center"/>
      </w:pPr>
      <w:r>
        <w:rPr>
          <w:rFonts w:ascii="Microsoft YaHei" w:hAnsi="Microsoft YaHei" w:eastAsia="Microsoft YaHei"/>
          <w:color w:val="5F6872"/>
          <w:sz w:val="16"/>
        </w:rPr>
        <w:t>表 2  原论文与本地实验的位置级映射。S/T 编号来自本项目 paper_reader/source_map。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9"/>
        <w:gridCol w:w="8107"/>
      </w:tblGrid>
      <w:tr>
        <w:tc>
          <w:tcPr>
            <w:tcW w:type="dxa" w:w="4933"/>
            <w:shd w:fill="DCEEEF"/>
            <w:tcMar>
              <w:top w:w="120" w:type="dxa"/>
              <w:start w:w="85" w:type="dxa"/>
              <w:bottom w:w="120" w:type="dxa"/>
              <w:end w:w="85" w:type="dxa"/>
            </w:tcMar>
            <w:tcBorders>
              <w:top w:val="single" w:sz="4" w:color="237C82"/>
              <w:bottom w:val="single" w:sz="4" w:color="237C8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37C82"/>
                <w:sz w:val="17"/>
              </w:rPr>
              <w:t>未覆盖内容</w:t>
            </w:r>
          </w:p>
        </w:tc>
        <w:tc>
          <w:tcPr>
            <w:tcW w:type="dxa" w:w="4933"/>
            <w:shd w:fill="DCEEEF"/>
            <w:tcMar>
              <w:top w:w="120" w:type="dxa"/>
              <w:start w:w="85" w:type="dxa"/>
              <w:bottom w:w="120" w:type="dxa"/>
              <w:end w:w="85" w:type="dxa"/>
            </w:tcMar>
            <w:tcBorders>
              <w:top w:val="single" w:sz="4" w:color="237C82"/>
              <w:bottom w:val="single" w:sz="4" w:color="237C82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color w:val="27313B"/>
                <w:sz w:val="17"/>
              </w:rPr>
              <w:t>本地没有复现 Table 7 的 BTD 外部数据、Table 8 的跨平台迁移、Table 10 的蒸馏、Table 11/Fig.8 的模板实验，以及 Fig.9 的完整参数扫描。它们只列入索引，不参与提升结论。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24D"/>
          <w:sz w:val="34"/>
        </w:rPr>
        <w:t>3. 主对比：对应原论文 §6.5 / Table 5 / p.14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9"/>
        <w:gridCol w:w="8107"/>
      </w:tblGrid>
      <w:tr>
        <w:tc>
          <w:tcPr>
            <w:tcW w:type="dxa" w:w="4933"/>
            <w:shd w:fill="DCEEEF"/>
            <w:tcMar>
              <w:top w:w="120" w:type="dxa"/>
              <w:start w:w="85" w:type="dxa"/>
              <w:bottom w:w="120" w:type="dxa"/>
              <w:end w:w="85" w:type="dxa"/>
            </w:tcMar>
            <w:tcBorders>
              <w:top w:val="single" w:sz="4" w:color="237C82"/>
              <w:bottom w:val="single" w:sz="4" w:color="237C8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37C82"/>
                <w:sz w:val="17"/>
              </w:rPr>
              <w:t>可比性等级：A-</w:t>
            </w:r>
          </w:p>
        </w:tc>
        <w:tc>
          <w:tcPr>
            <w:tcW w:type="dxa" w:w="4933"/>
            <w:shd w:fill="DCEEEF"/>
            <w:tcMar>
              <w:top w:w="120" w:type="dxa"/>
              <w:start w:w="85" w:type="dxa"/>
              <w:bottom w:w="120" w:type="dxa"/>
              <w:end w:w="85" w:type="dxa"/>
            </w:tcMar>
            <w:tcBorders>
              <w:top w:val="single" w:sz="4" w:color="237C82"/>
              <w:bottom w:val="single" w:sz="4" w:color="237C82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color w:val="27313B"/>
                <w:sz w:val="17"/>
              </w:rPr>
              <w:t>同为 RecDY 固定测试集 n=9,069，训练/验证按 50、60、70-shot 抽样，并报告 3 次独立运行。差异是模型结构不同、硬件不同，且论文未明确 F1 averaging 与 shot 是否“每类”；本地依据公开代码按每类 shot 执行。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7451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5_recdy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45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Microsoft YaHei" w:hAnsi="Microsoft YaHei" w:eastAsia="Microsoft YaHei"/>
          <w:color w:val="5F6872"/>
          <w:sz w:val="16"/>
        </w:rPr>
        <w:t>图 1  原论文 Table 5 的标题、表头与 RecDY 区域，来源：原论文 p.14。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  <w:cantSplit/>
        </w:trPr>
        <w:tc>
          <w:tcPr>
            <w:tcW w:type="dxa" w:w="709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shot/类</w:t>
            </w:r>
          </w:p>
        </w:tc>
        <w:tc>
          <w:tcPr>
            <w:tcW w:type="dxa" w:w="1446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论文 SPT-RII</w:t>
              <w:br/>
              <w:t>F1±SD</w:t>
            </w:r>
          </w:p>
        </w:tc>
        <w:tc>
          <w:tcPr>
            <w:tcW w:type="dxa" w:w="1559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本地独立均值</w:t>
              <w:br/>
              <w:t>Macro-F1±SD</w:t>
            </w:r>
          </w:p>
        </w:tc>
        <w:tc>
          <w:tcPr>
            <w:tcW w:type="dxa" w:w="935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独立差值</w:t>
            </w:r>
          </w:p>
        </w:tc>
        <w:tc>
          <w:tcPr>
            <w:tcW w:type="dxa" w:w="1134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内容集成</w:t>
              <w:br/>
              <w:t>单点</w:t>
            </w:r>
          </w:p>
        </w:tc>
        <w:tc>
          <w:tcPr>
            <w:tcW w:type="dxa" w:w="879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集成差值</w:t>
            </w:r>
          </w:p>
        </w:tc>
        <w:tc>
          <w:tcPr>
            <w:tcW w:type="dxa" w:w="1219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内容+字符</w:t>
              <w:br/>
              <w:t>集成单点</w:t>
            </w:r>
          </w:p>
        </w:tc>
        <w:tc>
          <w:tcPr>
            <w:tcW w:type="dxa" w:w="879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融合差值</w:t>
            </w:r>
          </w:p>
        </w:tc>
      </w:tr>
      <w:tr>
        <w:trPr>
          <w:cantSplit/>
        </w:trPr>
        <w:tc>
          <w:tcPr>
            <w:tcW w:type="dxa" w:w="123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50</w:t>
            </w:r>
          </w:p>
        </w:tc>
        <w:tc>
          <w:tcPr>
            <w:tcW w:type="dxa" w:w="123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77.84% ± 0.32%</w:t>
            </w:r>
          </w:p>
        </w:tc>
        <w:tc>
          <w:tcPr>
            <w:tcW w:type="dxa" w:w="123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75.52% ± 1.67%</w:t>
            </w:r>
          </w:p>
        </w:tc>
        <w:tc>
          <w:tcPr>
            <w:tcW w:type="dxa" w:w="123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-2.32 pp</w:t>
            </w:r>
          </w:p>
        </w:tc>
        <w:tc>
          <w:tcPr>
            <w:tcW w:type="dxa" w:w="123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77.29%</w:t>
            </w:r>
          </w:p>
        </w:tc>
        <w:tc>
          <w:tcPr>
            <w:tcW w:type="dxa" w:w="123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-0.55 pp</w:t>
            </w:r>
          </w:p>
        </w:tc>
        <w:tc>
          <w:tcPr>
            <w:tcW w:type="dxa" w:w="123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77.29%</w:t>
            </w:r>
          </w:p>
        </w:tc>
        <w:tc>
          <w:tcPr>
            <w:tcW w:type="dxa" w:w="123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-0.55 pp</w:t>
            </w:r>
          </w:p>
        </w:tc>
      </w:tr>
      <w:tr>
        <w:trPr>
          <w:cantSplit/>
        </w:trPr>
        <w:tc>
          <w:tcPr>
            <w:tcW w:type="dxa" w:w="123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60</w:t>
            </w:r>
          </w:p>
        </w:tc>
        <w:tc>
          <w:tcPr>
            <w:tcW w:type="dxa" w:w="123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78.92% ± 0.56%</w:t>
            </w:r>
          </w:p>
        </w:tc>
        <w:tc>
          <w:tcPr>
            <w:tcW w:type="dxa" w:w="123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77.00% ± 0.89%</w:t>
            </w:r>
          </w:p>
        </w:tc>
        <w:tc>
          <w:tcPr>
            <w:tcW w:type="dxa" w:w="123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-1.92 pp</w:t>
            </w:r>
          </w:p>
        </w:tc>
        <w:tc>
          <w:tcPr>
            <w:tcW w:type="dxa" w:w="123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78.86%</w:t>
            </w:r>
          </w:p>
        </w:tc>
        <w:tc>
          <w:tcPr>
            <w:tcW w:type="dxa" w:w="123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-0.06 pp</w:t>
            </w:r>
          </w:p>
        </w:tc>
        <w:tc>
          <w:tcPr>
            <w:tcW w:type="dxa" w:w="123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78.86%</w:t>
            </w:r>
          </w:p>
        </w:tc>
        <w:tc>
          <w:tcPr>
            <w:tcW w:type="dxa" w:w="123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-0.06 pp</w:t>
            </w:r>
          </w:p>
        </w:tc>
      </w:tr>
      <w:tr>
        <w:trPr>
          <w:cantSplit/>
        </w:trPr>
        <w:tc>
          <w:tcPr>
            <w:tcW w:type="dxa" w:w="1233"/>
            <w:tcMar>
              <w:top w:w="75" w:type="dxa"/>
              <w:start w:w="85" w:type="dxa"/>
              <w:bottom w:w="75" w:type="dxa"/>
              <w:end w:w="85" w:type="dxa"/>
            </w:tcMar>
            <w:shd w:fill="F8EED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70</w:t>
            </w:r>
          </w:p>
        </w:tc>
        <w:tc>
          <w:tcPr>
            <w:tcW w:type="dxa" w:w="1233"/>
            <w:tcMar>
              <w:top w:w="75" w:type="dxa"/>
              <w:start w:w="85" w:type="dxa"/>
              <w:bottom w:w="75" w:type="dxa"/>
              <w:end w:w="85" w:type="dxa"/>
            </w:tcMar>
            <w:shd w:fill="F8EED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79.23% ± 0.31%</w:t>
            </w:r>
          </w:p>
        </w:tc>
        <w:tc>
          <w:tcPr>
            <w:tcW w:type="dxa" w:w="1233"/>
            <w:tcMar>
              <w:top w:w="75" w:type="dxa"/>
              <w:start w:w="85" w:type="dxa"/>
              <w:bottom w:w="75" w:type="dxa"/>
              <w:end w:w="85" w:type="dxa"/>
            </w:tcMar>
            <w:shd w:fill="F8EED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78.00% ± 0.14%</w:t>
            </w:r>
          </w:p>
        </w:tc>
        <w:tc>
          <w:tcPr>
            <w:tcW w:type="dxa" w:w="1233"/>
            <w:tcMar>
              <w:top w:w="75" w:type="dxa"/>
              <w:start w:w="85" w:type="dxa"/>
              <w:bottom w:w="75" w:type="dxa"/>
              <w:end w:w="85" w:type="dxa"/>
            </w:tcMar>
            <w:shd w:fill="F8EED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-1.23 pp</w:t>
            </w:r>
          </w:p>
        </w:tc>
        <w:tc>
          <w:tcPr>
            <w:tcW w:type="dxa" w:w="1233"/>
            <w:tcMar>
              <w:top w:w="75" w:type="dxa"/>
              <w:start w:w="85" w:type="dxa"/>
              <w:bottom w:w="75" w:type="dxa"/>
              <w:end w:w="85" w:type="dxa"/>
            </w:tcMar>
            <w:shd w:fill="F8EED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81.65%</w:t>
            </w:r>
          </w:p>
        </w:tc>
        <w:tc>
          <w:tcPr>
            <w:tcW w:type="dxa" w:w="1233"/>
            <w:tcMar>
              <w:top w:w="75" w:type="dxa"/>
              <w:start w:w="85" w:type="dxa"/>
              <w:bottom w:w="75" w:type="dxa"/>
              <w:end w:w="85" w:type="dxa"/>
            </w:tcMar>
            <w:shd w:fill="F8EED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+2.42 pp</w:t>
            </w:r>
          </w:p>
        </w:tc>
        <w:tc>
          <w:tcPr>
            <w:tcW w:type="dxa" w:w="1233"/>
            <w:tcMar>
              <w:top w:w="75" w:type="dxa"/>
              <w:start w:w="85" w:type="dxa"/>
              <w:bottom w:w="75" w:type="dxa"/>
              <w:end w:w="85" w:type="dxa"/>
            </w:tcMar>
            <w:shd w:fill="F8EED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81.85%</w:t>
            </w:r>
          </w:p>
        </w:tc>
        <w:tc>
          <w:tcPr>
            <w:tcW w:type="dxa" w:w="1233"/>
            <w:tcMar>
              <w:top w:w="75" w:type="dxa"/>
              <w:start w:w="85" w:type="dxa"/>
              <w:bottom w:w="75" w:type="dxa"/>
              <w:end w:w="85" w:type="dxa"/>
            </w:tcMar>
            <w:shd w:fill="F8EED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3"/>
              </w:rPr>
              <w:t>+2.62 pp</w:t>
            </w:r>
          </w:p>
        </w:tc>
      </w:tr>
    </w:tbl>
    <w:p>
      <w:pPr>
        <w:spacing w:after="20"/>
      </w:pPr>
    </w:p>
    <w:p>
      <w:pPr>
        <w:keepNext w:val="0"/>
        <w:spacing w:after="160"/>
        <w:jc w:val="center"/>
      </w:pPr>
      <w:r>
        <w:rPr>
          <w:rFonts w:ascii="Microsoft YaHei" w:hAnsi="Microsoft YaHei" w:eastAsia="Microsoft YaHei"/>
          <w:color w:val="5F6872"/>
          <w:sz w:val="16"/>
        </w:rPr>
        <w:t>表 3  Table 5 核心 F1 对照。独立运行均值是主结果；两个集成列均为单个工程点，没有 SD。</w:t>
      </w:r>
    </w:p>
    <w:p>
      <w:pPr>
        <w:spacing w:before="0" w:after="140" w:line="324" w:lineRule="auto"/>
      </w:pPr>
      <w:r>
        <w:rPr>
          <w:rFonts w:ascii="Microsoft YaHei" w:hAnsi="Microsoft YaHei" w:eastAsia="Microsoft YaHei"/>
          <w:b/>
          <w:color w:val="17324D"/>
          <w:sz w:val="19"/>
        </w:rPr>
        <w:t>严格结论：</w:t>
      </w:r>
      <w:r>
        <w:rPr>
          <w:rFonts w:ascii="Microsoft YaHei" w:hAnsi="Microsoft YaHei" w:eastAsia="Microsoft YaHei"/>
          <w:color w:val="27313B"/>
          <w:sz w:val="19"/>
        </w:rPr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27313B"/>
          <w:sz w:val="18"/>
        </w:rPr>
        <w:t>保持每次独立运行的 70-shot/类预算时，本地内容模型为 78.00±0.14%，仍比论文 79.23±0.31% 低 1.23 pp。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27313B"/>
          <w:sz w:val="18"/>
        </w:rPr>
        <w:t>三模型内容概率集成达到 81.65%，相对论文报告值高 2.42 pp；再加入字符 TF-IDF 后达到 81.85%，额外仅 +0.20 pp。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27313B"/>
          <w:sz w:val="18"/>
        </w:rPr>
        <w:t>集成成员使用不同的训练/验证抽样，不只是同一训练集上的不同初始化，所以集成点不可写成“70-shot 单模型超过论文”。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701"/>
            <w:shd w:fill="237C82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每成员 shot/类</w:t>
            </w:r>
          </w:p>
        </w:tc>
        <w:tc>
          <w:tcPr>
            <w:tcW w:type="dxa" w:w="1757"/>
            <w:shd w:fill="237C82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每成员训练总数</w:t>
            </w:r>
          </w:p>
        </w:tc>
        <w:tc>
          <w:tcPr>
            <w:tcW w:type="dxa" w:w="1814"/>
            <w:shd w:fill="237C82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3 成员训练并集</w:t>
            </w:r>
          </w:p>
        </w:tc>
        <w:tc>
          <w:tcPr>
            <w:tcW w:type="dxa" w:w="1928"/>
            <w:shd w:fill="237C82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训练+验证总并集</w:t>
            </w:r>
          </w:p>
        </w:tc>
        <w:tc>
          <w:tcPr>
            <w:tcW w:type="dxa" w:w="1474"/>
            <w:shd w:fill="237C82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内容集成点</w:t>
            </w:r>
          </w:p>
        </w:tc>
      </w:tr>
      <w:tr>
        <w:trPr>
          <w:cantSplit/>
        </w:trP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50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100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299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592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77.29%</w:t>
            </w:r>
          </w:p>
        </w:tc>
      </w:tr>
      <w:tr>
        <w:trPr>
          <w:cantSplit/>
        </w:trP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60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120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360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713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78.86%</w:t>
            </w:r>
          </w:p>
        </w:tc>
      </w:tr>
      <w:tr>
        <w:trPr>
          <w:cantSplit/>
        </w:trP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8EED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70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8EED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140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8EED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420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8EED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824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8EED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81.65%</w:t>
            </w:r>
          </w:p>
        </w:tc>
      </w:tr>
    </w:tbl>
    <w:p>
      <w:pPr>
        <w:spacing w:after="20"/>
      </w:pPr>
    </w:p>
    <w:p>
      <w:pPr>
        <w:keepNext w:val="0"/>
        <w:spacing w:after="160"/>
        <w:jc w:val="center"/>
      </w:pPr>
      <w:r>
        <w:rPr>
          <w:rFonts w:ascii="Microsoft YaHei" w:hAnsi="Microsoft YaHei" w:eastAsia="Microsoft YaHei"/>
          <w:color w:val="5F6872"/>
          <w:sz w:val="16"/>
        </w:rPr>
        <w:t>表 4  工程集成的实际累计标注覆盖。70-shot 集成整体看到 420 条训练样本，约 210/类。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9"/>
        <w:gridCol w:w="8107"/>
      </w:tblGrid>
      <w:tr>
        <w:tc>
          <w:tcPr>
            <w:tcW w:type="dxa" w:w="4933"/>
            <w:shd w:fill="F7E5E8"/>
            <w:tcMar>
              <w:top w:w="120" w:type="dxa"/>
              <w:start w:w="85" w:type="dxa"/>
              <w:bottom w:w="120" w:type="dxa"/>
              <w:end w:w="85" w:type="dxa"/>
            </w:tcMar>
            <w:tcBorders>
              <w:top w:val="single" w:sz="4" w:color="A84A59"/>
              <w:bottom w:val="single" w:sz="4" w:color="A84A5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A84A59"/>
                <w:sz w:val="17"/>
              </w:rPr>
              <w:t>表述红线</w:t>
            </w:r>
          </w:p>
        </w:tc>
        <w:tc>
          <w:tcPr>
            <w:tcW w:type="dxa" w:w="4933"/>
            <w:shd w:fill="F7E5E8"/>
            <w:tcMar>
              <w:top w:w="120" w:type="dxa"/>
              <w:start w:w="85" w:type="dxa"/>
              <w:bottom w:w="120" w:type="dxa"/>
              <w:end w:w="85" w:type="dxa"/>
            </w:tcMar>
            <w:tcBorders>
              <w:top w:val="single" w:sz="4" w:color="A84A59"/>
              <w:bottom w:val="single" w:sz="4" w:color="A84A59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color w:val="27313B"/>
                <w:sz w:val="17"/>
              </w:rPr>
              <w:t>可以说“工程集成点在固定测试集上达到 81.65%，描述性高于论文 Table 5 的 79.23%”；不可以说“我们以同等 70-shot 预算复现并超过 SPT-RII”。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7332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aper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33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Microsoft YaHei" w:hAnsi="Microsoft YaHei" w:eastAsia="Microsoft YaHei"/>
          <w:color w:val="5F6872"/>
          <w:sz w:val="16"/>
        </w:rPr>
        <w:t>图 2  固定 RecDY 测试集上的论文对齐比较。误差线为独立运行 SD；空心标记为单个集成点。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24D"/>
          <w:sz w:val="34"/>
        </w:rPr>
        <w:t>4. Table 5 四指标复核</w:t>
      </w:r>
    </w:p>
    <w:p>
      <w:pPr>
        <w:spacing w:before="0" w:after="140" w:line="324" w:lineRule="auto"/>
      </w:pPr>
      <w:r>
        <w:rPr>
          <w:rFonts w:ascii="Microsoft YaHei" w:hAnsi="Microsoft YaHei" w:eastAsia="Microsoft YaHei"/>
          <w:color w:val="27313B"/>
          <w:sz w:val="19"/>
        </w:rPr>
        <w:t>原论文 Table 5 同时报告 Acc./Prec./Rec./F1。下表把原值与本地独立均值、工程集成单点按 shot 展开，便于逐列核对。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907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shot/类</w:t>
            </w:r>
          </w:p>
        </w:tc>
        <w:tc>
          <w:tcPr>
            <w:tcW w:type="dxa" w:w="2268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方法</w:t>
            </w:r>
          </w:p>
        </w:tc>
        <w:tc>
          <w:tcPr>
            <w:tcW w:type="dxa" w:w="1531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Accuracy (%)</w:t>
            </w:r>
          </w:p>
        </w:tc>
        <w:tc>
          <w:tcPr>
            <w:tcW w:type="dxa" w:w="1531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Precision (%)</w:t>
            </w:r>
          </w:p>
        </w:tc>
        <w:tc>
          <w:tcPr>
            <w:tcW w:type="dxa" w:w="1531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Recall (%)</w:t>
            </w:r>
          </w:p>
        </w:tc>
        <w:tc>
          <w:tcPr>
            <w:tcW w:type="dxa" w:w="1531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F1 (%)</w:t>
            </w:r>
          </w:p>
        </w:tc>
      </w:tr>
      <w:tr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50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论文 SPT-RII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78.41±0.39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77.63±0.31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78.96±0.20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77.84±0.32</w:t>
            </w:r>
          </w:p>
        </w:tc>
      </w:tr>
      <w:tr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50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本地独立均值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76.59±2.37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76.11±2.80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75.74±1.03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75.52±1.67</w:t>
            </w:r>
          </w:p>
        </w:tc>
      </w:tr>
      <w:tr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50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本地内容集成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78.21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77.17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77.44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77.29</w:t>
            </w:r>
          </w:p>
        </w:tc>
      </w:tr>
      <w:tr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60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论文 SPT-RII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79.50±0.75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78.65±0.49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79.48±0.39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78.92±0.56</w:t>
            </w:r>
          </w:p>
        </w:tc>
      </w:tr>
      <w:tr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60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本地独立均值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78.09±0.42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77.21±0.31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77.06±1.44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77.00±0.89</w:t>
            </w:r>
          </w:p>
        </w:tc>
      </w:tr>
      <w:tr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60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本地内容集成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79.94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79.06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78.69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78.86</w:t>
            </w:r>
          </w:p>
        </w:tc>
      </w:tr>
      <w:tr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E9F0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70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E9F0F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论文 SPT-RII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E9F0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80.62±0.37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E9F0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79.96±0.32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E9F0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80.30±0.23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E9F0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79.23±0.31</w:t>
            </w:r>
          </w:p>
        </w:tc>
      </w:tr>
      <w:tr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70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本地独立均值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79.26±0.52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78.63±0.92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77.76±0.58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78.00±0.14</w:t>
            </w:r>
          </w:p>
        </w:tc>
      </w:tr>
      <w:tr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8EED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70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8EED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本地内容集成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8EED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82.70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8EED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82.13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8EED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81.29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8EED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81.65</w:t>
            </w:r>
          </w:p>
        </w:tc>
      </w:tr>
    </w:tbl>
    <w:p>
      <w:pPr>
        <w:spacing w:after="20"/>
      </w:pPr>
    </w:p>
    <w:p>
      <w:pPr>
        <w:keepNext w:val="0"/>
        <w:spacing w:after="160"/>
        <w:jc w:val="center"/>
      </w:pPr>
      <w:r>
        <w:rPr>
          <w:rFonts w:ascii="Microsoft YaHei" w:hAnsi="Microsoft YaHei" w:eastAsia="Microsoft YaHei"/>
          <w:color w:val="5F6872"/>
          <w:sz w:val="16"/>
        </w:rPr>
        <w:t>表 5  原论文 Table 5 与本地结果的四指标复核。集成行是单点。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9"/>
        <w:gridCol w:w="8107"/>
      </w:tblGrid>
      <w:tr>
        <w:tc>
          <w:tcPr>
            <w:tcW w:type="dxa" w:w="4933"/>
            <w:shd w:fill="F8EED7"/>
            <w:tcMar>
              <w:top w:w="120" w:type="dxa"/>
              <w:start w:w="85" w:type="dxa"/>
              <w:bottom w:w="120" w:type="dxa"/>
              <w:end w:w="85" w:type="dxa"/>
            </w:tcMar>
            <w:tcBorders>
              <w:top w:val="single" w:sz="4" w:color="B07A16"/>
              <w:bottom w:val="single" w:sz="4" w:color="B07A16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B07A16"/>
                <w:sz w:val="17"/>
              </w:rPr>
              <w:t>指标脚注</w:t>
            </w:r>
          </w:p>
        </w:tc>
        <w:tc>
          <w:tcPr>
            <w:tcW w:type="dxa" w:w="4933"/>
            <w:shd w:fill="F8EED7"/>
            <w:tcMar>
              <w:top w:w="120" w:type="dxa"/>
              <w:start w:w="85" w:type="dxa"/>
              <w:bottom w:w="120" w:type="dxa"/>
              <w:end w:w="85" w:type="dxa"/>
            </w:tcMar>
            <w:tcBorders>
              <w:top w:val="single" w:sz="4" w:color="B07A16"/>
              <w:bottom w:val="single" w:sz="4" w:color="B07A16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color w:val="27313B"/>
                <w:sz w:val="17"/>
              </w:rPr>
              <w:t>论文表头为 Prec./Rec./F1，但 §6.4 未写 averaging；本地三项采用宏平均。因此 Accuracy 可直接理解，Precision/Recall/F1 仍需保留口径不完全确定的注记。</w:t>
            </w:r>
          </w:p>
        </w:tc>
      </w:tr>
    </w:tbl>
    <w:p>
      <w:pPr>
        <w:spacing w:after="0"/>
      </w:pPr>
    </w:p>
    <w:p>
      <w:pPr>
        <w:spacing w:before="0" w:after="140" w:line="324" w:lineRule="auto"/>
      </w:pPr>
      <w:r>
        <w:rPr>
          <w:rFonts w:ascii="Microsoft YaHei" w:hAnsi="Microsoft YaHei" w:eastAsia="Microsoft YaHei"/>
          <w:color w:val="27313B"/>
          <w:sz w:val="19"/>
        </w:rPr>
        <w:t>论文内部还有一个需要记录的不一致：Table 5 的 RecDY 50-shot SPT-RII F1 为 77.84±0.32%，Table 6 同一标签写 78.32%。论文未解释差异，所以本报告始终使用 Table 5 作为主参照。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24D"/>
          <w:sz w:val="34"/>
        </w:rPr>
        <w:t>5. 内部提升实验：对应 §5.3、§6.6 Fig.6，但协议不同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9"/>
        <w:gridCol w:w="8107"/>
      </w:tblGrid>
      <w:tr>
        <w:tc>
          <w:tcPr>
            <w:tcW w:type="dxa" w:w="4933"/>
            <w:shd w:fill="DCEEEF"/>
            <w:tcMar>
              <w:top w:w="120" w:type="dxa"/>
              <w:start w:w="85" w:type="dxa"/>
              <w:bottom w:w="120" w:type="dxa"/>
              <w:end w:w="85" w:type="dxa"/>
            </w:tcMar>
            <w:tcBorders>
              <w:top w:val="single" w:sz="4" w:color="237C82"/>
              <w:bottom w:val="single" w:sz="4" w:color="237C82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37C82"/>
                <w:sz w:val="17"/>
              </w:rPr>
              <w:t>可比性等级：C</w:t>
            </w:r>
          </w:p>
        </w:tc>
        <w:tc>
          <w:tcPr>
            <w:tcW w:type="dxa" w:w="4933"/>
            <w:shd w:fill="DCEEEF"/>
            <w:tcMar>
              <w:top w:w="120" w:type="dxa"/>
              <w:start w:w="85" w:type="dxa"/>
              <w:bottom w:w="120" w:type="dxa"/>
              <w:end w:w="85" w:type="dxa"/>
            </w:tcMar>
            <w:tcBorders>
              <w:top w:val="single" w:sz="4" w:color="237C82"/>
              <w:bottom w:val="single" w:sz="4" w:color="237C82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color w:val="27313B"/>
                <w:sz w:val="17"/>
              </w:rPr>
              <w:t>以下实验使用 400 条固定本地测试子集，训练规模为 400 或 1,000；它们用于判断改进是否有效，不能把绝对 F1 直接减去论文 Table 5。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37C82"/>
          <w:sz w:val="26"/>
        </w:rPr>
        <w:t>5.1 字符 TF-IDF：解释分通道 + OOF 晚期融合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964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训练量</w:t>
            </w:r>
          </w:p>
        </w:tc>
        <w:tc>
          <w:tcPr>
            <w:tcW w:type="dxa" w:w="3402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方法</w:t>
            </w:r>
          </w:p>
        </w:tc>
        <w:tc>
          <w:tcPr>
            <w:tcW w:type="dxa" w:w="1247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Macro-F1</w:t>
            </w:r>
          </w:p>
        </w:tc>
        <w:tc>
          <w:tcPr>
            <w:tcW w:type="dxa" w:w="1843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相对同规模内容基线</w:t>
            </w:r>
          </w:p>
        </w:tc>
        <w:tc>
          <w:tcPr>
            <w:tcW w:type="dxa" w:w="2069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不确定性/备注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400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内容基线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78.88%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基准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-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400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旧 Qwen 解释直接拼接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80.75%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+1.87 pp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95% CI [-2.80,+6.69]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400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结构化解释直接拼接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80.84%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+1.96 pp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相对旧提示仅 +0.09 pp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E3F1E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400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E3F1E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旧解释 + OOF 晚期融合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E3F1E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82.39%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E3F1E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+3.51 pp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E3F1E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95% CI [-0.32,+7.35]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400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结构化解释 + OOF 晚期融合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80.03%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+1.14 pp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95% CI [-1.00,+3.41]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1000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内容基线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82.29%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基准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-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1000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结构化解释直接拼接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82.94%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+0.65 pp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-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E3F1E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1000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E3F1E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结构化解释 + OOF 晚期融合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E3F1E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83.82%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E3F1E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+1.53 pp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E3F1E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95% CI [-1.28,+4.34]</w:t>
            </w:r>
          </w:p>
        </w:tc>
      </w:tr>
    </w:tbl>
    <w:p>
      <w:pPr>
        <w:spacing w:after="20"/>
      </w:pPr>
    </w:p>
    <w:p>
      <w:pPr>
        <w:keepNext w:val="0"/>
        <w:spacing w:after="160"/>
        <w:jc w:val="center"/>
      </w:pPr>
      <w:r>
        <w:rPr>
          <w:rFonts w:ascii="Microsoft YaHei" w:hAnsi="Microsoft YaHei" w:eastAsia="Microsoft YaHei"/>
          <w:color w:val="5F6872"/>
          <w:sz w:val="16"/>
        </w:rPr>
        <w:t>表 6  TF-IDF 改进实验。置信区间为测试样本配对 bootstrap；跨 0 表示证据尚不足。</w:t>
      </w:r>
    </w:p>
    <w:p>
      <w:pPr>
        <w:spacing w:before="0" w:after="140" w:line="324" w:lineRule="auto"/>
      </w:pPr>
      <w:r>
        <w:rPr>
          <w:rFonts w:ascii="Microsoft YaHei" w:hAnsi="Microsoft YaHei" w:eastAsia="Microsoft YaHei"/>
          <w:color w:val="27313B"/>
          <w:sz w:val="19"/>
        </w:rPr>
        <w:t>解读：数据量和融合策略确实有价值，但“把解释改成结构化提示”本身没有稳定胜过旧提示。400 条时旧解释 late fusion 最强；1,000 条时结构化 late fusion 相对内容基线提高 1.53 pp。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37C82"/>
          <w:sz w:val="26"/>
        </w:rPr>
        <w:t>5.2 RoBERTa：compact explanation + 验证集融合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964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训练量</w:t>
            </w:r>
          </w:p>
        </w:tc>
        <w:tc>
          <w:tcPr>
            <w:tcW w:type="dxa" w:w="3146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输入/融合</w:t>
            </w:r>
          </w:p>
        </w:tc>
        <w:tc>
          <w:tcPr>
            <w:tcW w:type="dxa" w:w="1757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Macro-F1 均值±SD</w:t>
            </w:r>
          </w:p>
        </w:tc>
        <w:tc>
          <w:tcPr>
            <w:tcW w:type="dxa" w:w="1701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相对内容基线</w:t>
            </w:r>
          </w:p>
        </w:tc>
        <w:tc>
          <w:tcPr>
            <w:tcW w:type="dxa" w:w="1956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判断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400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内容基线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84.90±1.52%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基准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-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400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旧 Qwen 直接拼接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82.57±0.67%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-2.34 pp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退化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400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结构化解释直接拼接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82.44±1.66%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-2.46 pp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退化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400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compact 直接拼接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84.30±1.75%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-0.60 pp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基本追回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400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compact late fusion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84.88±0.61%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-0.03 pp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种子方向不一致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1000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内容基线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87.19±0.53%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基准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-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1000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结构化解释直接拼接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86.73±1.12%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-0.46 pp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仍退化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1000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compact 直接拼接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87.21±0.51%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+0.02 pp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接近持平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E3F1E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1000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E3F1E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compact late fusion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E3F1E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87.63±0.29%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E3F1E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+0.43 pp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E3F1E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3 个种子均为正</w:t>
            </w:r>
          </w:p>
        </w:tc>
      </w:tr>
    </w:tbl>
    <w:p>
      <w:pPr>
        <w:spacing w:after="20"/>
      </w:pPr>
    </w:p>
    <w:p>
      <w:pPr>
        <w:keepNext w:val="0"/>
        <w:spacing w:after="160"/>
        <w:jc w:val="center"/>
      </w:pPr>
      <w:r>
        <w:rPr>
          <w:rFonts w:ascii="Microsoft YaHei" w:hAnsi="Microsoft YaHei" w:eastAsia="Microsoft YaHei"/>
          <w:color w:val="5F6872"/>
          <w:sz w:val="16"/>
        </w:rPr>
        <w:t>表 7  RoBERTa 三种子结果。1000 条 compact late fusion 的逐种子提升为 +0.154/+0.746/+0.401 pp。</w:t>
      </w:r>
    </w:p>
    <w:p>
      <w:pPr>
        <w:spacing w:before="0" w:after="140" w:line="324" w:lineRule="auto"/>
      </w:pPr>
      <w:r>
        <w:rPr>
          <w:rFonts w:ascii="Microsoft YaHei" w:hAnsi="Microsoft YaHei" w:eastAsia="Microsoft YaHei"/>
          <w:color w:val="27313B"/>
          <w:sz w:val="19"/>
        </w:rPr>
        <w:t>解读：RoBERTa 对噪声解释很敏感。长解释直接拼接会破坏内容信号；缩短解释并改为 late fusion 后，1,000 条训练下得到小幅且三个种子同方向的提升，但 n=3 仍不足以声称统计显著。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46467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improvement_resul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64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Microsoft YaHei" w:hAnsi="Microsoft YaHei" w:eastAsia="Microsoft YaHei"/>
          <w:color w:val="5F6872"/>
          <w:sz w:val="16"/>
        </w:rPr>
        <w:t>图 3  内部改进总览：TF-IDF、RoBERTa 与额外计算开销。误差线定义见原实验记录。</w:t>
      </w:r>
    </w:p>
    <w:p>
      <w:r>
        <w:br w:type="page"/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37C82"/>
          <w:sz w:val="26"/>
        </w:rPr>
        <w:t>5.3 与原论文 Fig.6 的对应方式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3231"/>
            <w:shd w:fill="237C82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实验</w:t>
            </w:r>
          </w:p>
        </w:tc>
        <w:tc>
          <w:tcPr>
            <w:tcW w:type="dxa" w:w="1701"/>
            <w:shd w:fill="237C82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F1/Macro-F1</w:t>
            </w:r>
          </w:p>
        </w:tc>
        <w:tc>
          <w:tcPr>
            <w:tcW w:type="dxa" w:w="2268"/>
            <w:shd w:fill="237C82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组件变化</w:t>
            </w:r>
          </w:p>
        </w:tc>
        <w:tc>
          <w:tcPr>
            <w:tcW w:type="dxa" w:w="2324"/>
            <w:shd w:fill="237C82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比较边界</w:t>
            </w:r>
          </w:p>
        </w:tc>
      </w:tr>
      <w:tr>
        <w:trPr>
          <w:cantSplit/>
        </w:trPr>
        <w:tc>
          <w:tcPr>
            <w:tcW w:type="dxa" w:w="246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原论文完整 SPT-RII</w:t>
            </w:r>
          </w:p>
        </w:tc>
        <w:tc>
          <w:tcPr>
            <w:tcW w:type="dxa" w:w="246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78.3%</w:t>
            </w:r>
          </w:p>
        </w:tc>
        <w:tc>
          <w:tcPr>
            <w:tcW w:type="dxa" w:w="246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-</w:t>
            </w:r>
          </w:p>
        </w:tc>
        <w:tc>
          <w:tcPr>
            <w:tcW w:type="dxa" w:w="246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同一 SPT-RII 框架</w:t>
            </w:r>
          </w:p>
        </w:tc>
      </w:tr>
      <w:tr>
        <w:trPr>
          <w:cantSplit/>
        </w:trPr>
        <w:tc>
          <w:tcPr>
            <w:tcW w:type="dxa" w:w="2466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原论文 -explanations</w:t>
            </w:r>
          </w:p>
        </w:tc>
        <w:tc>
          <w:tcPr>
            <w:tcW w:type="dxa" w:w="2466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74.0%</w:t>
            </w:r>
          </w:p>
        </w:tc>
        <w:tc>
          <w:tcPr>
            <w:tcW w:type="dxa" w:w="2466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-4.3 pp</w:t>
            </w:r>
          </w:p>
        </w:tc>
        <w:tc>
          <w:tcPr>
            <w:tcW w:type="dxa" w:w="2466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证明解释模块重要</w:t>
            </w:r>
          </w:p>
        </w:tc>
      </w:tr>
      <w:tr>
        <w:trPr>
          <w:cantSplit/>
        </w:trPr>
        <w:tc>
          <w:tcPr>
            <w:tcW w:type="dxa" w:w="246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原论文 -update</w:t>
            </w:r>
          </w:p>
        </w:tc>
        <w:tc>
          <w:tcPr>
            <w:tcW w:type="dxa" w:w="246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75.5%</w:t>
            </w:r>
          </w:p>
        </w:tc>
        <w:tc>
          <w:tcPr>
            <w:tcW w:type="dxa" w:w="246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-2.8 pp</w:t>
            </w:r>
          </w:p>
        </w:tc>
        <w:tc>
          <w:tcPr>
            <w:tcW w:type="dxa" w:w="246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证明动态更新重要</w:t>
            </w:r>
          </w:p>
        </w:tc>
      </w:tr>
      <w:tr>
        <w:trPr>
          <w:cantSplit/>
        </w:trPr>
        <w:tc>
          <w:tcPr>
            <w:tcW w:type="dxa" w:w="2466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本地 TF-IDF 1000 late fusion</w:t>
            </w:r>
          </w:p>
        </w:tc>
        <w:tc>
          <w:tcPr>
            <w:tcW w:type="dxa" w:w="2466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83.82%</w:t>
            </w:r>
          </w:p>
        </w:tc>
        <w:tc>
          <w:tcPr>
            <w:tcW w:type="dxa" w:w="2466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+1.53 pp vs 本地内容</w:t>
            </w:r>
          </w:p>
        </w:tc>
        <w:tc>
          <w:tcPr>
            <w:tcW w:type="dxa" w:w="2466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不同模型/测试子集</w:t>
            </w:r>
          </w:p>
        </w:tc>
      </w:tr>
      <w:tr>
        <w:trPr>
          <w:cantSplit/>
        </w:trPr>
        <w:tc>
          <w:tcPr>
            <w:tcW w:type="dxa" w:w="246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本地 RoBERTa 1000 compact late fusion</w:t>
            </w:r>
          </w:p>
        </w:tc>
        <w:tc>
          <w:tcPr>
            <w:tcW w:type="dxa" w:w="246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87.63±0.29%</w:t>
            </w:r>
          </w:p>
        </w:tc>
        <w:tc>
          <w:tcPr>
            <w:tcW w:type="dxa" w:w="246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+0.43 pp vs 本地内容</w:t>
            </w:r>
          </w:p>
        </w:tc>
        <w:tc>
          <w:tcPr>
            <w:tcW w:type="dxa" w:w="246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不同模型/测试子集</w:t>
            </w:r>
          </w:p>
        </w:tc>
      </w:tr>
    </w:tbl>
    <w:p>
      <w:pPr>
        <w:spacing w:after="20"/>
      </w:pPr>
    </w:p>
    <w:p>
      <w:pPr>
        <w:keepNext w:val="0"/>
        <w:spacing w:after="160"/>
        <w:jc w:val="center"/>
      </w:pPr>
      <w:r>
        <w:rPr>
          <w:rFonts w:ascii="Microsoft YaHei" w:hAnsi="Microsoft YaHei" w:eastAsia="Microsoft YaHei"/>
          <w:color w:val="5F6872"/>
          <w:sz w:val="16"/>
        </w:rPr>
        <w:t>表 8  原论文 Fig.6 与本地内部消融的概念映射。绝对值不做横向胜负比较。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24D"/>
          <w:sz w:val="34"/>
        </w:rPr>
        <w:t>6. 不确定性门控：对应 §6.7 / Table 6，仅概念对照</w:t>
      </w:r>
    </w:p>
    <w:p>
      <w:pPr>
        <w:spacing w:before="0" w:after="140" w:line="324" w:lineRule="auto"/>
      </w:pPr>
      <w:r>
        <w:rPr>
          <w:rFonts w:ascii="Microsoft YaHei" w:hAnsi="Microsoft YaHei" w:eastAsia="Microsoft YaHei"/>
          <w:color w:val="27313B"/>
          <w:sz w:val="19"/>
        </w:rPr>
        <w:t>原论文 Table 6 比较了 10-shot LLM、1,000 样本 PEFT 与 SPT-RII。本地问题不同：不是让 Qwen 全量替代分类器，而是让它只处理基础模型置信度落在 [0.28, 0.72] 的样本。阈值仅在 200 条验证集上选择，测试集只评估一次。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vAlign w:val="center"/>
            <w:shd w:fill="DCEEEF"/>
            <w:tcMar>
              <w:top w:w="130" w:type="dxa"/>
              <w:start w:w="85" w:type="dxa"/>
              <w:bottom w:w="130" w:type="dxa"/>
              <w:end w:w="85" w:type="dxa"/>
            </w:tcMar>
            <w:tcBorders>
              <w:top w:val="single" w:sz="5" w:color="237C82"/>
              <w:bottom w:val="single" w:sz="5" w:color="237C82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37C82"/>
                <w:sz w:val="17"/>
              </w:rPr>
              <w:t>TF-IDF</w:t>
              <w:br/>
              <w:t>概率</w:t>
            </w:r>
          </w:p>
        </w:tc>
        <w:tc>
          <w:tcPr>
            <w:tcW w:type="dxa" w:w="19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5F6872"/>
                <w:sz w:val="24"/>
              </w:rPr>
              <w:t>→</w:t>
            </w:r>
          </w:p>
        </w:tc>
        <w:tc>
          <w:tcPr>
            <w:tcW w:type="dxa" w:w="1973"/>
            <w:vAlign w:val="center"/>
            <w:shd w:fill="DCEEEF"/>
            <w:tcMar>
              <w:top w:w="130" w:type="dxa"/>
              <w:start w:w="85" w:type="dxa"/>
              <w:bottom w:w="130" w:type="dxa"/>
              <w:end w:w="85" w:type="dxa"/>
            </w:tcMar>
            <w:tcBorders>
              <w:top w:val="single" w:sz="5" w:color="237C82"/>
              <w:bottom w:val="single" w:sz="5" w:color="237C82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37C82"/>
                <w:sz w:val="17"/>
              </w:rPr>
              <w:t>置信度门控</w:t>
              <w:br/>
              <w:t>[0.28, 0.72]</w:t>
            </w:r>
          </w:p>
        </w:tc>
        <w:tc>
          <w:tcPr>
            <w:tcW w:type="dxa" w:w="19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5F6872"/>
                <w:sz w:val="24"/>
              </w:rPr>
              <w:t>→</w:t>
            </w:r>
          </w:p>
        </w:tc>
        <w:tc>
          <w:tcPr>
            <w:tcW w:type="dxa" w:w="1973"/>
            <w:vAlign w:val="center"/>
            <w:shd w:fill="DCEEEF"/>
            <w:tcMar>
              <w:top w:w="130" w:type="dxa"/>
              <w:start w:w="85" w:type="dxa"/>
              <w:bottom w:w="130" w:type="dxa"/>
              <w:end w:w="85" w:type="dxa"/>
            </w:tcMar>
            <w:tcBorders>
              <w:top w:val="single" w:sz="5" w:color="237C82"/>
              <w:bottom w:val="single" w:sz="5" w:color="237C82"/>
            </w:tcBorders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37C82"/>
                <w:sz w:val="17"/>
              </w:rPr>
              <w:t>仅不确定样本</w:t>
              <w:br/>
              <w:t>Qwen 第二意见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268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方法</w:t>
            </w:r>
          </w:p>
        </w:tc>
        <w:tc>
          <w:tcPr>
            <w:tcW w:type="dxa" w:w="1474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Macro-F1</w:t>
            </w:r>
          </w:p>
        </w:tc>
        <w:tc>
          <w:tcPr>
            <w:tcW w:type="dxa" w:w="1304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测试数</w:t>
            </w:r>
          </w:p>
        </w:tc>
        <w:tc>
          <w:tcPr>
            <w:tcW w:type="dxa" w:w="1474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Qwen 覆盖</w:t>
            </w:r>
          </w:p>
        </w:tc>
        <w:tc>
          <w:tcPr>
            <w:tcW w:type="dxa" w:w="2976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相对基线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TF-IDF 基线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82.29%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400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0%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基准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Qwen 直接分类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74.70%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400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100%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单独使用更差</w:t>
            </w:r>
          </w:p>
        </w:tc>
      </w:tr>
      <w:tr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E3F1E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不确定性门控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E3F1E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83.71%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E3F1E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400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E3F1E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38.5%</w:t>
            </w:r>
          </w:p>
        </w:tc>
        <w:tc>
          <w:tcPr>
            <w:tcW w:type="dxa" w:w="1973"/>
            <w:tcMar>
              <w:top w:w="75" w:type="dxa"/>
              <w:start w:w="85" w:type="dxa"/>
              <w:bottom w:w="75" w:type="dxa"/>
              <w:end w:w="85" w:type="dxa"/>
            </w:tcMar>
            <w:shd w:fill="E3F1E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+1.42 pp；95% CI [-2.61,+5.37]</w:t>
            </w:r>
          </w:p>
        </w:tc>
      </w:tr>
    </w:tbl>
    <w:p>
      <w:pPr>
        <w:spacing w:after="20"/>
      </w:pPr>
    </w:p>
    <w:p>
      <w:pPr>
        <w:keepNext w:val="0"/>
        <w:spacing w:after="160"/>
        <w:jc w:val="center"/>
      </w:pPr>
      <w:r>
        <w:rPr>
          <w:rFonts w:ascii="Microsoft YaHei" w:hAnsi="Microsoft YaHei" w:eastAsia="Microsoft YaHei"/>
          <w:color w:val="5F6872"/>
          <w:sz w:val="16"/>
        </w:rPr>
        <w:t>表 9  不确定性门控结果。提升区间跨 0，因此属于探索性证据。</w:t>
      </w:r>
    </w:p>
    <w:p>
      <w:pPr>
        <w:spacing w:before="0" w:after="140" w:line="324" w:lineRule="auto"/>
      </w:pPr>
      <w:r>
        <w:rPr>
          <w:rFonts w:ascii="Microsoft YaHei" w:hAnsi="Microsoft YaHei" w:eastAsia="Microsoft YaHei"/>
          <w:color w:val="27313B"/>
          <w:sz w:val="19"/>
        </w:rPr>
        <w:t>逐行诊断：154 条被路由样本上，Qwen 纠正 33 个基线错误，同时破坏 28 个原本正确样本，净增 5 条正确预测。混淆矩阵从 [[120,37],[30,213]] 变为 [[125,32],[30,213]]，主要减少了 5 个负类被误报为正类的错误。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6053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uncertainty_g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05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Microsoft YaHei" w:hAnsi="Microsoft YaHei" w:eastAsia="Microsoft YaHei"/>
          <w:color w:val="5F6872"/>
          <w:sz w:val="16"/>
        </w:rPr>
        <w:t>图 4  不确定性门控：验证集选阈值，固定测试集一次评估。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9"/>
        <w:gridCol w:w="8107"/>
      </w:tblGrid>
      <w:tr>
        <w:tc>
          <w:tcPr>
            <w:tcW w:type="dxa" w:w="4933"/>
            <w:shd w:fill="F7E5E8"/>
            <w:tcMar>
              <w:top w:w="120" w:type="dxa"/>
              <w:start w:w="85" w:type="dxa"/>
              <w:bottom w:w="120" w:type="dxa"/>
              <w:end w:w="85" w:type="dxa"/>
            </w:tcMar>
            <w:tcBorders>
              <w:top w:val="single" w:sz="4" w:color="A84A59"/>
              <w:bottom w:val="single" w:sz="4" w:color="A84A5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A84A59"/>
                <w:sz w:val="17"/>
              </w:rPr>
              <w:t>为什么不能与 Table 6 直接相减</w:t>
            </w:r>
          </w:p>
        </w:tc>
        <w:tc>
          <w:tcPr>
            <w:tcW w:type="dxa" w:w="4933"/>
            <w:shd w:fill="F7E5E8"/>
            <w:tcMar>
              <w:top w:w="120" w:type="dxa"/>
              <w:start w:w="85" w:type="dxa"/>
              <w:bottom w:w="120" w:type="dxa"/>
              <w:end w:w="85" w:type="dxa"/>
            </w:tcMar>
            <w:tcBorders>
              <w:top w:val="single" w:sz="4" w:color="A84A59"/>
              <w:bottom w:val="single" w:sz="4" w:color="A84A59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color w:val="27313B"/>
                <w:sz w:val="17"/>
              </w:rPr>
              <w:t>论文 Table 6 的大模型行是另一套 few-shot/PEFT 条件；本地门控只在 400 条子集上评估，还把 TF-IDF 与 Qwen 组合。83.71% 不能写成“比论文 SPT-RII 78.32% 高 5.39 pp”。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24D"/>
          <w:sz w:val="34"/>
        </w:rPr>
        <w:t>7. 效率：对应 §6.10 / Table 9 / p.17，描述性对照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850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701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模型</w:t>
            </w:r>
          </w:p>
        </w:tc>
        <w:tc>
          <w:tcPr>
            <w:tcW w:type="dxa" w:w="1814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报告 F1</w:t>
            </w:r>
          </w:p>
        </w:tc>
        <w:tc>
          <w:tcPr>
            <w:tcW w:type="dxa" w:w="1474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时间</w:t>
            </w:r>
          </w:p>
        </w:tc>
        <w:tc>
          <w:tcPr>
            <w:tcW w:type="dxa" w:w="1587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硬件</w:t>
            </w:r>
          </w:p>
        </w:tc>
        <w:tc>
          <w:tcPr>
            <w:tcW w:type="dxa" w:w="2551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任务含义</w:t>
            </w:r>
          </w:p>
        </w:tc>
      </w:tr>
      <w:tr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论文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Llama3.1-8B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75.79%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257 ms/条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RTX 4090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作为 SPT-RII 解释器</w:t>
            </w:r>
          </w:p>
        </w:tc>
      </w:tr>
      <w:tr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论文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Qwen2.5-7B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76.74%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283 ms/条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RTX 4090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作为 SPT-RII 解释器</w:t>
            </w:r>
          </w:p>
        </w:tc>
      </w:tr>
      <w:tr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论文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Deepseek-V3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78.32%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985 ms/条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未单列本地卡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远程/大模型设置</w:t>
            </w:r>
          </w:p>
        </w:tc>
      </w:tr>
      <w:tr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论文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ChatGPT-3.5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79.09%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1072 ms/条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服务端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远程 API</w:t>
            </w:r>
          </w:p>
        </w:tc>
      </w:tr>
      <w:tr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论文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ChatGPT-4o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78.60%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1062 ms/条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服务端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远程 API</w:t>
            </w:r>
          </w:p>
        </w:tc>
      </w:tr>
      <w:tr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8EED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本地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8EED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Qwen3-8B Q4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8EED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解释生成，不是同一 F1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8EED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562 ms/条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8EED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RTX 4060 8GB</w:t>
            </w:r>
          </w:p>
        </w:tc>
        <w:tc>
          <w:tcPr>
            <w:tcW w:type="dxa" w:w="1644"/>
            <w:tcMar>
              <w:top w:w="75" w:type="dxa"/>
              <w:start w:w="85" w:type="dxa"/>
              <w:bottom w:w="75" w:type="dxa"/>
              <w:end w:w="85" w:type="dxa"/>
            </w:tcMar>
            <w:shd w:fill="F8EED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4"/>
              </w:rPr>
              <w:t>800 条墙钟 450.2 s；峰值 6.40 GiB</w:t>
            </w:r>
          </w:p>
        </w:tc>
      </w:tr>
    </w:tbl>
    <w:p>
      <w:pPr>
        <w:spacing w:after="20"/>
      </w:pPr>
    </w:p>
    <w:p>
      <w:pPr>
        <w:keepNext w:val="0"/>
        <w:spacing w:after="160"/>
        <w:jc w:val="center"/>
      </w:pPr>
      <w:r>
        <w:rPr>
          <w:rFonts w:ascii="Microsoft YaHei" w:hAnsi="Microsoft YaHei" w:eastAsia="Microsoft YaHei"/>
          <w:color w:val="5F6872"/>
          <w:sz w:val="16"/>
        </w:rPr>
        <w:t>表 10  原论文 Table 9 与本地生成开销。硬件、模型量化、计时范围和任务均不同。</w:t>
      </w:r>
    </w:p>
    <w:p>
      <w:pPr>
        <w:spacing w:before="0" w:after="140" w:line="324" w:lineRule="auto"/>
      </w:pPr>
      <w:r>
        <w:rPr>
          <w:rFonts w:ascii="Microsoft YaHei" w:hAnsi="Microsoft YaHei" w:eastAsia="Microsoft YaHei"/>
          <w:color w:val="27313B"/>
          <w:sz w:val="19"/>
        </w:rPr>
        <w:t>原论文 Table 9 测的是“更换 SPT-RII 解释生成模型后的整体 F1 和单条时间”；本地 0.562 s/条只统计 Qwen3-8B Q4 的解释生成。Fig.7 还明确排除了 LLM 解释开销。因此这里只能说明 RTX 4060 可以跑通该组件并量化成本，不能做速度优越性结论。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24D"/>
          <w:sz w:val="34"/>
        </w:rPr>
        <w:t>8. 提升可信度、限制与下一步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37C82"/>
          <w:sz w:val="26"/>
        </w:rPr>
        <w:t>8.1 目前可以成立的结论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27313B"/>
          <w:sz w:val="18"/>
        </w:rPr>
        <w:t>低成本系统已跑通，且所有主结果都有固定测试集、验证集选参或 OOF 选参记录。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27313B"/>
          <w:sz w:val="18"/>
        </w:rPr>
        <w:t>70-shot 独立运行均值距离原论文仅 1.23 pp；工程集成点达到 81.65%，但预算边界已单独披露。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27313B"/>
          <w:sz w:val="18"/>
        </w:rPr>
        <w:t>1,000 条训练时，TF-IDF late fusion 提高 1.53 pp；RoBERTa compact late fusion 提高 0.43 pp，三种子方向一致。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27313B"/>
          <w:sz w:val="18"/>
        </w:rPr>
        <w:t>门控证明“只让大模型处理难例”比全量直接分类更合理，但 400 条测试上的置信区间跨 0。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37C82"/>
          <w:sz w:val="26"/>
        </w:rPr>
        <w:t>8.2 不能忽略的限制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531"/>
            <w:shd w:fill="A84A59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4535"/>
            <w:shd w:fill="A84A59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事实</w:t>
            </w:r>
          </w:p>
        </w:tc>
        <w:tc>
          <w:tcPr>
            <w:tcW w:type="dxa" w:w="3402"/>
            <w:shd w:fill="A84A59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文档处理</w:t>
            </w:r>
          </w:p>
        </w:tc>
      </w:tr>
      <w:tr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指标定义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论文未明确 F1 averaging；本地用 Macro-F1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所有跨论文差值标为近似口径</w:t>
            </w:r>
          </w:p>
        </w:tc>
      </w:tr>
      <w:tr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方法完整性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未实现 soft prompt、BiLSTM、动态 verbalizer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称为低成本替代，不称完整复现</w:t>
            </w:r>
          </w:p>
        </w:tc>
      </w:tr>
      <w:tr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集成预算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不同种子重新抽样，70-shot 三模型训练并集 420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集成点与独立均值分列</w:t>
            </w:r>
          </w:p>
        </w:tc>
      </w:tr>
      <w:tr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同直播间相关性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12 个 live_id 同时出现在训练/测试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尚未证明跨直播间泛化</w:t>
            </w:r>
          </w:p>
        </w:tc>
      </w:tr>
      <w:tr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上下文跨 split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解释实验中 81% 训练、99.5% 测试有跨 split 上下文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无金标签泄漏，但带有转导式同流信息</w:t>
            </w:r>
          </w:p>
        </w:tc>
      </w:tr>
      <w:tr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统计功效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内部测试 n=400；RoBERTa 仅 3 个种子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不把小幅变化写成显著提升</w:t>
            </w:r>
          </w:p>
        </w:tc>
      </w:tr>
    </w:tbl>
    <w:p>
      <w:pPr>
        <w:spacing w:after="20"/>
      </w:pPr>
    </w:p>
    <w:p>
      <w:pPr>
        <w:keepNext w:val="0"/>
        <w:spacing w:after="160"/>
        <w:jc w:val="center"/>
      </w:pPr>
      <w:r>
        <w:rPr>
          <w:rFonts w:ascii="Microsoft YaHei" w:hAnsi="Microsoft YaHei" w:eastAsia="Microsoft YaHei"/>
          <w:color w:val="5F6872"/>
          <w:sz w:val="16"/>
        </w:rPr>
        <w:t>表 11  结果解释所需的边界条件。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37C82"/>
          <w:sz w:val="26"/>
        </w:rPr>
        <w:t>8.3 下一轮最值得做的四个实验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907"/>
            <w:shd w:fill="237C82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4082"/>
            <w:shd w:fill="237C82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实验</w:t>
            </w:r>
          </w:p>
        </w:tc>
        <w:tc>
          <w:tcPr>
            <w:tcW w:type="dxa" w:w="4479"/>
            <w:shd w:fill="237C82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能解决的问题</w:t>
            </w:r>
          </w:p>
        </w:tc>
      </w:tr>
      <w:tr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P1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把门控扩展到 9,069 条完整固定测试集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验证 +1.42 pp 是否稳定；报告调用率、时间和 paired bootstrap CI</w:t>
            </w:r>
          </w:p>
        </w:tc>
      </w:tr>
      <w:tr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P2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固定同一 70-shot/类训练集做 5–10 次初始化集成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把纯模型集成收益与扩大样本并集收益分开</w:t>
            </w:r>
          </w:p>
        </w:tc>
      </w:tr>
      <w:tr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P3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按 live_id 分组划分并重建 split 内上下文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测真正的跨直播间泛化，消除同流转导因素</w:t>
            </w:r>
          </w:p>
        </w:tc>
      </w:tr>
      <w:tr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P4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系统扫描窗口 k={0,5,10,20} 与解释长度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5"/>
              </w:rPr>
              <w:t>直接对应原论文 Fig.9，确定 4060 条件下的最佳上下文预算</w:t>
            </w:r>
          </w:p>
        </w:tc>
      </w:tr>
    </w:tbl>
    <w:p>
      <w:pPr>
        <w:spacing w:after="20"/>
      </w:pPr>
    </w:p>
    <w:p>
      <w:pPr>
        <w:keepNext w:val="0"/>
        <w:spacing w:after="160"/>
        <w:jc w:val="center"/>
      </w:pPr>
      <w:r>
        <w:rPr>
          <w:rFonts w:ascii="Microsoft YaHei" w:hAnsi="Microsoft YaHei" w:eastAsia="Microsoft YaHei"/>
          <w:color w:val="5F6872"/>
          <w:sz w:val="16"/>
        </w:rPr>
        <w:t>表 12  下一轮实验优先级。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9"/>
        <w:gridCol w:w="8107"/>
      </w:tblGrid>
      <w:tr>
        <w:tc>
          <w:tcPr>
            <w:tcW w:type="dxa" w:w="4933"/>
            <w:shd w:fill="E3F1EA"/>
            <w:tcMar>
              <w:top w:w="120" w:type="dxa"/>
              <w:start w:w="85" w:type="dxa"/>
              <w:bottom w:w="120" w:type="dxa"/>
              <w:end w:w="85" w:type="dxa"/>
            </w:tcMar>
            <w:tcBorders>
              <w:top w:val="single" w:sz="4" w:color="2D7C55"/>
              <w:bottom w:val="single" w:sz="4" w:color="2D7C55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D7C55"/>
                <w:sz w:val="17"/>
              </w:rPr>
              <w:t>最终判断</w:t>
            </w:r>
          </w:p>
        </w:tc>
        <w:tc>
          <w:tcPr>
            <w:tcW w:type="dxa" w:w="4933"/>
            <w:shd w:fill="E3F1EA"/>
            <w:tcMar>
              <w:top w:w="120" w:type="dxa"/>
              <w:start w:w="85" w:type="dxa"/>
              <w:bottom w:w="120" w:type="dxa"/>
              <w:end w:w="85" w:type="dxa"/>
            </w:tcMar>
            <w:tcBorders>
              <w:top w:val="single" w:sz="4" w:color="2D7C55"/>
              <w:bottom w:val="single" w:sz="4" w:color="2D7C55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color w:val="27313B"/>
                <w:sz w:val="17"/>
              </w:rPr>
              <w:t>这次提升是成功的工程进展，但不是已经完成的 SPT-RII 同预算复现。最稳妥的成果表述是：本地替代路线进一步缩小了与论文结果的距离，并给出了一个更高的工程集成点；下一步需要控制累计标签预算和直播间划分，才能把它升级为更强的研究结论。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7324D"/>
          <w:sz w:val="34"/>
        </w:rPr>
        <w:t>9. 证据文件索引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2"/>
              </w:rPr>
              <w:t>证据</w:t>
            </w:r>
          </w:p>
        </w:tc>
        <w:tc>
          <w:tcPr>
            <w:tcW w:type="dxa" w:w="6009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2"/>
              </w:rPr>
              <w:t>绝对路径</w:t>
            </w:r>
          </w:p>
        </w:tc>
        <w:tc>
          <w:tcPr>
            <w:tcW w:type="dxa" w:w="1757"/>
            <w:shd w:fill="17324D"/>
            <w:tcMar>
              <w:top w:w="95" w:type="dxa"/>
              <w:start w:w="85" w:type="dxa"/>
              <w:bottom w:w="9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2"/>
              </w:rPr>
              <w:t>用途</w:t>
            </w:r>
          </w:p>
        </w:tc>
      </w:tr>
      <w:tr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原论文 PDF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E:\zotero\storage\7DATFQRR\</w:t>
              <w:br/>
              <w:t>Zhu 等 - 2026 - Analyzing bullet chats for recommendation intent identification Dataset and method.pdf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§5–§6、Table 5–10</w:t>
            </w:r>
          </w:p>
        </w:tc>
      </w:tr>
      <w:tr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原文位置映射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E:\Lab\experiment\paper_reader\source_map.json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S0064–S0266；T001</w:t>
            </w:r>
          </w:p>
        </w:tc>
      </w:tr>
      <w:tr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Table 5 原图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E:\Lab\experiment\paper_reader\assets\</w:t>
              <w:br/>
              <w:t>table5_recdy.png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原论文 p.14</w:t>
            </w:r>
          </w:p>
        </w:tc>
      </w:tr>
      <w:tr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论文对齐清单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E:\Lab\experiment\results\paper_comparison\</w:t>
              <w:br/>
              <w:t>paper_matched_manifest.json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split、种子、测试零调参</w:t>
            </w:r>
          </w:p>
        </w:tc>
      </w:tr>
      <w:tr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Table 5 对比数据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E:\Lab\experiment\results\paper_comparison\</w:t>
              <w:br/>
              <w:t>paper_vs_local_comparison.csv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论文值、本地均值、集成点</w:t>
            </w:r>
          </w:p>
        </w:tc>
      </w:tr>
      <w:tr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独立种子来源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E:\Lab\experiment\results\paper_comparison\</w:t>
              <w:br/>
              <w:t>paper_matched_per_seed_source.csv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50/60/70-shot 逐种子</w:t>
            </w:r>
          </w:p>
        </w:tc>
      </w:tr>
      <w:tr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TF-IDF 改进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E:\Lab\experiment\results\improvement\</w:t>
              <w:br/>
              <w:t>classical_improvement_summary.csv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400/1000 训练</w:t>
            </w:r>
          </w:p>
        </w:tc>
      </w:tr>
      <w:tr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配对区间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E:\Lab\experiment\results\improvement\</w:t>
              <w:br/>
              <w:t>improvement_comparisons.csv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paired/cluster bootstrap</w:t>
            </w:r>
          </w:p>
        </w:tc>
      </w:tr>
      <w:tr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RoBERTa 改进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E:\Lab\experiment\results\improvement\</w:t>
              <w:br/>
              <w:t>roberta_improvement_summary.csv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三种子均值±SD</w:t>
            </w:r>
          </w:p>
        </w:tc>
      </w:tr>
      <w:tr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RoBERTa 配对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E:\Lab\experiment\results\improvement\</w:t>
              <w:br/>
              <w:t>roberta_improvement_paired.csv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逐种子差值</w:t>
            </w:r>
          </w:p>
        </w:tc>
      </w:tr>
      <w:tr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不确定性门控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E:\Lab\experiment\results\improvement\</w:t>
              <w:br/>
              <w:t>uncertainty_gate.json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阈值、覆盖率、CI</w:t>
            </w:r>
          </w:p>
        </w:tc>
      </w:tr>
      <w:tr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门控逐行预测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E:\Lab\experiment\results\improvement\</w:t>
              <w:br/>
              <w:t>uncertainty_gate_test_predictions.csv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shd w:fill="F7F9FA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纠正/破坏与混淆矩阵</w:t>
            </w:r>
          </w:p>
        </w:tc>
      </w:tr>
      <w:tr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完整实验报告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E:\Lab\experiment\report\report.pdf</w:t>
            </w:r>
          </w:p>
        </w:tc>
        <w:tc>
          <w:tcPr>
            <w:tcW w:type="dxa" w:w="32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7313B"/>
                <w:sz w:val="12"/>
              </w:rPr>
              <w:t>方法、全部实验与附录</w:t>
            </w:r>
          </w:p>
        </w:tc>
      </w:tr>
    </w:tbl>
    <w:p>
      <w:pPr>
        <w:spacing w:after="20"/>
      </w:pPr>
    </w:p>
    <w:p>
      <w:pPr>
        <w:keepNext w:val="0"/>
        <w:spacing w:after="160"/>
        <w:jc w:val="center"/>
      </w:pPr>
      <w:r>
        <w:rPr>
          <w:rFonts w:ascii="Microsoft YaHei" w:hAnsi="Microsoft YaHei" w:eastAsia="Microsoft YaHei"/>
          <w:color w:val="5F6872"/>
          <w:sz w:val="16"/>
        </w:rPr>
        <w:t>表 13  本文档所有数字均可回溯到以上文件。</w:t>
      </w:r>
    </w:p>
    <w:p>
      <w:pPr>
        <w:spacing w:before="0" w:after="140" w:line="324" w:lineRule="auto"/>
      </w:pPr>
      <w:r>
        <w:rPr>
          <w:rFonts w:ascii="Microsoft YaHei" w:hAnsi="Microsoft YaHei" w:eastAsia="Microsoft YaHei"/>
          <w:color w:val="27313B"/>
          <w:sz w:val="19"/>
        </w:rPr>
        <w:t>文档版本：2026-07-18。生成脚本与本文件同目录，重新运行可从 CSV/JSON 证据生成 Word 和 Markdown。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20" w:bottom="879" w:left="1020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Microsoft YaHei" w:hAnsi="Microsoft YaHei" w:eastAsia="Microsoft YaHei"/>
        <w:color w:val="5F6872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5F6872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4" w:color="237C82"/>
      </w:pBdr>
    </w:pPr>
    <w:r/>
    <w:r>
      <w:rPr>
        <w:rFonts w:ascii="Microsoft YaHei" w:hAnsi="Microsoft YaHei" w:eastAsia="Microsoft YaHei"/>
        <w:b/>
        <w:color w:val="237C82"/>
        <w:sz w:val="16"/>
      </w:rPr>
      <w:t>提升数据与原论文逐项对比  |  RecDY 推荐意图识别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提升数据与原论文逐项对比</dc:title>
  <dc:subject>RecDY 推荐意图识别：RTX 4060 本地改进与原论文位置映射</dc:subject>
  <dc:creator>实验项目组</dc:creator>
  <cp:keywords>RecDY, SPT-RII, RoBERTa, Qwen, TF-IDF, recommendation intent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