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294C" w14:textId="77777777" w:rsidR="001867D6" w:rsidRDefault="001867D6">
      <w:pPr>
        <w:spacing w:before="1440"/>
      </w:pPr>
    </w:p>
    <w:p w14:paraId="07FDDEE9" w14:textId="77777777" w:rsidR="004B6662" w:rsidRDefault="004B6662">
      <w:pPr>
        <w:spacing w:before="1440"/>
      </w:pPr>
    </w:p>
    <w:p w14:paraId="68974F2E" w14:textId="77777777" w:rsidR="001867D6" w:rsidRDefault="00000000">
      <w:pPr>
        <w:spacing w:before="200" w:after="120"/>
        <w:jc w:val="center"/>
      </w:pPr>
      <w:r>
        <w:rPr>
          <w:b/>
          <w:bCs/>
          <w:color w:val="1F4E79"/>
          <w:sz w:val="40"/>
          <w:szCs w:val="40"/>
        </w:rPr>
        <w:t>BLUESTOCK MUTUAL FUND ANALYTICS</w:t>
      </w:r>
    </w:p>
    <w:p w14:paraId="0FC57A3F" w14:textId="77777777" w:rsidR="001867D6" w:rsidRDefault="00000000"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>CAPSTONE PROJECT</w:t>
      </w:r>
    </w:p>
    <w:p w14:paraId="25EF70E5" w14:textId="77777777" w:rsidR="001867D6" w:rsidRDefault="00000000">
      <w:pPr>
        <w:spacing w:before="200" w:after="80"/>
        <w:jc w:val="center"/>
      </w:pPr>
      <w:r>
        <w:rPr>
          <w:sz w:val="24"/>
          <w:szCs w:val="24"/>
        </w:rPr>
        <w:t>Submitted by: Mugilan M</w:t>
      </w:r>
    </w:p>
    <w:p w14:paraId="6DCAC8E5" w14:textId="77777777" w:rsidR="001867D6" w:rsidRDefault="00000000">
      <w:pPr>
        <w:spacing w:after="80"/>
        <w:jc w:val="center"/>
      </w:pPr>
      <w:r>
        <w:rPr>
          <w:sz w:val="24"/>
          <w:szCs w:val="24"/>
        </w:rPr>
        <w:t>Duration: 7-Day Mutual Fund Analytics Project</w:t>
      </w:r>
    </w:p>
    <w:p w14:paraId="1789F2E1" w14:textId="77777777" w:rsidR="001867D6" w:rsidRDefault="00000000">
      <w:pPr>
        <w:spacing w:after="80"/>
        <w:jc w:val="center"/>
      </w:pPr>
      <w:r>
        <w:rPr>
          <w:sz w:val="24"/>
          <w:szCs w:val="24"/>
        </w:rPr>
        <w:t>Technologies: Python • Pandas • SQLite • SQL • Power BI • GitHub</w:t>
      </w:r>
    </w:p>
    <w:p w14:paraId="2237549E" w14:textId="77777777" w:rsidR="001867D6" w:rsidRDefault="00000000">
      <w:pPr>
        <w:spacing w:after="80"/>
        <w:jc w:val="center"/>
      </w:pPr>
      <w:r>
        <w:rPr>
          <w:sz w:val="24"/>
          <w:szCs w:val="24"/>
        </w:rPr>
        <w:t>Submission Date: June 2026</w:t>
      </w:r>
    </w:p>
    <w:p w14:paraId="3FB5F1B0" w14:textId="77777777" w:rsidR="001867D6" w:rsidRDefault="00000000">
      <w:r>
        <w:br w:type="page"/>
      </w:r>
    </w:p>
    <w:p w14:paraId="4205C0EF" w14:textId="77777777" w:rsidR="001867D6" w:rsidRDefault="00000000">
      <w:pPr>
        <w:pStyle w:val="Heading1"/>
      </w:pPr>
      <w:r>
        <w:lastRenderedPageBreak/>
        <w:t>Executive Summary</w:t>
      </w:r>
    </w:p>
    <w:p w14:paraId="71C75C0D" w14:textId="77777777" w:rsidR="001867D6" w:rsidRDefault="00000000">
      <w:pPr>
        <w:spacing w:before="100" w:after="160"/>
      </w:pPr>
      <w:r>
        <w:t>For this capstone, I built a full analytics pipeline around mutual fund performance data — from raw CSV ingestion all the way to an interactive Power BI dashboard. The goal was straightforward: give investors a single place to evaluate fund performance, compare risk levels, and spot meaningful trends without having to juggle spreadsheets or dig through data manually.</w:t>
      </w:r>
    </w:p>
    <w:p w14:paraId="082346A7" w14:textId="77777777" w:rsidR="001867D6" w:rsidRDefault="00000000">
      <w:pPr>
        <w:spacing w:before="100" w:after="160"/>
      </w:pPr>
      <w:r>
        <w:t>I used Python and Pandas to clean and process the data, then loaded everything into an SQLite database so I could query it efficiently with SQL. From there, I calculated key financial metrics like Alpha, Beta, Sharpe Ratio, and Risk Grade to go beyond surface-level return numbers. The final Power BI dashboard ties it all together, letting users filter by category, compare funds side by side, and assess risk at a glance.</w:t>
      </w:r>
    </w:p>
    <w:p w14:paraId="4C5A25BF" w14:textId="77777777" w:rsidR="001867D6" w:rsidRDefault="00000000">
      <w:pPr>
        <w:spacing w:before="100" w:after="160"/>
      </w:pPr>
      <w:r>
        <w:t>What this project gave me, beyond the technical output, was a working understanding of how financial data flows from raw source to actionable insight — which is exactly the kind of end-to-end thinking this capstone was designed to build.</w:t>
      </w:r>
    </w:p>
    <w:p w14:paraId="3966E941" w14:textId="77777777" w:rsidR="001867D6" w:rsidRDefault="00000000">
      <w:pPr>
        <w:pStyle w:val="Heading1"/>
      </w:pPr>
      <w:r>
        <w:t>Problem Statement</w:t>
      </w:r>
    </w:p>
    <w:p w14:paraId="3C0F266D" w14:textId="77777777" w:rsidR="001867D6" w:rsidRDefault="00000000">
      <w:pPr>
        <w:spacing w:before="100" w:after="160"/>
      </w:pPr>
      <w:r>
        <w:t>Anyone who’s tried to pick a mutual fund knows how overwhelming it gets. There’s a huge amount of data across funds, and the metrics used to evaluate them — returns, alpha, beta, expense ratios — aren’t always easy to interpret, especially when you’re comparing dozens of options at once.</w:t>
      </w:r>
    </w:p>
    <w:p w14:paraId="2C41E5D6" w14:textId="77777777" w:rsidR="001867D6" w:rsidRDefault="00000000">
      <w:pPr>
        <w:spacing w:before="100" w:after="160"/>
      </w:pPr>
      <w:r>
        <w:t>The gap I wanted to address: investors often rely too heavily on raw return numbers, which don’t tell the whole story. A fund with high returns might carry excessive risk or consistently underperform its benchmark on a risk-adjusted basis. I wanted to build something that surfaces those nuances in a clear, visual way — a system that makes multi-factor fund evaluation accessible without requiring deep financial expertise.</w:t>
      </w:r>
    </w:p>
    <w:p w14:paraId="771B0C18" w14:textId="77777777" w:rsidR="001867D6" w:rsidRDefault="00000000">
      <w:pPr>
        <w:pStyle w:val="Heading1"/>
      </w:pPr>
      <w:r>
        <w:t>Objectives</w:t>
      </w:r>
    </w:p>
    <w:p w14:paraId="63ABEE40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Collect, clean, and organize mutual fund data for analysis</w:t>
      </w:r>
    </w:p>
    <w:p w14:paraId="55DFFF11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Store and manage the cleaned dataset in an SQLite database</w:t>
      </w:r>
    </w:p>
    <w:p w14:paraId="0D4905A5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Run exploratory analysis to understand fund characteristics and distributions</w:t>
      </w:r>
    </w:p>
    <w:p w14:paraId="456A55F2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Calculate performance metrics including Alpha, Beta, and Sharpe Ratio</w:t>
      </w:r>
    </w:p>
    <w:p w14:paraId="1B6FF7F0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Build a risk classification system to grade funds by risk profile</w:t>
      </w:r>
    </w:p>
    <w:p w14:paraId="31876F8E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Develop an interactive Power BI dashboard for end-user exploration</w:t>
      </w:r>
    </w:p>
    <w:p w14:paraId="33CF6B5C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Extract business-relevant insights from the data</w:t>
      </w:r>
    </w:p>
    <w:p w14:paraId="37567AEB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Demonstrate a complete, reproducible end-to-end analytics workflow</w:t>
      </w:r>
    </w:p>
    <w:p w14:paraId="0BB662B0" w14:textId="77777777" w:rsidR="001867D6" w:rsidRDefault="001867D6">
      <w:pPr>
        <w:spacing w:before="100"/>
      </w:pPr>
    </w:p>
    <w:p w14:paraId="6EF4C131" w14:textId="77777777" w:rsidR="001867D6" w:rsidRDefault="00000000">
      <w:pPr>
        <w:pStyle w:val="Heading1"/>
      </w:pPr>
      <w:r>
        <w:t>Tools and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67D6" w14:paraId="7585E3F0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6B0A" w14:textId="77777777" w:rsidR="001867D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2A63" w14:textId="77777777" w:rsidR="001867D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867D6" w14:paraId="595ACE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756F" w14:textId="77777777" w:rsidR="001867D6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F7EB" w14:textId="77777777" w:rsidR="001867D6" w:rsidRDefault="00000000">
            <w:r>
              <w:rPr>
                <w:sz w:val="20"/>
                <w:szCs w:val="20"/>
              </w:rPr>
              <w:t>Core data processing and analytics scripting</w:t>
            </w:r>
          </w:p>
        </w:tc>
      </w:tr>
      <w:tr w:rsidR="001867D6" w14:paraId="570700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6082" w14:textId="77777777" w:rsidR="001867D6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0F3A" w14:textId="77777777" w:rsidR="001867D6" w:rsidRDefault="00000000">
            <w:r>
              <w:rPr>
                <w:sz w:val="20"/>
                <w:szCs w:val="20"/>
              </w:rPr>
              <w:t>Data manipulation, cleaning, and transformation</w:t>
            </w:r>
          </w:p>
        </w:tc>
      </w:tr>
      <w:tr w:rsidR="001867D6" w14:paraId="15AA9F3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E170" w14:textId="77777777" w:rsidR="001867D6" w:rsidRDefault="00000000">
            <w:r>
              <w:rPr>
                <w:sz w:val="20"/>
                <w:szCs w:val="20"/>
              </w:rPr>
              <w:lastRenderedPageBreak/>
              <w:t>SQLite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5689" w14:textId="77777777" w:rsidR="001867D6" w:rsidRDefault="00000000">
            <w:r>
              <w:rPr>
                <w:sz w:val="20"/>
                <w:szCs w:val="20"/>
              </w:rPr>
              <w:t>Lightweight relational database for structured storage</w:t>
            </w:r>
          </w:p>
        </w:tc>
      </w:tr>
      <w:tr w:rsidR="001867D6" w14:paraId="5C4AA8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95FD" w14:textId="77777777" w:rsidR="001867D6" w:rsidRDefault="00000000">
            <w:r>
              <w:rPr>
                <w:sz w:val="20"/>
                <w:szCs w:val="20"/>
              </w:rPr>
              <w:t>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F8E8" w14:textId="77777777" w:rsidR="001867D6" w:rsidRDefault="00000000">
            <w:r>
              <w:rPr>
                <w:sz w:val="20"/>
                <w:szCs w:val="20"/>
              </w:rPr>
              <w:t>Querying, filtering, and data retrieval</w:t>
            </w:r>
          </w:p>
        </w:tc>
      </w:tr>
      <w:tr w:rsidR="001867D6" w14:paraId="3FCF9D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2C37" w14:textId="77777777" w:rsidR="001867D6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F9E4" w14:textId="77777777" w:rsidR="001867D6" w:rsidRDefault="00000000">
            <w:r>
              <w:rPr>
                <w:sz w:val="20"/>
                <w:szCs w:val="20"/>
              </w:rPr>
              <w:t>Exploratory charts and inline visualizations</w:t>
            </w:r>
          </w:p>
        </w:tc>
      </w:tr>
      <w:tr w:rsidR="001867D6" w14:paraId="2A9BE57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0897" w14:textId="77777777" w:rsidR="001867D6" w:rsidRDefault="00000000">
            <w:r>
              <w:rPr>
                <w:sz w:val="20"/>
                <w:szCs w:val="20"/>
              </w:rPr>
              <w:t>Power BI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488B" w14:textId="77777777" w:rsidR="001867D6" w:rsidRDefault="00000000">
            <w:r>
              <w:rPr>
                <w:sz w:val="20"/>
                <w:szCs w:val="20"/>
              </w:rPr>
              <w:t>Interactive dashboard for business reporting</w:t>
            </w:r>
          </w:p>
        </w:tc>
      </w:tr>
      <w:tr w:rsidR="001867D6" w14:paraId="240B4E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18DE" w14:textId="77777777" w:rsidR="001867D6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C22E" w14:textId="77777777" w:rsidR="001867D6" w:rsidRDefault="00000000">
            <w:r>
              <w:rPr>
                <w:sz w:val="20"/>
                <w:szCs w:val="20"/>
              </w:rPr>
              <w:t>Version control and project hosting</w:t>
            </w:r>
          </w:p>
        </w:tc>
      </w:tr>
      <w:tr w:rsidR="001867D6" w14:paraId="2AEB22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25B9" w14:textId="77777777" w:rsidR="001867D6" w:rsidRDefault="00000000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0CF6" w14:textId="77777777" w:rsidR="001867D6" w:rsidRDefault="00000000">
            <w:r>
              <w:rPr>
                <w:sz w:val="20"/>
                <w:szCs w:val="20"/>
              </w:rPr>
              <w:t>Development and documentation environment</w:t>
            </w:r>
          </w:p>
        </w:tc>
      </w:tr>
    </w:tbl>
    <w:p w14:paraId="199CCF5D" w14:textId="77777777" w:rsidR="001867D6" w:rsidRDefault="001867D6">
      <w:pPr>
        <w:spacing w:before="200"/>
      </w:pPr>
    </w:p>
    <w:p w14:paraId="2FCBD7D6" w14:textId="77777777" w:rsidR="001867D6" w:rsidRDefault="00000000">
      <w:pPr>
        <w:pStyle w:val="Heading1"/>
      </w:pPr>
      <w:r>
        <w:t>Data Collection and Understanding</w:t>
      </w:r>
    </w:p>
    <w:p w14:paraId="3A23F74C" w14:textId="77777777" w:rsidR="001867D6" w:rsidRDefault="00000000">
      <w:pPr>
        <w:spacing w:before="100" w:after="160"/>
      </w:pPr>
      <w:r>
        <w:t>The dataset I worked with covers mutual fund performance, categories, return histories, and risk attributes. Before doing anything analytical, I spent time genuinely understanding what I was working with — reviewing column names, checking data types, looking for missing values, and spotting inconsistencies that could distort later calculations.</w:t>
      </w:r>
    </w:p>
    <w:p w14:paraId="10D2EE30" w14:textId="77777777" w:rsidR="001867D6" w:rsidRDefault="00000000">
      <w:pPr>
        <w:spacing w:before="100" w:after="160"/>
      </w:pPr>
      <w:r>
        <w:t>This upfront inspection wasn’t just housekeeping. Understanding the variables early shaped every downstream decision: which metrics were worth calculating, how to handle gaps in the data, and what kinds of comparisons would actually be meaningful in the dashboard.</w:t>
      </w:r>
    </w:p>
    <w:p w14:paraId="0A5C5E8F" w14:textId="77777777" w:rsidR="004B6662" w:rsidRDefault="004B6662">
      <w:pPr>
        <w:spacing w:before="100" w:after="160"/>
      </w:pPr>
    </w:p>
    <w:p w14:paraId="45BDA1FD" w14:textId="16FC5069" w:rsidR="00430371" w:rsidRDefault="00430371">
      <w:pPr>
        <w:spacing w:before="100" w:after="160"/>
      </w:pPr>
      <w:r w:rsidRPr="002844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A59C64" wp14:editId="4B23936B">
            <wp:extent cx="6166757" cy="3825875"/>
            <wp:effectExtent l="0" t="0" r="5715" b="3175"/>
            <wp:docPr id="4912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843" cy="38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70E3" w14:textId="77777777" w:rsidR="00430371" w:rsidRDefault="00430371">
      <w:pPr>
        <w:spacing w:before="100" w:after="160"/>
      </w:pPr>
    </w:p>
    <w:p w14:paraId="1BCD2144" w14:textId="2781F69C" w:rsidR="00430371" w:rsidRDefault="00430371">
      <w:pPr>
        <w:spacing w:before="100" w:after="160"/>
      </w:pPr>
      <w:r w:rsidRPr="002844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E8E65" wp14:editId="58099CB8">
            <wp:extent cx="5768975" cy="2846614"/>
            <wp:effectExtent l="0" t="0" r="3175" b="0"/>
            <wp:docPr id="2791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5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447" cy="286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3776" w14:textId="77777777" w:rsidR="00430371" w:rsidRDefault="00430371">
      <w:pPr>
        <w:spacing w:before="100" w:after="160"/>
      </w:pPr>
    </w:p>
    <w:p w14:paraId="0C6871DB" w14:textId="2943E2E1" w:rsidR="00430371" w:rsidRDefault="00430371">
      <w:pPr>
        <w:spacing w:before="100" w:after="160"/>
      </w:pPr>
      <w:r w:rsidRPr="002844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638DC2" wp14:editId="025B488D">
            <wp:extent cx="5878195" cy="4435928"/>
            <wp:effectExtent l="0" t="0" r="8255" b="3175"/>
            <wp:docPr id="92206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4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548" cy="44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E3F2" w14:textId="77777777" w:rsidR="00430371" w:rsidRDefault="00430371">
      <w:pPr>
        <w:spacing w:before="100" w:after="160"/>
      </w:pPr>
    </w:p>
    <w:p w14:paraId="35EE9140" w14:textId="458ABA13" w:rsidR="00430371" w:rsidRDefault="00430371">
      <w:pPr>
        <w:spacing w:before="100" w:after="160"/>
      </w:pPr>
      <w:r w:rsidRPr="002844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1154D9" wp14:editId="11F102E5">
            <wp:extent cx="5921829" cy="3288973"/>
            <wp:effectExtent l="0" t="0" r="3175" b="6985"/>
            <wp:docPr id="3193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135" cy="330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D772" w14:textId="77777777" w:rsidR="00430371" w:rsidRDefault="00430371">
      <w:pPr>
        <w:spacing w:before="100" w:after="160"/>
      </w:pPr>
    </w:p>
    <w:p w14:paraId="656F4577" w14:textId="2C31FE35" w:rsidR="00430371" w:rsidRDefault="00000000" w:rsidP="00430371">
      <w:pPr>
        <w:pStyle w:val="Heading1"/>
      </w:pPr>
      <w:r>
        <w:t>ETL Process</w:t>
      </w:r>
    </w:p>
    <w:p w14:paraId="6604DB25" w14:textId="77777777" w:rsidR="001867D6" w:rsidRDefault="00000000">
      <w:pPr>
        <w:pStyle w:val="Heading2"/>
      </w:pPr>
      <w:r>
        <w:t>Extract</w:t>
      </w:r>
    </w:p>
    <w:p w14:paraId="63580211" w14:textId="77777777" w:rsidR="001867D6" w:rsidRDefault="00000000">
      <w:pPr>
        <w:spacing w:before="100" w:after="160"/>
      </w:pPr>
      <w:r>
        <w:t>Raw mutual fund data was brought into the Python environment using Pandas. This served as the single source of truth for all subsequent processing. I kept this step simple and repeatable — no manual file edits, just a clean import that could be re-run if the source data changed.</w:t>
      </w:r>
    </w:p>
    <w:p w14:paraId="42542808" w14:textId="77777777" w:rsidR="001867D6" w:rsidRDefault="00000000">
      <w:pPr>
        <w:pStyle w:val="Heading2"/>
      </w:pPr>
      <w:r>
        <w:t>Transform</w:t>
      </w:r>
    </w:p>
    <w:p w14:paraId="31909D4A" w14:textId="77777777" w:rsidR="001867D6" w:rsidRDefault="00000000">
      <w:pPr>
        <w:spacing w:before="100" w:after="160"/>
      </w:pPr>
      <w:r>
        <w:t>The bulk of the work happened here. I addressed missing values, standardized column formats to ensure consistency, validated numerical fields against expected ranges, and computed derived metrics needed for performance analysis. A few fields required careful judgement calls — for example, deciding how to handle funds with incomplete return histories without skewing aggregate comparisons.</w:t>
      </w:r>
    </w:p>
    <w:p w14:paraId="13EEE652" w14:textId="77777777" w:rsidR="001867D6" w:rsidRDefault="00000000">
      <w:pPr>
        <w:pStyle w:val="Heading2"/>
      </w:pPr>
      <w:r>
        <w:t>Load</w:t>
      </w:r>
    </w:p>
    <w:p w14:paraId="4F068160" w14:textId="77777777" w:rsidR="001867D6" w:rsidRDefault="00000000">
      <w:pPr>
        <w:spacing w:before="100" w:after="160"/>
      </w:pPr>
      <w:r>
        <w:t>Once the data was clean, I loaded it into an SQLite database. This made it much easier to query specific segments — filtering by category, pulling top performers by Alpha, or slicing by risk grade — without reloading the full dataset in Python each time. The ETL pipeline as a whole gave me a reliable, consistent foundation that the rest of the project depended on.</w:t>
      </w:r>
    </w:p>
    <w:p w14:paraId="388D6A72" w14:textId="77777777" w:rsidR="00430371" w:rsidRDefault="00430371">
      <w:pPr>
        <w:spacing w:before="100" w:after="160"/>
      </w:pPr>
    </w:p>
    <w:p w14:paraId="477901CA" w14:textId="77777777" w:rsidR="00430371" w:rsidRDefault="00430371">
      <w:pPr>
        <w:spacing w:before="100" w:after="160"/>
      </w:pPr>
    </w:p>
    <w:p w14:paraId="13E75F12" w14:textId="77777777" w:rsidR="00430371" w:rsidRDefault="00430371">
      <w:pPr>
        <w:spacing w:before="100" w:after="160"/>
      </w:pPr>
    </w:p>
    <w:p w14:paraId="0D0BBF51" w14:textId="77777777" w:rsidR="00430371" w:rsidRDefault="00430371">
      <w:pPr>
        <w:spacing w:before="100" w:after="160"/>
      </w:pPr>
    </w:p>
    <w:p w14:paraId="2259563D" w14:textId="36C7F2ED" w:rsidR="00430371" w:rsidRDefault="00430371" w:rsidP="00430371">
      <w:pPr>
        <w:pStyle w:val="Heading2"/>
      </w:pPr>
      <w:r>
        <w:lastRenderedPageBreak/>
        <w:t>Workflow</w:t>
      </w:r>
    </w:p>
    <w:p w14:paraId="558892C4" w14:textId="28DAB517" w:rsidR="00430371" w:rsidRDefault="00430371" w:rsidP="00430371">
      <w:pPr>
        <w:pStyle w:val="Heading2"/>
      </w:pPr>
      <w:r w:rsidRPr="00284453">
        <w:rPr>
          <w:rFonts w:ascii="Times New Roman" w:hAnsi="Times New Roman" w:cs="Times New Roman"/>
          <w:noProof/>
        </w:rPr>
        <w:drawing>
          <wp:inline distT="0" distB="0" distL="0" distR="0" wp14:anchorId="696200E7" wp14:editId="22D4EB19">
            <wp:extent cx="2295524" cy="3494315"/>
            <wp:effectExtent l="0" t="0" r="0" b="0"/>
            <wp:docPr id="167695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52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0923" cy="35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A30B" w14:textId="77777777" w:rsidR="00430371" w:rsidRDefault="00430371" w:rsidP="00430371">
      <w:pPr>
        <w:pStyle w:val="Heading2"/>
      </w:pPr>
    </w:p>
    <w:p w14:paraId="21F6978C" w14:textId="3016BAD8" w:rsidR="00430371" w:rsidRDefault="00430371" w:rsidP="00430371">
      <w:pPr>
        <w:pStyle w:val="Heading2"/>
      </w:pPr>
      <w:r w:rsidRPr="0043402F">
        <w:rPr>
          <w:rFonts w:ascii="Times New Roman" w:hAnsi="Times New Roman" w:cs="Times New Roman"/>
          <w:noProof/>
        </w:rPr>
        <w:drawing>
          <wp:inline distT="0" distB="0" distL="0" distR="0" wp14:anchorId="730AB16E" wp14:editId="4A94C942">
            <wp:extent cx="5528484" cy="3744686"/>
            <wp:effectExtent l="0" t="0" r="0" b="8255"/>
            <wp:docPr id="38883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5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8484" cy="37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5714" w14:textId="622A389B" w:rsidR="00430371" w:rsidRDefault="00430371" w:rsidP="00430371">
      <w:pPr>
        <w:pStyle w:val="Heading2"/>
      </w:pPr>
      <w:r w:rsidRPr="004340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CA6F39" wp14:editId="65689FEC">
            <wp:extent cx="5943600" cy="3597275"/>
            <wp:effectExtent l="0" t="0" r="0" b="3175"/>
            <wp:docPr id="16740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30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F703" w14:textId="77777777" w:rsidR="00430371" w:rsidRDefault="00430371" w:rsidP="00430371">
      <w:pPr>
        <w:pStyle w:val="Heading2"/>
      </w:pPr>
    </w:p>
    <w:p w14:paraId="06D0082C" w14:textId="4BD49C46" w:rsidR="00430371" w:rsidRDefault="00430371" w:rsidP="00430371">
      <w:pPr>
        <w:pStyle w:val="Heading2"/>
      </w:pPr>
      <w:r w:rsidRPr="006603E7">
        <w:rPr>
          <w:rFonts w:ascii="Times New Roman" w:hAnsi="Times New Roman" w:cs="Times New Roman"/>
          <w:noProof/>
        </w:rPr>
        <w:drawing>
          <wp:inline distT="0" distB="0" distL="0" distR="0" wp14:anchorId="367C11F5" wp14:editId="50C9A664">
            <wp:extent cx="5731510" cy="3669030"/>
            <wp:effectExtent l="0" t="0" r="2540" b="7620"/>
            <wp:docPr id="115606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6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B844" w14:textId="653F792F" w:rsidR="00430371" w:rsidRDefault="00430371" w:rsidP="00430371">
      <w:pPr>
        <w:pStyle w:val="Heading2"/>
      </w:pPr>
      <w:r w:rsidRPr="00430371">
        <w:rPr>
          <w:noProof/>
        </w:rPr>
        <w:lastRenderedPageBreak/>
        <w:drawing>
          <wp:inline distT="0" distB="0" distL="0" distR="0" wp14:anchorId="4F18E30E" wp14:editId="5F332D0A">
            <wp:extent cx="5943600" cy="2931795"/>
            <wp:effectExtent l="0" t="0" r="0" b="1905"/>
            <wp:docPr id="11241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87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4B86" w14:textId="77777777" w:rsidR="00430371" w:rsidRDefault="00430371" w:rsidP="00430371">
      <w:pPr>
        <w:pStyle w:val="Heading2"/>
      </w:pPr>
    </w:p>
    <w:p w14:paraId="4D880538" w14:textId="7198D220" w:rsidR="00430371" w:rsidRDefault="00430371" w:rsidP="00430371">
      <w:pPr>
        <w:pStyle w:val="Heading2"/>
      </w:pPr>
      <w:r w:rsidRPr="006603E7">
        <w:rPr>
          <w:rFonts w:ascii="Times New Roman" w:hAnsi="Times New Roman" w:cs="Times New Roman"/>
          <w:noProof/>
        </w:rPr>
        <w:drawing>
          <wp:inline distT="0" distB="0" distL="0" distR="0" wp14:anchorId="0EC21A2D" wp14:editId="4772F043">
            <wp:extent cx="5731510" cy="4086225"/>
            <wp:effectExtent l="0" t="0" r="2540" b="9525"/>
            <wp:docPr id="47178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4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3464" w14:textId="77777777" w:rsidR="00430371" w:rsidRDefault="00430371" w:rsidP="00430371">
      <w:pPr>
        <w:pStyle w:val="Heading2"/>
      </w:pPr>
    </w:p>
    <w:p w14:paraId="27CDEF12" w14:textId="74BEC132" w:rsidR="00430371" w:rsidRDefault="00430371" w:rsidP="00430371">
      <w:pPr>
        <w:pStyle w:val="Heading2"/>
      </w:pPr>
      <w:r w:rsidRPr="00B372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D6AD31" wp14:editId="5041509F">
            <wp:extent cx="5731510" cy="3516086"/>
            <wp:effectExtent l="0" t="0" r="2540" b="8255"/>
            <wp:docPr id="81413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9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102" cy="35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9663" w14:textId="77777777" w:rsidR="00430371" w:rsidRDefault="00430371" w:rsidP="00430371">
      <w:pPr>
        <w:pStyle w:val="Heading2"/>
      </w:pPr>
    </w:p>
    <w:p w14:paraId="26AACB52" w14:textId="7B7772C5" w:rsidR="00430371" w:rsidRDefault="00430371" w:rsidP="00430371">
      <w:pPr>
        <w:pStyle w:val="Heading2"/>
      </w:pPr>
      <w:r w:rsidRPr="00430371">
        <w:rPr>
          <w:noProof/>
        </w:rPr>
        <w:drawing>
          <wp:inline distT="0" distB="0" distL="0" distR="0" wp14:anchorId="307ADFCF" wp14:editId="110D5433">
            <wp:extent cx="5812971" cy="4199255"/>
            <wp:effectExtent l="0" t="0" r="0" b="0"/>
            <wp:docPr id="121860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4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2971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B284" w14:textId="5FE9DF74" w:rsidR="004B6662" w:rsidRDefault="004B6662" w:rsidP="00430371">
      <w:pPr>
        <w:pStyle w:val="Heading2"/>
      </w:pPr>
      <w:r w:rsidRPr="004B6662">
        <w:rPr>
          <w:noProof/>
        </w:rPr>
        <w:lastRenderedPageBreak/>
        <w:drawing>
          <wp:inline distT="0" distB="0" distL="0" distR="0" wp14:anchorId="2A2E3F5B" wp14:editId="5405E5E8">
            <wp:extent cx="5943600" cy="3079115"/>
            <wp:effectExtent l="0" t="0" r="0" b="6985"/>
            <wp:docPr id="16871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7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2D9D" w14:textId="77777777" w:rsidR="004B6662" w:rsidRDefault="004B6662" w:rsidP="00430371">
      <w:pPr>
        <w:pStyle w:val="Heading2"/>
      </w:pPr>
    </w:p>
    <w:p w14:paraId="436C2713" w14:textId="0342BFC4" w:rsidR="004B6662" w:rsidRDefault="004B6662" w:rsidP="00430371">
      <w:pPr>
        <w:pStyle w:val="Heading2"/>
      </w:pPr>
      <w:r w:rsidRPr="004B6662">
        <w:rPr>
          <w:noProof/>
        </w:rPr>
        <w:drawing>
          <wp:inline distT="0" distB="0" distL="0" distR="0" wp14:anchorId="32C3686B" wp14:editId="07AEE49A">
            <wp:extent cx="5981281" cy="4490358"/>
            <wp:effectExtent l="0" t="0" r="635" b="5715"/>
            <wp:docPr id="15658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95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3734" cy="44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1272" w14:textId="77777777" w:rsidR="001867D6" w:rsidRDefault="00000000">
      <w:pPr>
        <w:pStyle w:val="Heading1"/>
      </w:pPr>
      <w:r>
        <w:lastRenderedPageBreak/>
        <w:t>Exploratory Data Analysis</w:t>
      </w:r>
    </w:p>
    <w:p w14:paraId="16367FB3" w14:textId="77777777" w:rsidR="001867D6" w:rsidRDefault="00000000">
      <w:pPr>
        <w:spacing w:before="100" w:after="160"/>
      </w:pPr>
      <w:r>
        <w:t>With clean data in hand, I ran an EDA to get a real feel for the dataset before diving into performance metrics. I generated distributions, summary statistics, and category breakdowns to understand where the data was concentrated and where there were interesting outliers worth investigating.</w:t>
      </w:r>
    </w:p>
    <w:p w14:paraId="43CDB92A" w14:textId="77777777" w:rsidR="001867D6" w:rsidRDefault="00000000">
      <w:pPr>
        <w:spacing w:before="100" w:after="160"/>
      </w:pPr>
      <w:r>
        <w:t>A few things stood out early: category representation was uneven, with some fund types appearing far more often than others. Return distributions showed significant spread, which reinforced the need for risk-adjusted metrics rather than raw return rankings. These observations directly influenced which visualizations I prioritized in the dashboard.</w:t>
      </w:r>
    </w:p>
    <w:p w14:paraId="46455082" w14:textId="77777777" w:rsidR="001867D6" w:rsidRDefault="00000000">
      <w:pPr>
        <w:spacing w:before="100" w:after="160"/>
      </w:pPr>
      <w:r>
        <w:t>More than anything, EDA was about asking questions of the data before assuming I knew what it contained. That mindset — looking before concluding — kept the analysis honest throughout.</w:t>
      </w:r>
    </w:p>
    <w:p w14:paraId="6C2E534E" w14:textId="77777777" w:rsidR="001867D6" w:rsidRDefault="00000000">
      <w:pPr>
        <w:pStyle w:val="Heading1"/>
      </w:pPr>
      <w:r>
        <w:t>Performance Analysis</w:t>
      </w:r>
    </w:p>
    <w:p w14:paraId="483ECD7F" w14:textId="77777777" w:rsidR="001867D6" w:rsidRDefault="00000000">
      <w:pPr>
        <w:spacing w:before="100" w:after="160"/>
      </w:pPr>
      <w:r>
        <w:t>Return numbers alone don’t capture how well a fund is actually performing. A fund that returns 15% in a year where its benchmark returned 18% has underperformed, even though the absolute number looks good. That’s the problem performance metrics are designed to solve.</w:t>
      </w:r>
    </w:p>
    <w:p w14:paraId="2C5E6C36" w14:textId="77777777" w:rsidR="001867D6" w:rsidRDefault="00000000">
      <w:pPr>
        <w:pStyle w:val="Heading2"/>
      </w:pPr>
      <w:r>
        <w:t>Alpha</w:t>
      </w:r>
    </w:p>
    <w:p w14:paraId="3D6A1CBF" w14:textId="77777777" w:rsidR="001867D6" w:rsidRDefault="00000000">
      <w:pPr>
        <w:spacing w:before="100" w:after="160"/>
      </w:pPr>
      <w:r>
        <w:t>Alpha measures how much a fund’s return deviates from what its benchmark would predict. I calculated Alpha for each fund to identify which ones were genuinely adding value through active management versus simply riding market momentum. Positive Alpha funds became a key segment in the dashboard.</w:t>
      </w:r>
    </w:p>
    <w:p w14:paraId="2ADDB004" w14:textId="77777777" w:rsidR="001867D6" w:rsidRDefault="00000000">
      <w:pPr>
        <w:pStyle w:val="Heading2"/>
      </w:pPr>
      <w:r>
        <w:t>Beta</w:t>
      </w:r>
    </w:p>
    <w:p w14:paraId="15B6611F" w14:textId="77777777" w:rsidR="001867D6" w:rsidRDefault="00000000">
      <w:pPr>
        <w:spacing w:before="100" w:after="160"/>
      </w:pPr>
      <w:r>
        <w:t xml:space="preserve">Beta captures how sensitive a fund is to overall market movements. A high-Beta fund amplifies market swings in both directions; a low-Beta fund moves more independently. I used Beta to help classify funds by their risk </w:t>
      </w:r>
      <w:proofErr w:type="spellStart"/>
      <w:r>
        <w:t>behavior</w:t>
      </w:r>
      <w:proofErr w:type="spellEnd"/>
      <w:r>
        <w:t xml:space="preserve"> and inform the risk grading system.</w:t>
      </w:r>
    </w:p>
    <w:p w14:paraId="10B8A9AC" w14:textId="77777777" w:rsidR="001867D6" w:rsidRDefault="00000000">
      <w:pPr>
        <w:pStyle w:val="Heading2"/>
      </w:pPr>
      <w:r>
        <w:t>Risk Grade</w:t>
      </w:r>
    </w:p>
    <w:p w14:paraId="1751E2EF" w14:textId="77777777" w:rsidR="001867D6" w:rsidRDefault="00000000">
      <w:pPr>
        <w:spacing w:before="100" w:after="160"/>
      </w:pPr>
      <w:r>
        <w:t>Rather than leaving risk as a raw number, I introduced a grading system that buckets funds into interpretable categories. This makes it practical for a non-technical user to quickly understand a fund’s risk profile without needing to interpret Beta directly.</w:t>
      </w:r>
    </w:p>
    <w:p w14:paraId="3B7BAE2F" w14:textId="77777777" w:rsidR="001867D6" w:rsidRDefault="00000000">
      <w:pPr>
        <w:pStyle w:val="Heading2"/>
      </w:pPr>
      <w:r>
        <w:t>Fund Scorecard</w:t>
      </w:r>
    </w:p>
    <w:p w14:paraId="12D6263B" w14:textId="77777777" w:rsidR="001867D6" w:rsidRDefault="00000000">
      <w:pPr>
        <w:spacing w:before="100" w:after="160"/>
      </w:pPr>
      <w:r>
        <w:t>To make comparison easier, I built a consolidated scorecard that combines Alpha, Beta, returns, and risk grade into a single summary view per fund. Think of it as a one-row snapshot of how a fund is performing across multiple dimensions simultaneously.</w:t>
      </w:r>
    </w:p>
    <w:p w14:paraId="3C856127" w14:textId="77777777" w:rsidR="001867D6" w:rsidRDefault="00000000">
      <w:pPr>
        <w:pStyle w:val="Heading1"/>
      </w:pPr>
      <w:r>
        <w:t>Dashboard Analysis</w:t>
      </w:r>
    </w:p>
    <w:p w14:paraId="63ECE617" w14:textId="77777777" w:rsidR="001867D6" w:rsidRDefault="00000000">
      <w:pPr>
        <w:spacing w:before="100" w:after="160"/>
      </w:pPr>
      <w:r>
        <w:t>The Power BI dashboard is where all the analysis becomes usable. I designed it around the question: “what does an investor actually need to see to make a better decision?” That led me to prioritize comparison, filtering, and risk visibility over visual complexity.</w:t>
      </w:r>
    </w:p>
    <w:p w14:paraId="1243E0CB" w14:textId="77777777" w:rsidR="001867D6" w:rsidRDefault="00000000">
      <w:pPr>
        <w:spacing w:before="100" w:after="160"/>
      </w:pPr>
      <w:r>
        <w:t xml:space="preserve">The dashboard includes category-wise fund distribution, performance comparisons across Alpha and returns, risk classification breakdowns, and benchmark-relative visualizations. </w:t>
      </w:r>
      <w:r>
        <w:lastRenderedPageBreak/>
        <w:t>Interactive slicers let users zero in on specific fund types, risk grades, or performance tiers without wading through the full dataset.</w:t>
      </w:r>
    </w:p>
    <w:p w14:paraId="51137674" w14:textId="77777777" w:rsidR="001867D6" w:rsidRDefault="00000000">
      <w:pPr>
        <w:spacing w:before="100" w:after="160"/>
      </w:pPr>
      <w:r>
        <w:t>A design decision I’m particularly happy with: I kept the default view high-level, with drill-down available for users who want more detail. That hierarchy means the dashboard works for both quick scans and deeper analysis sessions.</w:t>
      </w:r>
    </w:p>
    <w:p w14:paraId="7DE59532" w14:textId="77777777" w:rsidR="00430371" w:rsidRDefault="00430371">
      <w:pPr>
        <w:spacing w:before="100" w:after="160"/>
      </w:pPr>
    </w:p>
    <w:p w14:paraId="7C8CCD09" w14:textId="40A2C07D" w:rsidR="00430371" w:rsidRDefault="00430371">
      <w:pPr>
        <w:spacing w:before="100" w:after="160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BF5CBE" wp14:editId="5FCEF20F">
            <wp:extent cx="5731510" cy="6362700"/>
            <wp:effectExtent l="0" t="0" r="2540" b="0"/>
            <wp:docPr id="49975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217" name="Picture 499752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03" cy="63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91EA" w14:textId="77777777" w:rsidR="00430371" w:rsidRDefault="00430371">
      <w:pPr>
        <w:spacing w:before="100" w:after="160"/>
      </w:pPr>
    </w:p>
    <w:p w14:paraId="44FA804E" w14:textId="022994C5" w:rsidR="00430371" w:rsidRDefault="00430371">
      <w:pPr>
        <w:spacing w:before="100" w:after="160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3CE97D" wp14:editId="1AD1C7A5">
            <wp:extent cx="5649686" cy="4370070"/>
            <wp:effectExtent l="0" t="0" r="8255" b="0"/>
            <wp:docPr id="113938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8278" name="Picture 1139382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081" cy="43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7193" w14:textId="77777777" w:rsidR="00430371" w:rsidRDefault="00430371">
      <w:pPr>
        <w:spacing w:before="100" w:after="160"/>
      </w:pPr>
    </w:p>
    <w:p w14:paraId="5B5C7A49" w14:textId="2066A07C" w:rsidR="00430371" w:rsidRDefault="00430371">
      <w:pPr>
        <w:spacing w:before="100" w:after="160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278167" wp14:editId="4763F481">
            <wp:extent cx="5731237" cy="3418114"/>
            <wp:effectExtent l="0" t="0" r="3175" b="0"/>
            <wp:docPr id="762282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2767" name="Picture 7622827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94" cy="34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E82" w14:textId="77777777" w:rsidR="001867D6" w:rsidRDefault="00000000">
      <w:pPr>
        <w:pStyle w:val="Heading1"/>
      </w:pPr>
      <w:r>
        <w:lastRenderedPageBreak/>
        <w:t>Key Findings</w:t>
      </w:r>
    </w:p>
    <w:p w14:paraId="0569206D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Fund category distribution is skewed — a small number of categories dominate the dataset, which matters when generalizing trends</w:t>
      </w:r>
    </w:p>
    <w:p w14:paraId="2D0D97FE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 varies widely across funds, confirming that return alone is an insufficient evaluation criterion</w:t>
      </w:r>
    </w:p>
    <w:p w14:paraId="7D8CAD0F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Risk profiles differ substantially even within the same category, reinforcing the need for individual fund-level risk assessment</w:t>
      </w:r>
    </w:p>
    <w:p w14:paraId="18D804B9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Some funds consistently generate returns above benchmark expectations, which shows up clearly in positive Alpha values</w:t>
      </w:r>
    </w:p>
    <w:p w14:paraId="3239F2D1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Risk-adjusted metrics provided a meaningfully different ranking than raw return performance in several cases</w:t>
      </w:r>
    </w:p>
    <w:p w14:paraId="74250BF2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Combining analytics and interactive visualization made it significantly easier to spot patterns that wouldn’t have surfaced from static tables</w:t>
      </w:r>
    </w:p>
    <w:p w14:paraId="4C4842D1" w14:textId="77777777" w:rsidR="001867D6" w:rsidRDefault="001867D6">
      <w:pPr>
        <w:spacing w:before="100"/>
      </w:pPr>
    </w:p>
    <w:p w14:paraId="0B38282B" w14:textId="77777777" w:rsidR="001867D6" w:rsidRDefault="00000000">
      <w:pPr>
        <w:pStyle w:val="Heading1"/>
      </w:pPr>
      <w:r>
        <w:t>Recommendations</w:t>
      </w:r>
    </w:p>
    <w:p w14:paraId="04699DBE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funds using both absolute returns and risk-adjusted metrics — the difference often reveals which funds are actually worth their risk</w:t>
      </w:r>
    </w:p>
    <w:p w14:paraId="62D52444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Benchmark comparison should be a standard part of fund review, not an afterthought</w:t>
      </w:r>
    </w:p>
    <w:p w14:paraId="25DD1EEB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Diversifying across fund categories reduces concentration risk and can smooth out portfolio volatility</w:t>
      </w:r>
    </w:p>
    <w:p w14:paraId="2EF7EB86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Match investment selections to risk tolerance explicitly — the risk grading system built in this project makes this more systematic</w:t>
      </w:r>
    </w:p>
    <w:p w14:paraId="78133876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Use interactive dashboards for ongoing monitoring, not just one-time analysis; market conditions shift and so do fund rankings</w:t>
      </w:r>
    </w:p>
    <w:p w14:paraId="1469FD55" w14:textId="77777777" w:rsidR="001867D6" w:rsidRDefault="00000000">
      <w:pPr>
        <w:pStyle w:val="ListParagraph"/>
        <w:numPr>
          <w:ilvl w:val="0"/>
          <w:numId w:val="2"/>
        </w:numPr>
        <w:spacing w:before="60" w:after="60"/>
      </w:pPr>
      <w:r>
        <w:t>Future iterations could incorporate real-time data feeds and additional financial indicators to make the system more dynamic</w:t>
      </w:r>
    </w:p>
    <w:p w14:paraId="41286019" w14:textId="77777777" w:rsidR="001867D6" w:rsidRDefault="001867D6">
      <w:pPr>
        <w:spacing w:before="100"/>
      </w:pPr>
    </w:p>
    <w:p w14:paraId="44FB7E17" w14:textId="77777777" w:rsidR="001867D6" w:rsidRDefault="00000000">
      <w:pPr>
        <w:pStyle w:val="Heading1"/>
      </w:pPr>
      <w:r>
        <w:t>Limitations</w:t>
      </w:r>
    </w:p>
    <w:p w14:paraId="7F211E7B" w14:textId="77777777" w:rsidR="001867D6" w:rsidRDefault="00000000">
      <w:pPr>
        <w:spacing w:before="100" w:after="160"/>
      </w:pPr>
      <w:r>
        <w:t>This project has a few honest limitations worth acknowledging. First, the analysis is only as good as the source data. Any gaps or inaccuracies in the dataset flow downstream into the metrics and dashboard.</w:t>
      </w:r>
    </w:p>
    <w:p w14:paraId="349B44A1" w14:textId="77777777" w:rsidR="001867D6" w:rsidRDefault="00000000">
      <w:pPr>
        <w:spacing w:before="100" w:after="160"/>
      </w:pPr>
      <w:r>
        <w:t>Second, the dataset represents a snapshot in time. Mutual fund performance is shaped by market cycles, macroeconomic conditions, and events that a historical dataset may not fully capture. Some funds may look strong or weak in ways that don’t hold outside the period represented.</w:t>
      </w:r>
    </w:p>
    <w:p w14:paraId="43A4965A" w14:textId="77777777" w:rsidR="001867D6" w:rsidRDefault="00000000">
      <w:pPr>
        <w:spacing w:before="100" w:after="160"/>
      </w:pPr>
      <w:r>
        <w:t>Third, some metrics were computed using simplified assumptions. Real-world performance analysis often involves more nuanced models and access to more granular data (daily NAV, expense ratios, tax treatment, etc.) that weren’t available here.</w:t>
      </w:r>
    </w:p>
    <w:p w14:paraId="1C28C793" w14:textId="77777777" w:rsidR="001867D6" w:rsidRDefault="00000000">
      <w:pPr>
        <w:spacing w:before="100" w:after="160"/>
      </w:pPr>
      <w:r>
        <w:t>Finally, this dashboard is an analytical tool, not financial advice. The findings should inform investment thinking, not replace it.</w:t>
      </w:r>
    </w:p>
    <w:p w14:paraId="637D13D0" w14:textId="77777777" w:rsidR="001867D6" w:rsidRDefault="00000000">
      <w:pPr>
        <w:pStyle w:val="Heading1"/>
      </w:pPr>
      <w:r>
        <w:lastRenderedPageBreak/>
        <w:t>Conclusion</w:t>
      </w:r>
    </w:p>
    <w:p w14:paraId="506E025B" w14:textId="77777777" w:rsidR="001867D6" w:rsidRDefault="00000000">
      <w:pPr>
        <w:spacing w:before="100" w:after="160"/>
      </w:pPr>
      <w:r>
        <w:t>This capstone gave me the chance to build something I actually believe is useful — a system that makes mutual fund evaluation more accessible and more rigorous at the same time. By connecting data engineering, SQL, financial metrics, and business intelligence into a single pipeline, I got hands-on experience with the kind of end-to-end analytical workflow that shows up in real data analytics roles.</w:t>
      </w:r>
    </w:p>
    <w:p w14:paraId="275D3733" w14:textId="77777777" w:rsidR="001867D6" w:rsidRDefault="00000000">
      <w:pPr>
        <w:spacing w:before="100" w:after="160"/>
      </w:pPr>
      <w:r>
        <w:t>The Power BI dashboard isn’t just a deliverable — it’s a working example of how complex financial data can be transformed into something an investor can actually use. The performance metrics I computed (Alpha, Beta, risk grades) add analytical depth that raw return numbers can’t provide on their own.</w:t>
      </w:r>
    </w:p>
    <w:p w14:paraId="3E1B66B6" w14:textId="77777777" w:rsidR="001867D6" w:rsidRDefault="00000000">
      <w:pPr>
        <w:spacing w:before="100" w:after="160"/>
      </w:pPr>
      <w:r>
        <w:t>Looking back, the most valuable part of this project wasn’t any single technical step — it was learning to make thoughtful decisions at each stage of the pipeline, from how to handle messy data to how to design a dashboard for a non-technical audience. Those judgement calls are what separate analysis that works in theory from analysis that works in practice.</w:t>
      </w:r>
    </w:p>
    <w:sectPr w:rsidR="001867D6" w:rsidSect="0043037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2A8"/>
    <w:multiLevelType w:val="hybridMultilevel"/>
    <w:tmpl w:val="C2EEBB68"/>
    <w:lvl w:ilvl="0" w:tplc="31B2C31A">
      <w:start w:val="1"/>
      <w:numFmt w:val="bullet"/>
      <w:lvlText w:val="•"/>
      <w:lvlJc w:val="left"/>
      <w:pPr>
        <w:ind w:left="720" w:hanging="360"/>
      </w:pPr>
    </w:lvl>
    <w:lvl w:ilvl="1" w:tplc="6E866606">
      <w:numFmt w:val="decimal"/>
      <w:lvlText w:val=""/>
      <w:lvlJc w:val="left"/>
    </w:lvl>
    <w:lvl w:ilvl="2" w:tplc="7D28F810">
      <w:numFmt w:val="decimal"/>
      <w:lvlText w:val=""/>
      <w:lvlJc w:val="left"/>
    </w:lvl>
    <w:lvl w:ilvl="3" w:tplc="07F0D15C">
      <w:numFmt w:val="decimal"/>
      <w:lvlText w:val=""/>
      <w:lvlJc w:val="left"/>
    </w:lvl>
    <w:lvl w:ilvl="4" w:tplc="66DEB9F8">
      <w:numFmt w:val="decimal"/>
      <w:lvlText w:val=""/>
      <w:lvlJc w:val="left"/>
    </w:lvl>
    <w:lvl w:ilvl="5" w:tplc="0BA4E980">
      <w:numFmt w:val="decimal"/>
      <w:lvlText w:val=""/>
      <w:lvlJc w:val="left"/>
    </w:lvl>
    <w:lvl w:ilvl="6" w:tplc="514A0DE6">
      <w:numFmt w:val="decimal"/>
      <w:lvlText w:val=""/>
      <w:lvlJc w:val="left"/>
    </w:lvl>
    <w:lvl w:ilvl="7" w:tplc="960A8A84">
      <w:numFmt w:val="decimal"/>
      <w:lvlText w:val=""/>
      <w:lvlJc w:val="left"/>
    </w:lvl>
    <w:lvl w:ilvl="8" w:tplc="4FEEB48A">
      <w:numFmt w:val="decimal"/>
      <w:lvlText w:val=""/>
      <w:lvlJc w:val="left"/>
    </w:lvl>
  </w:abstractNum>
  <w:abstractNum w:abstractNumId="1" w15:restartNumberingAfterBreak="0">
    <w:nsid w:val="27A530B8"/>
    <w:multiLevelType w:val="hybridMultilevel"/>
    <w:tmpl w:val="6436CC5C"/>
    <w:lvl w:ilvl="0" w:tplc="75469360">
      <w:start w:val="1"/>
      <w:numFmt w:val="bullet"/>
      <w:lvlText w:val="●"/>
      <w:lvlJc w:val="left"/>
      <w:pPr>
        <w:ind w:left="720" w:hanging="360"/>
      </w:pPr>
    </w:lvl>
    <w:lvl w:ilvl="1" w:tplc="72AA7F7C">
      <w:start w:val="1"/>
      <w:numFmt w:val="bullet"/>
      <w:lvlText w:val="○"/>
      <w:lvlJc w:val="left"/>
      <w:pPr>
        <w:ind w:left="1440" w:hanging="360"/>
      </w:pPr>
    </w:lvl>
    <w:lvl w:ilvl="2" w:tplc="250A3A5E">
      <w:start w:val="1"/>
      <w:numFmt w:val="bullet"/>
      <w:lvlText w:val="■"/>
      <w:lvlJc w:val="left"/>
      <w:pPr>
        <w:ind w:left="2160" w:hanging="360"/>
      </w:pPr>
    </w:lvl>
    <w:lvl w:ilvl="3" w:tplc="B0F4EC86">
      <w:start w:val="1"/>
      <w:numFmt w:val="bullet"/>
      <w:lvlText w:val="●"/>
      <w:lvlJc w:val="left"/>
      <w:pPr>
        <w:ind w:left="2880" w:hanging="360"/>
      </w:pPr>
    </w:lvl>
    <w:lvl w:ilvl="4" w:tplc="7B1ECD04">
      <w:start w:val="1"/>
      <w:numFmt w:val="bullet"/>
      <w:lvlText w:val="○"/>
      <w:lvlJc w:val="left"/>
      <w:pPr>
        <w:ind w:left="3600" w:hanging="360"/>
      </w:pPr>
    </w:lvl>
    <w:lvl w:ilvl="5" w:tplc="CB4E1F9A">
      <w:start w:val="1"/>
      <w:numFmt w:val="bullet"/>
      <w:lvlText w:val="■"/>
      <w:lvlJc w:val="left"/>
      <w:pPr>
        <w:ind w:left="4320" w:hanging="360"/>
      </w:pPr>
    </w:lvl>
    <w:lvl w:ilvl="6" w:tplc="D862ACAA">
      <w:start w:val="1"/>
      <w:numFmt w:val="bullet"/>
      <w:lvlText w:val="●"/>
      <w:lvlJc w:val="left"/>
      <w:pPr>
        <w:ind w:left="5040" w:hanging="360"/>
      </w:pPr>
    </w:lvl>
    <w:lvl w:ilvl="7" w:tplc="870C67C4">
      <w:start w:val="1"/>
      <w:numFmt w:val="bullet"/>
      <w:lvlText w:val="●"/>
      <w:lvlJc w:val="left"/>
      <w:pPr>
        <w:ind w:left="5760" w:hanging="360"/>
      </w:pPr>
    </w:lvl>
    <w:lvl w:ilvl="8" w:tplc="27BEF2BA">
      <w:start w:val="1"/>
      <w:numFmt w:val="bullet"/>
      <w:lvlText w:val="●"/>
      <w:lvlJc w:val="left"/>
      <w:pPr>
        <w:ind w:left="6480" w:hanging="360"/>
      </w:pPr>
    </w:lvl>
  </w:abstractNum>
  <w:num w:numId="1" w16cid:durableId="108472456">
    <w:abstractNumId w:val="1"/>
    <w:lvlOverride w:ilvl="0">
      <w:startOverride w:val="1"/>
    </w:lvlOverride>
  </w:num>
  <w:num w:numId="2" w16cid:durableId="1792167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D6"/>
    <w:rsid w:val="001867D6"/>
    <w:rsid w:val="001A098D"/>
    <w:rsid w:val="004206FD"/>
    <w:rsid w:val="00430371"/>
    <w:rsid w:val="004B6662"/>
    <w:rsid w:val="00ED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BB91"/>
  <w15:docId w15:val="{AA9775FF-F409-4ADA-AFEF-80CE0055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30371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1685</Words>
  <Characters>9610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Mugilan M</cp:lastModifiedBy>
  <cp:revision>2</cp:revision>
  <dcterms:created xsi:type="dcterms:W3CDTF">2026-06-10T10:57:00Z</dcterms:created>
  <dcterms:modified xsi:type="dcterms:W3CDTF">2026-06-10T10:57:00Z</dcterms:modified>
</cp:coreProperties>
</file>