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4092"/>
            </w:pPr>
          </w:p>
          <w:p>
            <w:pPr>
              <w:pBdr>
                <w:bottom w:val="single" w:color="37DCF2" w:sz="6" w:space="8"/>
              </w:pBdr>
              <w:spacing w:after="500"/>
              <w:ind w:left="1200" w:right="800"/>
            </w:pPr>
            <w:r>
              <w:rPr>
                <w:rFonts w:ascii="Calibri" w:eastAsia="Microsoft YaHei"/>
                <w:color w:val="37DCF2"/>
                <w:spacing w:val="40"/>
                <w:sz w:val="18"/>
                <w:szCs w:val="18"/>
              </w:rPr>
              <w:t xml:space="preserve">T  E  C  H  N  I  C  A  L     A  R  C  H  I  T  E  C  T  U  R  E     D  O  C  U  M  E  N  T</w:t>
            </w:r>
          </w:p>
          <w:p>
            <w:pPr>
              <w:spacing w:after="100" w:line="920" w:lineRule="atLeast"/>
              <w:ind w:left="1200"/>
            </w:pPr>
            <w:r>
              <w:rPr>
                <w:rFonts w:ascii="Arial" w:eastAsia="SimHei"/>
                <w:b/>
                <w:bCs/>
                <w:color w:val="FFFFFF"/>
                <w:sz w:val="80"/>
                <w:szCs w:val="80"/>
              </w:rPr>
              <w:t xml:space="preserve">Arsitektur &amp;</w:t>
            </w:r>
          </w:p>
          <w:p>
            <w:pPr>
              <w:spacing w:after="300" w:line="920" w:lineRule="atLeast"/>
              <w:ind w:left="1200"/>
            </w:pPr>
            <w:r>
              <w:rPr>
                <w:rFonts w:ascii="Arial" w:eastAsia="SimHei"/>
                <w:b/>
                <w:bCs/>
                <w:color w:val="FFFFFF"/>
                <w:sz w:val="80"/>
                <w:szCs w:val="80"/>
              </w:rPr>
              <w:t xml:space="preserve">Business Logic</w:t>
            </w:r>
          </w:p>
          <w:p>
            <w:pPr>
              <w:spacing w:after="800"/>
              <w:ind w:left="1200" w:right="800"/>
            </w:pPr>
            <w:r>
              <w:rPr>
                <w:rFonts w:ascii="Arial" w:eastAsia="Microsoft YaHei"/>
                <w:color w:val="B0B8C0"/>
                <w:sz w:val="24"/>
                <w:szCs w:val="24"/>
              </w:rPr>
              <w:t xml:space="preserve">UDP CRM — Multi-Brand CRM: Unimasi · Segia Tech · Erfo Multimedia · Unicam Studio</w:t>
            </w:r>
          </w:p>
          <w:p>
            <w:pPr>
              <w:pBdr>
                <w:left w:val="single" w:color="37DCF2" w:sz="8" w:space="12"/>
              </w:pBdr>
              <w:spacing w:after="80"/>
              <w:ind w:left="1400"/>
            </w:pPr>
            <w:r>
              <w:rPr>
                <w:rFonts w:ascii="Arial" w:eastAsia="Microsoft YaHei"/>
                <w:color w:val="90989F"/>
                <w:sz w:val="24"/>
                <w:szCs w:val="24"/>
              </w:rPr>
              <w:t xml:space="preserve">Versi 1.0 — disusun otomatis dari source code</w:t>
            </w:r>
          </w:p>
          <w:p>
            <w:pPr>
              <w:pBdr>
                <w:left w:val="single" w:color="37DCF2" w:sz="8" w:space="12"/>
              </w:pBdr>
              <w:spacing w:after="80"/>
              <w:ind w:left="1400"/>
            </w:pPr>
            <w:r>
              <w:rPr>
                <w:rFonts w:ascii="Arial" w:eastAsia="Microsoft YaHei"/>
                <w:color w:val="90989F"/>
                <w:sz w:val="24"/>
                <w:szCs w:val="24"/>
              </w:rPr>
              <w:t xml:space="preserve">Stack: Next.js 16 · TypeScript · Prisma 6.19.2 · SQLite · Bun</w:t>
            </w:r>
          </w:p>
          <w:p>
            <w:pPr>
              <w:pBdr>
                <w:left w:val="single" w:color="37DCF2" w:sz="8" w:space="12"/>
              </w:pBdr>
              <w:spacing w:after="80"/>
              <w:ind w:left="1400"/>
            </w:pPr>
            <w:r>
              <w:rPr>
                <w:rFonts w:ascii="Arial" w:eastAsia="Microsoft YaHei"/>
                <w:color w:val="90989F"/>
                <w:sz w:val="24"/>
                <w:szCs w:val="24"/>
              </w:rPr>
              <w:t xml:space="preserve">34 model data · ±40 grup endpoint API · 13 modul aplikasi</w:t>
            </w:r>
          </w:p>
          <w:p>
            <w:pPr>
              <w:pBdr>
                <w:left w:val="single" w:color="37DCF2" w:sz="8" w:space="12"/>
              </w:pBdr>
              <w:spacing w:after="80"/>
              <w:ind w:left="1400"/>
            </w:pPr>
            <w:r>
              <w:rPr>
                <w:rFonts w:ascii="Arial" w:eastAsia="Microsoft YaHei"/>
                <w:color w:val="90989F"/>
                <w:sz w:val="24"/>
                <w:szCs w:val="24"/>
              </w:rPr>
              <w:t xml:space="preserve">Tanggal: 30 September 2026</w:t>
            </w:r>
          </w:p>
          <w:p>
            <w:pPr>
              <w:spacing w:before="4092"/>
            </w:pPr>
          </w:p>
          <w:p>
            <w:pPr>
              <w:pBdr>
                <w:top w:val="single" w:color="37DCF2" w:sz="2" w:space="8"/>
              </w:pBdr>
              <w:spacing w:before="200"/>
              <w:ind w:left="1200" w:right="800"/>
            </w:pPr>
            <w:r>
              <w:rPr>
                <w:rFonts w:ascii="Arial"/>
                <w:color w:val="687078"/>
                <w:sz w:val="16"/>
                <w:szCs w:val="16"/>
              </w:rPr>
              <w:t xml:space="preserve">UDP CRM — Dokumentasi Internal Tim Teknis</w:t>
            </w:r>
            <w:r>
              <w:t xml:space="preserve">                                        </w:t>
            </w:r>
            <w:r>
              <w:rPr>
                <w:rFonts w:ascii="Arial"/>
                <w:color w:val="687078"/>
                <w:sz w:val="16"/>
                <w:szCs w:val="16"/>
              </w:rPr>
              <w:t xml:space="preserve">Versi 1.0</w:t>
            </w:r>
          </w:p>
        </w:tc>
      </w:tr>
    </w:tbl>
    <w:p>
      <w:pPr>
        <w:sectPr>
          <w:pgSz w:w="11906" w:h="16838" w:orient="portrait"/>
          <w:pgMar w:top="0" w:right="0" w:bottom="0" w:left="0" w:header="708" w:footer="708" w:gutter="0"/>
          <w:docGrid w:linePitch="360"/>
        </w:sectPr>
      </w:pPr>
    </w:p>
    <w:p>
      <w:pPr>
        <w:spacing w:after="360" w:before="480"/>
        <w:jc w:val="center"/>
      </w:pPr>
      <w:r>
        <w:rPr>
          <w:rFonts w:ascii="Calibri" w:eastAsia="Microsoft YaHei"/>
          <w:b/>
          <w:bCs/>
          <w:color w:val="162235"/>
          <w:sz w:val="32"/>
          <w:szCs w:val="32"/>
        </w:rPr>
        <w:t xml:space="preserve">Daftar Isi</w:t>
      </w:r>
    </w:p>
    <w:sdt>
      <w:sdtPr>
        <w:alias w:val="Daftar Isi"/>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Ringkasan Eksekutif</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Tumpuan Teknologi</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Dependensi inti</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Script dan konfigurasi</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2.3 Konvensi desain yang diwajibkan</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3. Arsitektur Sistem</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3.1 Diagram lapisan</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3.2 Pola Single Page App + PortalGate</w:t>
            </w:r>
            <w:r>
              <w:tab/>
            </w:r>
            <w:r>
              <w:fldChar w:fldCharType="begin"/>
            </w:r>
            <w:r>
              <w:instrText xml:space="preserve"> PAGEREF _Toc100007 \h </w:instrText>
            </w:r>
            <w:r>
              <w:fldChar w:fldCharType="separate"/>
            </w:r>
            <w:r>
              <w:t>7</w:t>
            </w:r>
            <w:r>
              <w:fldChar w:fldCharType="end"/>
            </w:r>
          </w:hyperlink>
        </w:p>
        <w:p>
          <w:pPr>
            <w:pStyle w:val="11"/>
            <w:ind w:left="360"/>
            <w:tabs>
              <w:tab w:val="right" w:leader="dot" w:pos="9026"/>
            </w:tabs>
            <w:spacing w:before="120" w:after="60"/>
          </w:pPr>
          <w:hyperlink w:anchor="_Toc100008" w:history="1">
            <w:r>
              <w:rPr>
                <w:rStyle w:val="Hyperlink"/>
              </w:rPr>
              <w:t>3.3 Struktur direktori</w:t>
            </w:r>
            <w:r>
              <w:tab/>
            </w:r>
            <w:r>
              <w:fldChar w:fldCharType="begin"/>
            </w:r>
            <w:r>
              <w:instrText xml:space="preserve"> PAGEREF _Toc100008 \h </w:instrText>
            </w:r>
            <w:r>
              <w:fldChar w:fldCharType="separate"/>
            </w:r>
            <w:r>
              <w:t>7</w:t>
            </w:r>
            <w:r>
              <w:fldChar w:fldCharType="end"/>
            </w:r>
          </w:hyperlink>
        </w:p>
        <w:p>
          <w:pPr>
            <w:pStyle w:val="11"/>
            <w:ind w:left="360"/>
            <w:tabs>
              <w:tab w:val="right" w:leader="dot" w:pos="9026"/>
            </w:tabs>
            <w:spacing w:before="120" w:after="60"/>
          </w:pPr>
          <w:hyperlink w:anchor="_Toc100009" w:history="1">
            <w:r>
              <w:rPr>
                <w:rStyle w:val="Hyperlink"/>
              </w:rPr>
              <w:t>3.4 Modul inti src/lib/crm/</w:t>
            </w:r>
            <w:r>
              <w:tab/>
            </w:r>
            <w:r>
              <w:fldChar w:fldCharType="begin"/>
            </w:r>
            <w:r>
              <w:instrText xml:space="preserve"> PAGEREF _Toc100009 \h </w:instrText>
            </w:r>
            <w:r>
              <w:fldChar w:fldCharType="separate"/>
            </w:r>
            <w:r>
              <w:t>8</w:t>
            </w:r>
            <w:r>
              <w:fldChar w:fldCharType="end"/>
            </w:r>
          </w:hyperlink>
        </w:p>
        <w:p>
          <w:pPr>
            <w:pStyle w:val="9"/>
            <w:tabs>
              <w:tab w:val="right" w:leader="dot" w:pos="9026"/>
            </w:tabs>
            <w:spacing w:before="120" w:after="60"/>
          </w:pPr>
          <w:hyperlink w:anchor="_Toc100010" w:history="1">
            <w:r>
              <w:rPr>
                <w:rStyle w:val="Hyperlink"/>
              </w:rPr>
              <w:t>4. Model Data (Prisma)</w:t>
            </w:r>
            <w:r>
              <w:tab/>
            </w:r>
            <w:r>
              <w:fldChar w:fldCharType="begin"/>
            </w:r>
            <w:r>
              <w:instrText xml:space="preserve"> PAGEREF _Toc100010 \h </w:instrText>
            </w:r>
            <w:r>
              <w:fldChar w:fldCharType="separate"/>
            </w:r>
            <w:r>
              <w:t>8</w:t>
            </w:r>
            <w:r>
              <w:fldChar w:fldCharType="end"/>
            </w:r>
          </w:hyperlink>
        </w:p>
        <w:p>
          <w:pPr>
            <w:pStyle w:val="11"/>
            <w:ind w:left="360"/>
            <w:tabs>
              <w:tab w:val="right" w:leader="dot" w:pos="9026"/>
            </w:tabs>
            <w:spacing w:before="120" w:after="60"/>
          </w:pPr>
          <w:hyperlink w:anchor="_Toc100011" w:history="1">
            <w:r>
              <w:rPr>
                <w:rStyle w:val="Hyperlink"/>
              </w:rPr>
              <w:t>4.1 Peta model per kelompok domain</w:t>
            </w:r>
            <w:r>
              <w:tab/>
            </w:r>
            <w:r>
              <w:fldChar w:fldCharType="begin"/>
            </w:r>
            <w:r>
              <w:instrText xml:space="preserve"> PAGEREF _Toc100011 \h </w:instrText>
            </w:r>
            <w:r>
              <w:fldChar w:fldCharType="separate"/>
            </w:r>
            <w:r>
              <w:t>8</w:t>
            </w:r>
            <w:r>
              <w:fldChar w:fldCharType="end"/>
            </w:r>
          </w:hyperlink>
        </w:p>
        <w:p>
          <w:pPr>
            <w:pStyle w:val="11"/>
            <w:ind w:left="360"/>
            <w:tabs>
              <w:tab w:val="right" w:leader="dot" w:pos="9026"/>
            </w:tabs>
            <w:spacing w:before="120" w:after="60"/>
          </w:pPr>
          <w:hyperlink w:anchor="_Toc100012" w:history="1">
            <w:r>
              <w:rPr>
                <w:rStyle w:val="Hyperlink"/>
              </w:rPr>
              <w:t>4.2 Relasi utama</w:t>
            </w:r>
            <w:r>
              <w:tab/>
            </w:r>
            <w:r>
              <w:fldChar w:fldCharType="begin"/>
            </w:r>
            <w:r>
              <w:instrText xml:space="preserve"> PAGEREF _Toc100012 \h </w:instrText>
            </w:r>
            <w:r>
              <w:fldChar w:fldCharType="separate"/>
            </w:r>
            <w:r>
              <w:t>9</w:t>
            </w:r>
            <w:r>
              <w:fldChar w:fldCharType="end"/>
            </w:r>
          </w:hyperlink>
        </w:p>
        <w:p>
          <w:pPr>
            <w:pStyle w:val="11"/>
            <w:ind w:left="360"/>
            <w:tabs>
              <w:tab w:val="right" w:leader="dot" w:pos="9026"/>
            </w:tabs>
            <w:spacing w:before="120" w:after="60"/>
          </w:pPr>
          <w:hyperlink w:anchor="_Toc100013" w:history="1">
            <w:r>
              <w:rPr>
                <w:rStyle w:val="Hyperlink"/>
              </w:rPr>
              <w:t>4.3 Narasi aliran data</w:t>
            </w:r>
            <w:r>
              <w:tab/>
            </w:r>
            <w:r>
              <w:fldChar w:fldCharType="begin"/>
            </w:r>
            <w:r>
              <w:instrText xml:space="preserve"> PAGEREF _Toc100013 \h </w:instrText>
            </w:r>
            <w:r>
              <w:fldChar w:fldCharType="separate"/>
            </w:r>
            <w:r>
              <w:t>11</w:t>
            </w:r>
            <w:r>
              <w:fldChar w:fldCharType="end"/>
            </w:r>
          </w:hyperlink>
        </w:p>
        <w:p>
          <w:pPr>
            <w:pStyle w:val="11"/>
            <w:ind w:left="360"/>
            <w:tabs>
              <w:tab w:val="right" w:leader="dot" w:pos="9026"/>
            </w:tabs>
            <w:spacing w:before="120" w:after="60"/>
          </w:pPr>
          <w:hyperlink w:anchor="_Toc100014" w:history="1">
            <w:r>
              <w:rPr>
                <w:rStyle w:val="Hyperlink"/>
              </w:rPr>
              <w:t>4.4 Enumerasi bisnis (sumber kebenaran: constants.ts)</w:t>
            </w:r>
            <w:r>
              <w:tab/>
            </w:r>
            <w:r>
              <w:fldChar w:fldCharType="begin"/>
            </w:r>
            <w:r>
              <w:instrText xml:space="preserve"> PAGEREF _Toc100014 \h </w:instrText>
            </w:r>
            <w:r>
              <w:fldChar w:fldCharType="separate"/>
            </w:r>
            <w:r>
              <w:t>12</w:t>
            </w:r>
            <w:r>
              <w:fldChar w:fldCharType="end"/>
            </w:r>
          </w:hyperlink>
        </w:p>
        <w:p>
          <w:pPr>
            <w:pStyle w:val="9"/>
            <w:tabs>
              <w:tab w:val="right" w:leader="dot" w:pos="9026"/>
            </w:tabs>
            <w:spacing w:before="120" w:after="60"/>
          </w:pPr>
          <w:hyperlink w:anchor="_Toc100015" w:history="1">
            <w:r>
              <w:rPr>
                <w:rStyle w:val="Hyperlink"/>
              </w:rPr>
              <w:t>5. Keamanan, Autentikasi, dan Otorisasi</w:t>
            </w:r>
            <w:r>
              <w:tab/>
            </w:r>
            <w:r>
              <w:fldChar w:fldCharType="begin"/>
            </w:r>
            <w:r>
              <w:instrText xml:space="preserve"> PAGEREF _Toc100015 \h </w:instrText>
            </w:r>
            <w:r>
              <w:fldChar w:fldCharType="separate"/>
            </w:r>
            <w:r>
              <w:t>13</w:t>
            </w:r>
            <w:r>
              <w:fldChar w:fldCharType="end"/>
            </w:r>
          </w:hyperlink>
        </w:p>
        <w:p>
          <w:pPr>
            <w:pStyle w:val="11"/>
            <w:ind w:left="360"/>
            <w:tabs>
              <w:tab w:val="right" w:leader="dot" w:pos="9026"/>
            </w:tabs>
            <w:spacing w:before="120" w:after="60"/>
          </w:pPr>
          <w:hyperlink w:anchor="_Toc100016" w:history="1">
            <w:r>
              <w:rPr>
                <w:rStyle w:val="Hyperlink"/>
              </w:rPr>
              <w:t>5.1 Sesi dan cookie (src/lib/crm/session.ts)</w:t>
            </w:r>
            <w:r>
              <w:tab/>
            </w:r>
            <w:r>
              <w:fldChar w:fldCharType="begin"/>
            </w:r>
            <w:r>
              <w:instrText xml:space="preserve"> PAGEREF _Toc100016 \h </w:instrText>
            </w:r>
            <w:r>
              <w:fldChar w:fldCharType="separate"/>
            </w:r>
            <w:r>
              <w:t>13</w:t>
            </w:r>
            <w:r>
              <w:fldChar w:fldCharType="end"/>
            </w:r>
          </w:hyperlink>
        </w:p>
        <w:p>
          <w:pPr>
            <w:pStyle w:val="11"/>
            <w:ind w:left="360"/>
            <w:tabs>
              <w:tab w:val="right" w:leader="dot" w:pos="9026"/>
            </w:tabs>
            <w:spacing w:before="120" w:after="60"/>
          </w:pPr>
          <w:hyperlink w:anchor="_Toc100017" w:history="1">
            <w:r>
              <w:rPr>
                <w:rStyle w:val="Hyperlink"/>
              </w:rPr>
              <w:t>5.2 Login (POST /api/auth/login)</w:t>
            </w:r>
            <w:r>
              <w:tab/>
            </w:r>
            <w:r>
              <w:fldChar w:fldCharType="begin"/>
            </w:r>
            <w:r>
              <w:instrText xml:space="preserve"> PAGEREF _Toc100017 \h </w:instrText>
            </w:r>
            <w:r>
              <w:fldChar w:fldCharType="separate"/>
            </w:r>
            <w:r>
              <w:t>13</w:t>
            </w:r>
            <w:r>
              <w:fldChar w:fldCharType="end"/>
            </w:r>
          </w:hyperlink>
        </w:p>
        <w:p>
          <w:pPr>
            <w:pStyle w:val="11"/>
            <w:ind w:left="360"/>
            <w:tabs>
              <w:tab w:val="right" w:leader="dot" w:pos="9026"/>
            </w:tabs>
            <w:spacing w:before="120" w:after="60"/>
          </w:pPr>
          <w:hyperlink w:anchor="_Toc100018" w:history="1">
            <w:r>
              <w:rPr>
                <w:rStyle w:val="Hyperlink"/>
              </w:rPr>
              <w:t>5.3 Introspeksi, logout, lock, unlock</w:t>
            </w:r>
            <w:r>
              <w:tab/>
            </w:r>
            <w:r>
              <w:fldChar w:fldCharType="begin"/>
            </w:r>
            <w:r>
              <w:instrText xml:space="preserve"> PAGEREF _Toc100018 \h </w:instrText>
            </w:r>
            <w:r>
              <w:fldChar w:fldCharType="separate"/>
            </w:r>
            <w:r>
              <w:t>13</w:t>
            </w:r>
            <w:r>
              <w:fldChar w:fldCharType="end"/>
            </w:r>
          </w:hyperlink>
        </w:p>
        <w:p>
          <w:pPr>
            <w:pStyle w:val="11"/>
            <w:ind w:left="360"/>
            <w:tabs>
              <w:tab w:val="right" w:leader="dot" w:pos="9026"/>
            </w:tabs>
            <w:spacing w:before="120" w:after="60"/>
          </w:pPr>
          <w:hyperlink w:anchor="_Toc100019" w:history="1">
            <w:r>
              <w:rPr>
                <w:rStyle w:val="Hyperlink"/>
              </w:rPr>
              <w:t>5.4 Middleware src/proxy.ts</w:t>
            </w:r>
            <w:r>
              <w:tab/>
            </w:r>
            <w:r>
              <w:fldChar w:fldCharType="begin"/>
            </w:r>
            <w:r>
              <w:instrText xml:space="preserve"> PAGEREF _Toc100019 \h </w:instrText>
            </w:r>
            <w:r>
              <w:fldChar w:fldCharType="separate"/>
            </w:r>
            <w:r>
              <w:t>14</w:t>
            </w:r>
            <w:r>
              <w:fldChar w:fldCharType="end"/>
            </w:r>
          </w:hyperlink>
        </w:p>
        <w:p>
          <w:pPr>
            <w:pStyle w:val="11"/>
            <w:ind w:left="360"/>
            <w:tabs>
              <w:tab w:val="right" w:leader="dot" w:pos="9026"/>
            </w:tabs>
            <w:spacing w:before="120" w:after="60"/>
          </w:pPr>
          <w:hyperlink w:anchor="_Toc100020" w:history="1">
            <w:r>
              <w:rPr>
                <w:rStyle w:val="Hyperlink"/>
              </w:rPr>
              <w:t>5.5 Aktor dan gerbang peran server</w:t>
            </w:r>
            <w:r>
              <w:tab/>
            </w:r>
            <w:r>
              <w:fldChar w:fldCharType="begin"/>
            </w:r>
            <w:r>
              <w:instrText xml:space="preserve"> PAGEREF _Toc100020 \h </w:instrText>
            </w:r>
            <w:r>
              <w:fldChar w:fldCharType="separate"/>
            </w:r>
            <w:r>
              <w:t>14</w:t>
            </w:r>
            <w:r>
              <w:fldChar w:fldCharType="end"/>
            </w:r>
          </w:hyperlink>
        </w:p>
        <w:p>
          <w:pPr>
            <w:pStyle w:val="11"/>
            <w:ind w:left="360"/>
            <w:tabs>
              <w:tab w:val="right" w:leader="dot" w:pos="9026"/>
            </w:tabs>
            <w:spacing w:before="120" w:after="60"/>
          </w:pPr>
          <w:hyperlink w:anchor="_Toc100021" w:history="1">
            <w:r>
              <w:rPr>
                <w:rStyle w:val="Hyperlink"/>
              </w:rPr>
              <w:t>5.6 Matriks RBAC</w:t>
            </w:r>
            <w:r>
              <w:tab/>
            </w:r>
            <w:r>
              <w:fldChar w:fldCharType="begin"/>
            </w:r>
            <w:r>
              <w:instrText xml:space="preserve"> PAGEREF _Toc100021 \h </w:instrText>
            </w:r>
            <w:r>
              <w:fldChar w:fldCharType="separate"/>
            </w:r>
            <w:r>
              <w:t>14</w:t>
            </w:r>
            <w:r>
              <w:fldChar w:fldCharType="end"/>
            </w:r>
          </w:hyperlink>
        </w:p>
        <w:p>
          <w:pPr>
            <w:pStyle w:val="11"/>
            <w:ind w:left="360"/>
            <w:tabs>
              <w:tab w:val="right" w:leader="dot" w:pos="9026"/>
            </w:tabs>
            <w:spacing w:before="120" w:after="60"/>
          </w:pPr>
          <w:hyperlink w:anchor="_Toc100022" w:history="1">
            <w:r>
              <w:rPr>
                <w:rStyle w:val="Hyperlink"/>
              </w:rPr>
              <w:t>5.7 Audit trail</w:t>
            </w:r>
            <w:r>
              <w:tab/>
            </w:r>
            <w:r>
              <w:fldChar w:fldCharType="begin"/>
            </w:r>
            <w:r>
              <w:instrText xml:space="preserve"> PAGEREF _Toc100022 \h </w:instrText>
            </w:r>
            <w:r>
              <w:fldChar w:fldCharType="separate"/>
            </w:r>
            <w:r>
              <w:t>15</w:t>
            </w:r>
            <w:r>
              <w:fldChar w:fldCharType="end"/>
            </w:r>
          </w:hyperlink>
        </w:p>
        <w:p>
          <w:pPr>
            <w:pStyle w:val="9"/>
            <w:tabs>
              <w:tab w:val="right" w:leader="dot" w:pos="9026"/>
            </w:tabs>
            <w:spacing w:before="120" w:after="60"/>
          </w:pPr>
          <w:hyperlink w:anchor="_Toc100023" w:history="1">
            <w:r>
              <w:rPr>
                <w:rStyle w:val="Hyperlink"/>
              </w:rPr>
              <w:t>6. Business Logic per Modul</w:t>
            </w:r>
            <w:r>
              <w:tab/>
            </w:r>
            <w:r>
              <w:fldChar w:fldCharType="begin"/>
            </w:r>
            <w:r>
              <w:instrText xml:space="preserve"> PAGEREF _Toc100023 \h </w:instrText>
            </w:r>
            <w:r>
              <w:fldChar w:fldCharType="separate"/>
            </w:r>
            <w:r>
              <w:t>15</w:t>
            </w:r>
            <w:r>
              <w:fldChar w:fldCharType="end"/>
            </w:r>
          </w:hyperlink>
        </w:p>
        <w:p>
          <w:pPr>
            <w:pStyle w:val="11"/>
            <w:ind w:left="360"/>
            <w:tabs>
              <w:tab w:val="right" w:leader="dot" w:pos="9026"/>
            </w:tabs>
            <w:spacing w:before="120" w:after="60"/>
          </w:pPr>
          <w:hyperlink w:anchor="_Toc100024" w:history="1">
            <w:r>
              <w:rPr>
                <w:rStyle w:val="Hyperlink"/>
              </w:rPr>
              <w:t>6.1 Command Center / Dashboard (GET /api/dashboard)</w:t>
            </w:r>
            <w:r>
              <w:tab/>
            </w:r>
            <w:r>
              <w:fldChar w:fldCharType="begin"/>
            </w:r>
            <w:r>
              <w:instrText xml:space="preserve"> PAGEREF _Toc100024 \h </w:instrText>
            </w:r>
            <w:r>
              <w:fldChar w:fldCharType="separate"/>
            </w:r>
            <w:r>
              <w:t>15</w:t>
            </w:r>
            <w:r>
              <w:fldChar w:fldCharType="end"/>
            </w:r>
          </w:hyperlink>
        </w:p>
        <w:p>
          <w:pPr>
            <w:pStyle w:val="11"/>
            <w:ind w:left="360"/>
            <w:tabs>
              <w:tab w:val="right" w:leader="dot" w:pos="9026"/>
            </w:tabs>
            <w:spacing w:before="120" w:after="60"/>
          </w:pPr>
          <w:hyperlink w:anchor="_Toc100025" w:history="1">
            <w:r>
              <w:rPr>
                <w:rStyle w:val="Hyperlink"/>
              </w:rPr>
              <w:t>6.2 Lead Inbox dan SLA</w:t>
            </w:r>
            <w:r>
              <w:tab/>
            </w:r>
            <w:r>
              <w:fldChar w:fldCharType="begin"/>
            </w:r>
            <w:r>
              <w:instrText xml:space="preserve"> PAGEREF _Toc100025 \h </w:instrText>
            </w:r>
            <w:r>
              <w:fldChar w:fldCharType="separate"/>
            </w:r>
            <w:r>
              <w:t>16</w:t>
            </w:r>
            <w:r>
              <w:fldChar w:fldCharType="end"/>
            </w:r>
          </w:hyperlink>
        </w:p>
        <w:p>
          <w:pPr>
            <w:pStyle w:val="12"/>
            <w:ind w:left="720"/>
            <w:tabs>
              <w:tab w:val="right" w:leader="dot" w:pos="9026"/>
            </w:tabs>
            <w:spacing w:before="120" w:after="60"/>
          </w:pPr>
          <w:hyperlink w:anchor="_Toc100026" w:history="1">
            <w:r>
              <w:rPr>
                <w:rStyle w:val="Hyperlink"/>
              </w:rPr>
              <w:t>6.2.1 GET /api/inbox</w:t>
            </w:r>
            <w:r>
              <w:tab/>
            </w:r>
            <w:r>
              <w:fldChar w:fldCharType="begin"/>
            </w:r>
            <w:r>
              <w:instrText xml:space="preserve"> PAGEREF _Toc100026 \h </w:instrText>
            </w:r>
            <w:r>
              <w:fldChar w:fldCharType="separate"/>
            </w:r>
            <w:r>
              <w:t>16</w:t>
            </w:r>
            <w:r>
              <w:fldChar w:fldCharType="end"/>
            </w:r>
          </w:hyperlink>
        </w:p>
        <w:p>
          <w:pPr>
            <w:pStyle w:val="12"/>
            <w:ind w:left="720"/>
            <w:tabs>
              <w:tab w:val="right" w:leader="dot" w:pos="9026"/>
            </w:tabs>
            <w:spacing w:before="120" w:after="60"/>
          </w:pPr>
          <w:hyperlink w:anchor="_Toc100027" w:history="1">
            <w:r>
              <w:rPr>
                <w:rStyle w:val="Hyperlink"/>
              </w:rPr>
              <w:t>6.2.2 POST /api/inbox/convert — konversi lead</w:t>
            </w:r>
            <w:r>
              <w:tab/>
            </w:r>
            <w:r>
              <w:fldChar w:fldCharType="begin"/>
            </w:r>
            <w:r>
              <w:instrText xml:space="preserve"> PAGEREF _Toc100027 \h </w:instrText>
            </w:r>
            <w:r>
              <w:fldChar w:fldCharType="separate"/>
            </w:r>
            <w:r>
              <w:t>16</w:t>
            </w:r>
            <w:r>
              <w:fldChar w:fldCharType="end"/>
            </w:r>
          </w:hyperlink>
        </w:p>
        <w:p>
          <w:pPr>
            <w:pStyle w:val="12"/>
            <w:ind w:left="720"/>
            <w:tabs>
              <w:tab w:val="right" w:leader="dot" w:pos="9026"/>
            </w:tabs>
            <w:spacing w:before="120" w:after="60"/>
          </w:pPr>
          <w:hyperlink w:anchor="_Toc100028" w:history="1">
            <w:r>
              <w:rPr>
                <w:rStyle w:val="Hyperlink"/>
              </w:rPr>
              <w:t>6.2.3 POST /api/inbox/respond — balas lead</w:t>
            </w:r>
            <w:r>
              <w:tab/>
            </w:r>
            <w:r>
              <w:fldChar w:fldCharType="begin"/>
            </w:r>
            <w:r>
              <w:instrText xml:space="preserve"> PAGEREF _Toc100028 \h </w:instrText>
            </w:r>
            <w:r>
              <w:fldChar w:fldCharType="separate"/>
            </w:r>
            <w:r>
              <w:t>16</w:t>
            </w:r>
            <w:r>
              <w:fldChar w:fldCharType="end"/>
            </w:r>
          </w:hyperlink>
        </w:p>
        <w:p>
          <w:pPr>
            <w:pStyle w:val="12"/>
            <w:ind w:left="720"/>
            <w:tabs>
              <w:tab w:val="right" w:leader="dot" w:pos="9026"/>
            </w:tabs>
            <w:spacing w:before="120" w:after="60"/>
          </w:pPr>
          <w:hyperlink w:anchor="_Toc100029" w:history="1">
            <w:r>
              <w:rPr>
                <w:rStyle w:val="Hyperlink"/>
              </w:rPr>
              <w:t>6.2.4 Link, arsip, dan eskalasi manual</w:t>
            </w:r>
            <w:r>
              <w:tab/>
            </w:r>
            <w:r>
              <w:fldChar w:fldCharType="begin"/>
            </w:r>
            <w:r>
              <w:instrText xml:space="preserve"> PAGEREF _Toc100029 \h </w:instrText>
            </w:r>
            <w:r>
              <w:fldChar w:fldCharType="separate"/>
            </w:r>
            <w:r>
              <w:t>17</w:t>
            </w:r>
            <w:r>
              <w:fldChar w:fldCharType="end"/>
            </w:r>
          </w:hyperlink>
        </w:p>
        <w:p>
          <w:pPr>
            <w:pStyle w:val="11"/>
            <w:ind w:left="360"/>
            <w:tabs>
              <w:tab w:val="right" w:leader="dot" w:pos="9026"/>
            </w:tabs>
            <w:spacing w:before="120" w:after="60"/>
          </w:pPr>
          <w:hyperlink w:anchor="_Toc100030" w:history="1">
            <w:r>
              <w:rPr>
                <w:rStyle w:val="Hyperlink"/>
              </w:rPr>
              <w:t>6.3 Lead Scoring dan Identity Matching</w:t>
            </w:r>
            <w:r>
              <w:tab/>
            </w:r>
            <w:r>
              <w:fldChar w:fldCharType="begin"/>
            </w:r>
            <w:r>
              <w:instrText xml:space="preserve"> PAGEREF _Toc100030 \h </w:instrText>
            </w:r>
            <w:r>
              <w:fldChar w:fldCharType="separate"/>
            </w:r>
            <w:r>
              <w:t>17</w:t>
            </w:r>
            <w:r>
              <w:fldChar w:fldCharType="end"/>
            </w:r>
          </w:hyperlink>
        </w:p>
        <w:p>
          <w:pPr>
            <w:pStyle w:val="11"/>
            <w:ind w:left="360"/>
            <w:tabs>
              <w:tab w:val="right" w:leader="dot" w:pos="9026"/>
            </w:tabs>
            <w:spacing w:before="120" w:after="60"/>
          </w:pPr>
          <w:hyperlink w:anchor="_Toc100031" w:history="1">
            <w:r>
              <w:rPr>
                <w:rStyle w:val="Hyperlink"/>
              </w:rPr>
              <w:t>6.4 SLA Sweep dan Eskalasi Otomatis</w:t>
            </w:r>
            <w:r>
              <w:tab/>
            </w:r>
            <w:r>
              <w:fldChar w:fldCharType="begin"/>
            </w:r>
            <w:r>
              <w:instrText xml:space="preserve"> PAGEREF _Toc100031 \h </w:instrText>
            </w:r>
            <w:r>
              <w:fldChar w:fldCharType="separate"/>
            </w:r>
            <w:r>
              <w:t>18</w:t>
            </w:r>
            <w:r>
              <w:fldChar w:fldCharType="end"/>
            </w:r>
          </w:hyperlink>
        </w:p>
        <w:p>
          <w:pPr>
            <w:pStyle w:val="11"/>
            <w:ind w:left="360"/>
            <w:tabs>
              <w:tab w:val="right" w:leader="dot" w:pos="9026"/>
            </w:tabs>
            <w:spacing w:before="120" w:after="60"/>
          </w:pPr>
          <w:hyperlink w:anchor="_Toc100032" w:history="1">
            <w:r>
              <w:rPr>
                <w:rStyle w:val="Hyperlink"/>
              </w:rPr>
              <w:t>6.5 Sales Pipeline — Opportunity</w:t>
            </w:r>
            <w:r>
              <w:tab/>
            </w:r>
            <w:r>
              <w:fldChar w:fldCharType="begin"/>
            </w:r>
            <w:r>
              <w:instrText xml:space="preserve"> PAGEREF _Toc100032 \h </w:instrText>
            </w:r>
            <w:r>
              <w:fldChar w:fldCharType="separate"/>
            </w:r>
            <w:r>
              <w:t>18</w:t>
            </w:r>
            <w:r>
              <w:fldChar w:fldCharType="end"/>
            </w:r>
          </w:hyperlink>
        </w:p>
        <w:p>
          <w:pPr>
            <w:pStyle w:val="11"/>
            <w:ind w:left="360"/>
            <w:tabs>
              <w:tab w:val="right" w:leader="dot" w:pos="9026"/>
            </w:tabs>
            <w:spacing w:before="120" w:after="60"/>
          </w:pPr>
          <w:hyperlink w:anchor="_Toc100033" w:history="1">
            <w:r>
              <w:rPr>
                <w:rStyle w:val="Hyperlink"/>
              </w:rPr>
              <w:t>6.6 Transisi WON — handleWonTransition()</w:t>
            </w:r>
            <w:r>
              <w:tab/>
            </w:r>
            <w:r>
              <w:fldChar w:fldCharType="begin"/>
            </w:r>
            <w:r>
              <w:instrText xml:space="preserve"> PAGEREF _Toc100033 \h </w:instrText>
            </w:r>
            <w:r>
              <w:fldChar w:fldCharType="separate"/>
            </w:r>
            <w:r>
              <w:t>19</w:t>
            </w:r>
            <w:r>
              <w:fldChar w:fldCharType="end"/>
            </w:r>
          </w:hyperlink>
        </w:p>
        <w:p>
          <w:pPr>
            <w:pStyle w:val="11"/>
            <w:ind w:left="360"/>
            <w:tabs>
              <w:tab w:val="right" w:leader="dot" w:pos="9026"/>
            </w:tabs>
            <w:spacing w:before="120" w:after="60"/>
          </w:pPr>
          <w:hyperlink w:anchor="_Toc100034" w:history="1">
            <w:r>
              <w:rPr>
                <w:rStyle w:val="Hyperlink"/>
              </w:rPr>
              <w:t>6.7 Workflow Brief → Estimasi → Quotation</w:t>
            </w:r>
            <w:r>
              <w:tab/>
            </w:r>
            <w:r>
              <w:fldChar w:fldCharType="begin"/>
            </w:r>
            <w:r>
              <w:instrText xml:space="preserve"> PAGEREF _Toc100034 \h </w:instrText>
            </w:r>
            <w:r>
              <w:fldChar w:fldCharType="separate"/>
            </w:r>
            <w:r>
              <w:t>22</w:t>
            </w:r>
            <w:r>
              <w:fldChar w:fldCharType="end"/>
            </w:r>
          </w:hyperlink>
        </w:p>
        <w:p>
          <w:pPr>
            <w:pStyle w:val="12"/>
            <w:ind w:left="720"/>
            <w:tabs>
              <w:tab w:val="right" w:leader="dot" w:pos="9026"/>
            </w:tabs>
            <w:spacing w:before="120" w:after="60"/>
          </w:pPr>
          <w:hyperlink w:anchor="_Toc100035" w:history="1">
            <w:r>
              <w:rPr>
                <w:rStyle w:val="Hyperlink"/>
              </w:rPr>
              <w:t>6.7.1 ClientBrief (/api/briefs)</w:t>
            </w:r>
            <w:r>
              <w:tab/>
            </w:r>
            <w:r>
              <w:fldChar w:fldCharType="begin"/>
            </w:r>
            <w:r>
              <w:instrText xml:space="preserve"> PAGEREF _Toc100035 \h </w:instrText>
            </w:r>
            <w:r>
              <w:fldChar w:fldCharType="separate"/>
            </w:r>
            <w:r>
              <w:t>22</w:t>
            </w:r>
            <w:r>
              <w:fldChar w:fldCharType="end"/>
            </w:r>
          </w:hyperlink>
        </w:p>
        <w:p>
          <w:pPr>
            <w:pStyle w:val="12"/>
            <w:ind w:left="720"/>
            <w:tabs>
              <w:tab w:val="right" w:leader="dot" w:pos="9026"/>
            </w:tabs>
            <w:spacing w:before="120" w:after="60"/>
          </w:pPr>
          <w:hyperlink w:anchor="_Toc100036" w:history="1">
            <w:r>
              <w:rPr>
                <w:rStyle w:val="Hyperlink"/>
              </w:rPr>
              <w:t>6.7.2 Estimation / RAB</w:t>
            </w:r>
            <w:r>
              <w:tab/>
            </w:r>
            <w:r>
              <w:fldChar w:fldCharType="begin"/>
            </w:r>
            <w:r>
              <w:instrText xml:space="preserve"> PAGEREF _Toc100036 \h </w:instrText>
            </w:r>
            <w:r>
              <w:fldChar w:fldCharType="separate"/>
            </w:r>
            <w:r>
              <w:t>23</w:t>
            </w:r>
            <w:r>
              <w:fldChar w:fldCharType="end"/>
            </w:r>
          </w:hyperlink>
        </w:p>
        <w:p>
          <w:pPr>
            <w:pStyle w:val="12"/>
            <w:ind w:left="720"/>
            <w:tabs>
              <w:tab w:val="right" w:leader="dot" w:pos="9026"/>
            </w:tabs>
            <w:spacing w:before="120" w:after="60"/>
          </w:pPr>
          <w:hyperlink w:anchor="_Toc100037" w:history="1">
            <w:r>
              <w:rPr>
                <w:rStyle w:val="Hyperlink"/>
              </w:rPr>
              <w:t>6.7.3 Approval (/api/approvals)</w:t>
            </w:r>
            <w:r>
              <w:tab/>
            </w:r>
            <w:r>
              <w:fldChar w:fldCharType="begin"/>
            </w:r>
            <w:r>
              <w:instrText xml:space="preserve"> PAGEREF _Toc100037 \h </w:instrText>
            </w:r>
            <w:r>
              <w:fldChar w:fldCharType="separate"/>
            </w:r>
            <w:r>
              <w:t>24</w:t>
            </w:r>
            <w:r>
              <w:fldChar w:fldCharType="end"/>
            </w:r>
          </w:hyperlink>
        </w:p>
        <w:p>
          <w:pPr>
            <w:pStyle w:val="12"/>
            <w:ind w:left="720"/>
            <w:tabs>
              <w:tab w:val="right" w:leader="dot" w:pos="9026"/>
            </w:tabs>
            <w:spacing w:before="120" w:after="60"/>
          </w:pPr>
          <w:hyperlink w:anchor="_Toc100038" w:history="1">
            <w:r>
              <w:rPr>
                <w:rStyle w:val="Hyperlink"/>
              </w:rPr>
              <w:t>6.7.4 Quotation — lifecycle</w:t>
            </w:r>
            <w:r>
              <w:tab/>
            </w:r>
            <w:r>
              <w:fldChar w:fldCharType="begin"/>
            </w:r>
            <w:r>
              <w:instrText xml:space="preserve"> PAGEREF _Toc100038 \h </w:instrText>
            </w:r>
            <w:r>
              <w:fldChar w:fldCharType="separate"/>
            </w:r>
            <w:r>
              <w:t>25</w:t>
            </w:r>
            <w:r>
              <w:fldChar w:fldCharType="end"/>
            </w:r>
          </w:hyperlink>
        </w:p>
        <w:p>
          <w:pPr>
            <w:pStyle w:val="12"/>
            <w:ind w:left="720"/>
            <w:tabs>
              <w:tab w:val="right" w:leader="dot" w:pos="9026"/>
            </w:tabs>
            <w:spacing w:before="120" w:after="60"/>
          </w:pPr>
          <w:hyperlink w:anchor="_Toc100039" w:history="1">
            <w:r>
              <w:rPr>
                <w:rStyle w:val="Hyperlink"/>
              </w:rPr>
              <w:t>6.7.5 Approval publik + e-sign (/api/public/quotation/[token])</w:t>
            </w:r>
            <w:r>
              <w:tab/>
            </w:r>
            <w:r>
              <w:fldChar w:fldCharType="begin"/>
            </w:r>
            <w:r>
              <w:instrText xml:space="preserve"> PAGEREF _Toc100039 \h </w:instrText>
            </w:r>
            <w:r>
              <w:fldChar w:fldCharType="separate"/>
            </w:r>
            <w:r>
              <w:t>25</w:t>
            </w:r>
            <w:r>
              <w:fldChar w:fldCharType="end"/>
            </w:r>
          </w:hyperlink>
        </w:p>
        <w:p>
          <w:pPr>
            <w:pStyle w:val="11"/>
            <w:ind w:left="360"/>
            <w:tabs>
              <w:tab w:val="right" w:leader="dot" w:pos="9026"/>
            </w:tabs>
            <w:spacing w:before="120" w:after="60"/>
          </w:pPr>
          <w:hyperlink w:anchor="_Toc100040" w:history="1">
            <w:r>
              <w:rPr>
                <w:rStyle w:val="Hyperlink"/>
              </w:rPr>
              <w:t>6.8 Invoice dan Pembayaran (8 action)</w:t>
            </w:r>
            <w:r>
              <w:tab/>
            </w:r>
            <w:r>
              <w:fldChar w:fldCharType="begin"/>
            </w:r>
            <w:r>
              <w:instrText xml:space="preserve"> PAGEREF _Toc100040 \h </w:instrText>
            </w:r>
            <w:r>
              <w:fldChar w:fldCharType="separate"/>
            </w:r>
            <w:r>
              <w:t>26</w:t>
            </w:r>
            <w:r>
              <w:fldChar w:fldCharType="end"/>
            </w:r>
          </w:hyperlink>
        </w:p>
        <w:p>
          <w:pPr>
            <w:pStyle w:val="11"/>
            <w:ind w:left="360"/>
            <w:tabs>
              <w:tab w:val="right" w:leader="dot" w:pos="9026"/>
            </w:tabs>
            <w:spacing w:before="120" w:after="60"/>
          </w:pPr>
          <w:hyperlink w:anchor="_Toc100041" w:history="1">
            <w:r>
              <w:rPr>
                <w:rStyle w:val="Hyperlink"/>
              </w:rPr>
              <w:t>6.9 Payment Terms / TOP</w:t>
            </w:r>
            <w:r>
              <w:tab/>
            </w:r>
            <w:r>
              <w:fldChar w:fldCharType="begin"/>
            </w:r>
            <w:r>
              <w:instrText xml:space="preserve"> PAGEREF _Toc100041 \h </w:instrText>
            </w:r>
            <w:r>
              <w:fldChar w:fldCharType="separate"/>
            </w:r>
            <w:r>
              <w:t>27</w:t>
            </w:r>
            <w:r>
              <w:fldChar w:fldCharType="end"/>
            </w:r>
          </w:hyperlink>
        </w:p>
        <w:p>
          <w:pPr>
            <w:pStyle w:val="11"/>
            <w:ind w:left="360"/>
            <w:tabs>
              <w:tab w:val="right" w:leader="dot" w:pos="9026"/>
            </w:tabs>
            <w:spacing w:before="120" w:after="60"/>
          </w:pPr>
          <w:hyperlink w:anchor="_Toc100042" w:history="1">
            <w:r>
              <w:rPr>
                <w:rStyle w:val="Hyperlink"/>
              </w:rPr>
              <w:t>6.10 Laporan (GET /api/reports)</w:t>
            </w:r>
            <w:r>
              <w:tab/>
            </w:r>
            <w:r>
              <w:fldChar w:fldCharType="begin"/>
            </w:r>
            <w:r>
              <w:instrText xml:space="preserve"> PAGEREF _Toc100042 \h </w:instrText>
            </w:r>
            <w:r>
              <w:fldChar w:fldCharType="separate"/>
            </w:r>
            <w:r>
              <w:t>27</w:t>
            </w:r>
            <w:r>
              <w:fldChar w:fldCharType="end"/>
            </w:r>
          </w:hyperlink>
        </w:p>
        <w:p>
          <w:pPr>
            <w:pStyle w:val="11"/>
            <w:ind w:left="360"/>
            <w:tabs>
              <w:tab w:val="right" w:leader="dot" w:pos="9026"/>
            </w:tabs>
            <w:spacing w:before="120" w:after="60"/>
          </w:pPr>
          <w:hyperlink w:anchor="_Toc100043" w:history="1">
            <w:r>
              <w:rPr>
                <w:rStyle w:val="Hyperlink"/>
              </w:rPr>
              <w:t>6.11 Projects, Milestones, Deliverables, Change Request</w:t>
            </w:r>
            <w:r>
              <w:tab/>
            </w:r>
            <w:r>
              <w:fldChar w:fldCharType="begin"/>
            </w:r>
            <w:r>
              <w:instrText xml:space="preserve"> PAGEREF _Toc100043 \h </w:instrText>
            </w:r>
            <w:r>
              <w:fldChar w:fldCharType="separate"/>
            </w:r>
            <w:r>
              <w:t>27</w:t>
            </w:r>
            <w:r>
              <w:fldChar w:fldCharType="end"/>
            </w:r>
          </w:hyperlink>
        </w:p>
        <w:p>
          <w:pPr>
            <w:pStyle w:val="11"/>
            <w:ind w:left="360"/>
            <w:tabs>
              <w:tab w:val="right" w:leader="dot" w:pos="9026"/>
            </w:tabs>
            <w:spacing w:before="120" w:after="60"/>
          </w:pPr>
          <w:hyperlink w:anchor="_Toc100044" w:history="1">
            <w:r>
              <w:rPr>
                <w:rStyle w:val="Hyperlink"/>
              </w:rPr>
              <w:t>6.12 Client Portal dan Dokumen</w:t>
            </w:r>
            <w:r>
              <w:tab/>
            </w:r>
            <w:r>
              <w:fldChar w:fldCharType="begin"/>
            </w:r>
            <w:r>
              <w:instrText xml:space="preserve"> PAGEREF _Toc100044 \h </w:instrText>
            </w:r>
            <w:r>
              <w:fldChar w:fldCharType="separate"/>
            </w:r>
            <w:r>
              <w:t>28</w:t>
            </w:r>
            <w:r>
              <w:fldChar w:fldCharType="end"/>
            </w:r>
          </w:hyperlink>
        </w:p>
        <w:p>
          <w:pPr>
            <w:pStyle w:val="11"/>
            <w:ind w:left="360"/>
            <w:tabs>
              <w:tab w:val="right" w:leader="dot" w:pos="9026"/>
            </w:tabs>
            <w:spacing w:before="120" w:after="60"/>
          </w:pPr>
          <w:hyperlink w:anchor="_Toc100045" w:history="1">
            <w:r>
              <w:rPr>
                <w:rStyle w:val="Hyperlink"/>
              </w:rPr>
              <w:t>6.13 Kontak dan Perusahaan</w:t>
            </w:r>
            <w:r>
              <w:tab/>
            </w:r>
            <w:r>
              <w:fldChar w:fldCharType="begin"/>
            </w:r>
            <w:r>
              <w:instrText xml:space="preserve"> PAGEREF _Toc100045 \h </w:instrText>
            </w:r>
            <w:r>
              <w:fldChar w:fldCharType="separate"/>
            </w:r>
            <w:r>
              <w:t>28</w:t>
            </w:r>
            <w:r>
              <w:fldChar w:fldCharType="end"/>
            </w:r>
          </w:hyperlink>
        </w:p>
        <w:p>
          <w:pPr>
            <w:pStyle w:val="11"/>
            <w:ind w:left="360"/>
            <w:tabs>
              <w:tab w:val="right" w:leader="dot" w:pos="9026"/>
            </w:tabs>
            <w:spacing w:before="120" w:after="60"/>
          </w:pPr>
          <w:hyperlink w:anchor="_Toc100046" w:history="1">
            <w:r>
              <w:rPr>
                <w:rStyle w:val="Hyperlink"/>
              </w:rPr>
              <w:t>6.14 Global Search dan Notifikasi In-App</w:t>
            </w:r>
            <w:r>
              <w:tab/>
            </w:r>
            <w:r>
              <w:fldChar w:fldCharType="begin"/>
            </w:r>
            <w:r>
              <w:instrText xml:space="preserve"> PAGEREF _Toc100046 \h </w:instrText>
            </w:r>
            <w:r>
              <w:fldChar w:fldCharType="separate"/>
            </w:r>
            <w:r>
              <w:t>28</w:t>
            </w:r>
            <w:r>
              <w:fldChar w:fldCharType="end"/>
            </w:r>
          </w:hyperlink>
        </w:p>
        <w:p>
          <w:pPr>
            <w:pStyle w:val="11"/>
            <w:ind w:left="360"/>
            <w:tabs>
              <w:tab w:val="right" w:leader="dot" w:pos="9026"/>
            </w:tabs>
            <w:spacing w:before="120" w:after="60"/>
          </w:pPr>
          <w:hyperlink w:anchor="_Toc100047" w:history="1">
            <w:r>
              <w:rPr>
                <w:rStyle w:val="Hyperlink"/>
              </w:rPr>
              <w:t>6.15 Tasks dan Follow-up Templates</w:t>
            </w:r>
            <w:r>
              <w:tab/>
            </w:r>
            <w:r>
              <w:fldChar w:fldCharType="begin"/>
            </w:r>
            <w:r>
              <w:instrText xml:space="preserve"> PAGEREF _Toc100047 \h </w:instrText>
            </w:r>
            <w:r>
              <w:fldChar w:fldCharType="separate"/>
            </w:r>
            <w:r>
              <w:t>29</w:t>
            </w:r>
            <w:r>
              <w:fldChar w:fldCharType="end"/>
            </w:r>
          </w:hyperlink>
        </w:p>
        <w:p>
          <w:pPr>
            <w:pStyle w:val="11"/>
            <w:ind w:left="360"/>
            <w:tabs>
              <w:tab w:val="right" w:leader="dot" w:pos="9026"/>
            </w:tabs>
            <w:spacing w:before="120" w:after="60"/>
          </w:pPr>
          <w:hyperlink w:anchor="_Toc100048" w:history="1">
            <w:r>
              <w:rPr>
                <w:rStyle w:val="Hyperlink"/>
              </w:rPr>
              <w:t>6.16 Brand Configuration dan Katalog Layanan</w:t>
            </w:r>
            <w:r>
              <w:tab/>
            </w:r>
            <w:r>
              <w:fldChar w:fldCharType="begin"/>
            </w:r>
            <w:r>
              <w:instrText xml:space="preserve"> PAGEREF _Toc100048 \h </w:instrText>
            </w:r>
            <w:r>
              <w:fldChar w:fldCharType="separate"/>
            </w:r>
            <w:r>
              <w:t>29</w:t>
            </w:r>
            <w:r>
              <w:fldChar w:fldCharType="end"/>
            </w:r>
          </w:hyperlink>
        </w:p>
        <w:p>
          <w:pPr>
            <w:pStyle w:val="11"/>
            <w:ind w:left="360"/>
            <w:tabs>
              <w:tab w:val="right" w:leader="dot" w:pos="9026"/>
            </w:tabs>
            <w:spacing w:before="120" w:after="60"/>
          </w:pPr>
          <w:hyperlink w:anchor="_Toc100049" w:history="1">
            <w:r>
              <w:rPr>
                <w:rStyle w:val="Hyperlink"/>
              </w:rPr>
              <w:t>6.17 Penomoran Dokumen</w:t>
            </w:r>
            <w:r>
              <w:tab/>
            </w:r>
            <w:r>
              <w:fldChar w:fldCharType="begin"/>
            </w:r>
            <w:r>
              <w:instrText xml:space="preserve"> PAGEREF _Toc100049 \h </w:instrText>
            </w:r>
            <w:r>
              <w:fldChar w:fldCharType="separate"/>
            </w:r>
            <w:r>
              <w:t>29</w:t>
            </w:r>
            <w:r>
              <w:fldChar w:fldCharType="end"/>
            </w:r>
          </w:hyperlink>
        </w:p>
        <w:p>
          <w:pPr>
            <w:pStyle w:val="11"/>
            <w:ind w:left="360"/>
            <w:tabs>
              <w:tab w:val="right" w:leader="dot" w:pos="9026"/>
            </w:tabs>
            <w:spacing w:before="120" w:after="60"/>
          </w:pPr>
          <w:hyperlink w:anchor="_Toc100050" w:history="1">
            <w:r>
              <w:rPr>
                <w:rStyle w:val="Hyperlink"/>
              </w:rPr>
              <w:t>6.18 Users dan Access</w:t>
            </w:r>
            <w:r>
              <w:tab/>
            </w:r>
            <w:r>
              <w:fldChar w:fldCharType="begin"/>
            </w:r>
            <w:r>
              <w:instrText xml:space="preserve"> PAGEREF _Toc100050 \h </w:instrText>
            </w:r>
            <w:r>
              <w:fldChar w:fldCharType="separate"/>
            </w:r>
            <w:r>
              <w:t>29</w:t>
            </w:r>
            <w:r>
              <w:fldChar w:fldCharType="end"/>
            </w:r>
          </w:hyperlink>
        </w:p>
        <w:p>
          <w:pPr>
            <w:pStyle w:val="11"/>
            <w:ind w:left="360"/>
            <w:tabs>
              <w:tab w:val="right" w:leader="dot" w:pos="9026"/>
            </w:tabs>
            <w:spacing w:before="120" w:after="60"/>
          </w:pPr>
          <w:hyperlink w:anchor="_Toc100051" w:history="1">
            <w:r>
              <w:rPr>
                <w:rStyle w:val="Hyperlink"/>
              </w:rPr>
              <w:t>6.19 Public Intake Form (/api/public/intake/[token])</w:t>
            </w:r>
            <w:r>
              <w:tab/>
            </w:r>
            <w:r>
              <w:fldChar w:fldCharType="begin"/>
            </w:r>
            <w:r>
              <w:instrText xml:space="preserve"> PAGEREF _Toc100051 \h </w:instrText>
            </w:r>
            <w:r>
              <w:fldChar w:fldCharType="separate"/>
            </w:r>
            <w:r>
              <w:t>30</w:t>
            </w:r>
            <w:r>
              <w:fldChar w:fldCharType="end"/>
            </w:r>
          </w:hyperlink>
        </w:p>
        <w:p>
          <w:pPr>
            <w:pStyle w:val="11"/>
            <w:ind w:left="360"/>
            <w:tabs>
              <w:tab w:val="right" w:leader="dot" w:pos="9026"/>
            </w:tabs>
            <w:spacing w:before="120" w:after="60"/>
          </w:pPr>
          <w:hyperlink w:anchor="_Toc100052" w:history="1">
            <w:r>
              <w:rPr>
                <w:rStyle w:val="Hyperlink"/>
              </w:rPr>
              <w:t>6.20 Integrasi AI</w:t>
            </w:r>
            <w:r>
              <w:tab/>
            </w:r>
            <w:r>
              <w:fldChar w:fldCharType="begin"/>
            </w:r>
            <w:r>
              <w:instrText xml:space="preserve"> PAGEREF _Toc100052 \h </w:instrText>
            </w:r>
            <w:r>
              <w:fldChar w:fldCharType="separate"/>
            </w:r>
            <w:r>
              <w:t>30</w:t>
            </w:r>
            <w:r>
              <w:fldChar w:fldCharType="end"/>
            </w:r>
          </w:hyperlink>
        </w:p>
        <w:p>
          <w:pPr>
            <w:pStyle w:val="11"/>
            <w:ind w:left="360"/>
            <w:tabs>
              <w:tab w:val="right" w:leader="dot" w:pos="9026"/>
            </w:tabs>
            <w:spacing w:before="120" w:after="60"/>
          </w:pPr>
          <w:hyperlink w:anchor="_Toc100053" w:history="1">
            <w:r>
              <w:rPr>
                <w:rStyle w:val="Hyperlink"/>
              </w:rPr>
              <w:t>6.21 Health dan Bootstrap</w:t>
            </w:r>
            <w:r>
              <w:tab/>
            </w:r>
            <w:r>
              <w:fldChar w:fldCharType="begin"/>
            </w:r>
            <w:r>
              <w:instrText xml:space="preserve"> PAGEREF _Toc100053 \h </w:instrText>
            </w:r>
            <w:r>
              <w:fldChar w:fldCharType="separate"/>
            </w:r>
            <w:r>
              <w:t>30</w:t>
            </w:r>
            <w:r>
              <w:fldChar w:fldCharType="end"/>
            </w:r>
          </w:hyperlink>
        </w:p>
        <w:p>
          <w:pPr>
            <w:pStyle w:val="9"/>
            <w:tabs>
              <w:tab w:val="right" w:leader="dot" w:pos="9026"/>
            </w:tabs>
            <w:spacing w:before="120" w:after="60"/>
          </w:pPr>
          <w:hyperlink w:anchor="_Toc100054" w:history="1">
            <w:r>
              <w:rPr>
                <w:rStyle w:val="Hyperlink"/>
              </w:rPr>
              <w:t>7. Generator Dokumen PDF dan Kop Surat</w:t>
            </w:r>
            <w:r>
              <w:tab/>
            </w:r>
            <w:r>
              <w:fldChar w:fldCharType="begin"/>
            </w:r>
            <w:r>
              <w:instrText xml:space="preserve"> PAGEREF _Toc100054 \h </w:instrText>
            </w:r>
            <w:r>
              <w:fldChar w:fldCharType="separate"/>
            </w:r>
            <w:r>
              <w:t>31</w:t>
            </w:r>
            <w:r>
              <w:fldChar w:fldCharType="end"/>
            </w:r>
          </w:hyperlink>
        </w:p>
        <w:p>
          <w:pPr>
            <w:pStyle w:val="9"/>
            <w:tabs>
              <w:tab w:val="right" w:leader="dot" w:pos="9026"/>
            </w:tabs>
            <w:spacing w:before="120" w:after="60"/>
          </w:pPr>
          <w:hyperlink w:anchor="_Toc100055" w:history="1">
            <w:r>
              <w:rPr>
                <w:rStyle w:val="Hyperlink"/>
              </w:rPr>
              <w:t>8. Kanal Komunikasi dan Integrasi Eksternal</w:t>
            </w:r>
            <w:r>
              <w:tab/>
            </w:r>
            <w:r>
              <w:fldChar w:fldCharType="begin"/>
            </w:r>
            <w:r>
              <w:instrText xml:space="preserve"> PAGEREF _Toc100055 \h </w:instrText>
            </w:r>
            <w:r>
              <w:fldChar w:fldCharType="separate"/>
            </w:r>
            <w:r>
              <w:t>31</w:t>
            </w:r>
            <w:r>
              <w:fldChar w:fldCharType="end"/>
            </w:r>
          </w:hyperlink>
        </w:p>
        <w:p>
          <w:pPr>
            <w:pStyle w:val="11"/>
            <w:ind w:left="360"/>
            <w:tabs>
              <w:tab w:val="right" w:leader="dot" w:pos="9026"/>
            </w:tabs>
            <w:spacing w:before="120" w:after="60"/>
          </w:pPr>
          <w:hyperlink w:anchor="_Toc100056" w:history="1">
            <w:r>
              <w:rPr>
                <w:rStyle w:val="Hyperlink"/>
              </w:rPr>
              <w:t>8.1 ChannelConfig per kanal</w:t>
            </w:r>
            <w:r>
              <w:tab/>
            </w:r>
            <w:r>
              <w:fldChar w:fldCharType="begin"/>
            </w:r>
            <w:r>
              <w:instrText xml:space="preserve"> PAGEREF _Toc100056 \h </w:instrText>
            </w:r>
            <w:r>
              <w:fldChar w:fldCharType="separate"/>
            </w:r>
            <w:r>
              <w:t>31</w:t>
            </w:r>
            <w:r>
              <w:fldChar w:fldCharType="end"/>
            </w:r>
          </w:hyperlink>
        </w:p>
        <w:p>
          <w:pPr>
            <w:pStyle w:val="11"/>
            <w:ind w:left="360"/>
            <w:tabs>
              <w:tab w:val="right" w:leader="dot" w:pos="9026"/>
            </w:tabs>
            <w:spacing w:before="120" w:after="60"/>
          </w:pPr>
          <w:hyperlink w:anchor="_Toc100057" w:history="1">
            <w:r>
              <w:rPr>
                <w:rStyle w:val="Hyperlink"/>
              </w:rPr>
              <w:t>8.2 Email keluar (SMTP) dan masuk (IMAP)</w:t>
            </w:r>
            <w:r>
              <w:tab/>
            </w:r>
            <w:r>
              <w:fldChar w:fldCharType="begin"/>
            </w:r>
            <w:r>
              <w:instrText xml:space="preserve"> PAGEREF _Toc100057 \h </w:instrText>
            </w:r>
            <w:r>
              <w:fldChar w:fldCharType="separate"/>
            </w:r>
            <w:r>
              <w:t>32</w:t>
            </w:r>
            <w:r>
              <w:fldChar w:fldCharType="end"/>
            </w:r>
          </w:hyperlink>
        </w:p>
        <w:p>
          <w:pPr>
            <w:pStyle w:val="11"/>
            <w:ind w:left="360"/>
            <w:tabs>
              <w:tab w:val="right" w:leader="dot" w:pos="9026"/>
            </w:tabs>
            <w:spacing w:before="120" w:after="60"/>
          </w:pPr>
          <w:hyperlink w:anchor="_Toc100058" w:history="1">
            <w:r>
              <w:rPr>
                <w:rStyle w:val="Hyperlink"/>
              </w:rPr>
              <w:t>8.3 WhatsApp Cloud API webhook</w:t>
            </w:r>
            <w:r>
              <w:tab/>
            </w:r>
            <w:r>
              <w:fldChar w:fldCharType="begin"/>
            </w:r>
            <w:r>
              <w:instrText xml:space="preserve"> PAGEREF _Toc100058 \h </w:instrText>
            </w:r>
            <w:r>
              <w:fldChar w:fldCharType="separate"/>
            </w:r>
            <w:r>
              <w:t>32</w:t>
            </w:r>
            <w:r>
              <w:fldChar w:fldCharType="end"/>
            </w:r>
          </w:hyperlink>
        </w:p>
        <w:p>
          <w:pPr>
            <w:pStyle w:val="9"/>
            <w:tabs>
              <w:tab w:val="right" w:leader="dot" w:pos="9026"/>
            </w:tabs>
            <w:spacing w:before="120" w:after="60"/>
          </w:pPr>
          <w:hyperlink w:anchor="_Toc100059" w:history="1">
            <w:r>
              <w:rPr>
                <w:rStyle w:val="Hyperlink"/>
              </w:rPr>
              <w:t>9. Notifikasi, Real-time, dan Web Push</w:t>
            </w:r>
            <w:r>
              <w:tab/>
            </w:r>
            <w:r>
              <w:fldChar w:fldCharType="begin"/>
            </w:r>
            <w:r>
              <w:instrText xml:space="preserve"> PAGEREF _Toc100059 \h </w:instrText>
            </w:r>
            <w:r>
              <w:fldChar w:fldCharType="separate"/>
            </w:r>
            <w:r>
              <w:t>32</w:t>
            </w:r>
            <w:r>
              <w:fldChar w:fldCharType="end"/>
            </w:r>
          </w:hyperlink>
        </w:p>
        <w:p>
          <w:pPr>
            <w:pStyle w:val="11"/>
            <w:ind w:left="360"/>
            <w:tabs>
              <w:tab w:val="right" w:leader="dot" w:pos="9026"/>
            </w:tabs>
            <w:spacing w:before="120" w:after="60"/>
          </w:pPr>
          <w:hyperlink w:anchor="_Toc100060" w:history="1">
            <w:r>
              <w:rPr>
                <w:rStyle w:val="Hyperlink"/>
              </w:rPr>
              <w:t>9.1 Mini-service notif-service (socket.io, port 3005)</w:t>
            </w:r>
            <w:r>
              <w:tab/>
            </w:r>
            <w:r>
              <w:fldChar w:fldCharType="begin"/>
            </w:r>
            <w:r>
              <w:instrText xml:space="preserve"> PAGEREF _Toc100060 \h </w:instrText>
            </w:r>
            <w:r>
              <w:fldChar w:fldCharType="separate"/>
            </w:r>
            <w:r>
              <w:t>32</w:t>
            </w:r>
            <w:r>
              <w:fldChar w:fldCharType="end"/>
            </w:r>
          </w:hyperlink>
        </w:p>
        <w:p>
          <w:pPr>
            <w:pStyle w:val="11"/>
            <w:ind w:left="360"/>
            <w:tabs>
              <w:tab w:val="right" w:leader="dot" w:pos="9026"/>
            </w:tabs>
            <w:spacing w:before="120" w:after="60"/>
          </w:pPr>
          <w:hyperlink w:anchor="_Toc100061" w:history="1">
            <w:r>
              <w:rPr>
                <w:rStyle w:val="Hyperlink"/>
              </w:rPr>
              <w:t>9.2 Web Push VAPID</w:t>
            </w:r>
            <w:r>
              <w:tab/>
            </w:r>
            <w:r>
              <w:fldChar w:fldCharType="begin"/>
            </w:r>
            <w:r>
              <w:instrText xml:space="preserve"> PAGEREF _Toc100061 \h </w:instrText>
            </w:r>
            <w:r>
              <w:fldChar w:fldCharType="separate"/>
            </w:r>
            <w:r>
              <w:t>33</w:t>
            </w:r>
            <w:r>
              <w:fldChar w:fldCharType="end"/>
            </w:r>
          </w:hyperlink>
        </w:p>
        <w:p>
          <w:pPr>
            <w:pStyle w:val="9"/>
            <w:tabs>
              <w:tab w:val="right" w:leader="dot" w:pos="9026"/>
            </w:tabs>
            <w:spacing w:before="120" w:after="60"/>
          </w:pPr>
          <w:hyperlink w:anchor="_Toc100062" w:history="1">
            <w:r>
              <w:rPr>
                <w:rStyle w:val="Hyperlink"/>
              </w:rPr>
              <w:t>10. Deployment dan Infrastruktur</w:t>
            </w:r>
            <w:r>
              <w:tab/>
            </w:r>
            <w:r>
              <w:fldChar w:fldCharType="begin"/>
            </w:r>
            <w:r>
              <w:instrText xml:space="preserve"> PAGEREF _Toc100062 \h </w:instrText>
            </w:r>
            <w:r>
              <w:fldChar w:fldCharType="separate"/>
            </w:r>
            <w:r>
              <w:t>33</w:t>
            </w:r>
            <w:r>
              <w:fldChar w:fldCharType="end"/>
            </w:r>
          </w:hyperlink>
        </w:p>
        <w:p>
          <w:pPr>
            <w:pStyle w:val="11"/>
            <w:ind w:left="360"/>
            <w:tabs>
              <w:tab w:val="right" w:leader="dot" w:pos="9026"/>
            </w:tabs>
            <w:spacing w:before="120" w:after="60"/>
          </w:pPr>
          <w:hyperlink w:anchor="_Toc100063" w:history="1">
            <w:r>
              <w:rPr>
                <w:rStyle w:val="Hyperlink"/>
              </w:rPr>
              <w:t>10.1 Dockerfile — 3 stage (base oven/bun:1)</w:t>
            </w:r>
            <w:r>
              <w:tab/>
            </w:r>
            <w:r>
              <w:fldChar w:fldCharType="begin"/>
            </w:r>
            <w:r>
              <w:instrText xml:space="preserve"> PAGEREF _Toc100063 \h </w:instrText>
            </w:r>
            <w:r>
              <w:fldChar w:fldCharType="separate"/>
            </w:r>
            <w:r>
              <w:t>33</w:t>
            </w:r>
            <w:r>
              <w:fldChar w:fldCharType="end"/>
            </w:r>
          </w:hyperlink>
        </w:p>
        <w:p>
          <w:pPr>
            <w:pStyle w:val="11"/>
            <w:ind w:left="360"/>
            <w:tabs>
              <w:tab w:val="right" w:leader="dot" w:pos="9026"/>
            </w:tabs>
            <w:spacing w:before="120" w:after="60"/>
          </w:pPr>
          <w:hyperlink w:anchor="_Toc100064" w:history="1">
            <w:r>
              <w:rPr>
                <w:rStyle w:val="Hyperlink"/>
              </w:rPr>
              <w:t>10.2 Provisioning one-shot: docker-migrate.sh + docker-compose.yml</w:t>
            </w:r>
            <w:r>
              <w:tab/>
            </w:r>
            <w:r>
              <w:fldChar w:fldCharType="begin"/>
            </w:r>
            <w:r>
              <w:instrText xml:space="preserve"> PAGEREF _Toc100064 \h </w:instrText>
            </w:r>
            <w:r>
              <w:fldChar w:fldCharType="separate"/>
            </w:r>
            <w:r>
              <w:t>33</w:t>
            </w:r>
            <w:r>
              <w:fldChar w:fldCharType="end"/>
            </w:r>
          </w:hyperlink>
        </w:p>
        <w:p>
          <w:pPr>
            <w:pStyle w:val="11"/>
            <w:ind w:left="360"/>
            <w:tabs>
              <w:tab w:val="right" w:leader="dot" w:pos="9026"/>
            </w:tabs>
            <w:spacing w:before="120" w:after="60"/>
          </w:pPr>
          <w:hyperlink w:anchor="_Toc100065" w:history="1">
            <w:r>
              <w:rPr>
                <w:rStyle w:val="Hyperlink"/>
              </w:rPr>
              <w:t>10.3 Environment variables</w:t>
            </w:r>
            <w:r>
              <w:tab/>
            </w:r>
            <w:r>
              <w:fldChar w:fldCharType="begin"/>
            </w:r>
            <w:r>
              <w:instrText xml:space="preserve"> PAGEREF _Toc100065 \h </w:instrText>
            </w:r>
            <w:r>
              <w:fldChar w:fldCharType="separate"/>
            </w:r>
            <w:r>
              <w:t>34</w:t>
            </w:r>
            <w:r>
              <w:fldChar w:fldCharType="end"/>
            </w:r>
          </w:hyperlink>
        </w:p>
        <w:p>
          <w:pPr>
            <w:pStyle w:val="11"/>
            <w:ind w:left="360"/>
            <w:tabs>
              <w:tab w:val="right" w:leader="dot" w:pos="9026"/>
            </w:tabs>
            <w:spacing w:before="120" w:after="60"/>
          </w:pPr>
          <w:hyperlink w:anchor="_Toc100066" w:history="1">
            <w:r>
              <w:rPr>
                <w:rStyle w:val="Hyperlink"/>
              </w:rPr>
              <w:t>10.4 Caddyfile dan .dockerignore</w:t>
            </w:r>
            <w:r>
              <w:tab/>
            </w:r>
            <w:r>
              <w:fldChar w:fldCharType="begin"/>
            </w:r>
            <w:r>
              <w:instrText xml:space="preserve"> PAGEREF _Toc100066 \h </w:instrText>
            </w:r>
            <w:r>
              <w:fldChar w:fldCharType="separate"/>
            </w:r>
            <w:r>
              <w:t>34</w:t>
            </w:r>
            <w:r>
              <w:fldChar w:fldCharType="end"/>
            </w:r>
          </w:hyperlink>
        </w:p>
        <w:p>
          <w:pPr>
            <w:pStyle w:val="9"/>
            <w:tabs>
              <w:tab w:val="right" w:leader="dot" w:pos="9026"/>
            </w:tabs>
            <w:spacing w:before="120" w:after="60"/>
          </w:pPr>
          <w:hyperlink w:anchor="_Toc100067" w:history="1">
            <w:r>
              <w:rPr>
                <w:rStyle w:val="Hyperlink"/>
              </w:rPr>
              <w:t>11. Keputusan Arsitektur dan Trade-off</w:t>
            </w:r>
            <w:r>
              <w:tab/>
            </w:r>
            <w:r>
              <w:fldChar w:fldCharType="begin"/>
            </w:r>
            <w:r>
              <w:instrText xml:space="preserve"> PAGEREF _Toc100067 \h </w:instrText>
            </w:r>
            <w:r>
              <w:fldChar w:fldCharType="separate"/>
            </w:r>
            <w:r>
              <w:t>34</w:t>
            </w:r>
            <w:r>
              <w:fldChar w:fldCharType="end"/>
            </w:r>
          </w:hyperlink>
        </w:p>
        <w:p>
          <w:pPr>
            <w:pStyle w:val="9"/>
            <w:tabs>
              <w:tab w:val="right" w:leader="dot" w:pos="9026"/>
            </w:tabs>
            <w:spacing w:before="120" w:after="60"/>
          </w:pPr>
          <w:hyperlink w:anchor="_Toc100068" w:history="1">
            <w:r>
              <w:rPr>
                <w:rStyle w:val="Hyperlink"/>
              </w:rPr>
              <w:t>12. Kelemahan yang Diketahui dan Rekomendasi</w:t>
            </w:r>
            <w:r>
              <w:tab/>
            </w:r>
            <w:r>
              <w:fldChar w:fldCharType="begin"/>
            </w:r>
            <w:r>
              <w:instrText xml:space="preserve"> PAGEREF _Toc100068 \h </w:instrText>
            </w:r>
            <w:r>
              <w:fldChar w:fldCharType="separate"/>
            </w:r>
            <w:r>
              <w:t>34</w:t>
            </w:r>
            <w:r>
              <w:fldChar w:fldCharType="end"/>
            </w:r>
          </w:hyperlink>
        </w:p>
        <w:p>
          <w:pPr>
            <w:pStyle w:val="9"/>
            <w:tabs>
              <w:tab w:val="right" w:leader="dot" w:pos="9026"/>
            </w:tabs>
            <w:spacing w:before="120" w:after="60"/>
          </w:pPr>
          <w:hyperlink w:anchor="_Toc100069" w:history="1">
            <w:r>
              <w:rPr>
                <w:rStyle w:val="Hyperlink"/>
              </w:rPr>
              <w:t>13. Referensi API</w:t>
            </w:r>
            <w:r>
              <w:tab/>
            </w:r>
            <w:r>
              <w:fldChar w:fldCharType="begin"/>
            </w:r>
            <w:r>
              <w:instrText xml:space="preserve"> PAGEREF _Toc100069 \h </w:instrText>
            </w:r>
            <w:r>
              <w:fldChar w:fldCharType="separate"/>
            </w:r>
            <w:r>
              <w:t>36</w:t>
            </w:r>
            <w:r>
              <w:fldChar w:fldCharType="end"/>
            </w:r>
          </w:hyperlink>
        </w:p>
        <w:p>
          <w:pPr>
            <w:pStyle w:val="9"/>
            <w:tabs>
              <w:tab w:val="right" w:leader="dot" w:pos="9026"/>
            </w:tabs>
            <w:spacing w:before="120" w:after="60"/>
          </w:pPr>
          <w:hyperlink w:anchor="_Toc100070" w:history="1">
            <w:r>
              <w:rPr>
                <w:rStyle w:val="Hyperlink"/>
              </w:rPr>
              <w:t>14. Lampiran</w:t>
            </w:r>
            <w:r>
              <w:tab/>
            </w:r>
            <w:r>
              <w:fldChar w:fldCharType="begin"/>
            </w:r>
            <w:r>
              <w:instrText xml:space="preserve"> PAGEREF _Toc100070 \h </w:instrText>
            </w:r>
            <w:r>
              <w:fldChar w:fldCharType="separate"/>
            </w:r>
            <w:r>
              <w:t>37</w:t>
            </w:r>
            <w:r>
              <w:fldChar w:fldCharType="end"/>
            </w:r>
          </w:hyperlink>
        </w:p>
        <w:p>
          <w:pPr>
            <w:pStyle w:val="11"/>
            <w:ind w:left="360"/>
            <w:tabs>
              <w:tab w:val="right" w:leader="dot" w:pos="9026"/>
            </w:tabs>
            <w:spacing w:before="120" w:after="60"/>
          </w:pPr>
          <w:hyperlink w:anchor="_Toc100071" w:history="1">
            <w:r>
              <w:rPr>
                <w:rStyle w:val="Hyperlink"/>
              </w:rPr>
              <w:t>14.1 Data seed demo</w:t>
            </w:r>
            <w:r>
              <w:tab/>
            </w:r>
            <w:r>
              <w:fldChar w:fldCharType="begin"/>
            </w:r>
            <w:r>
              <w:instrText xml:space="preserve"> PAGEREF _Toc100071 \h </w:instrText>
            </w:r>
            <w:r>
              <w:fldChar w:fldCharType="separate"/>
            </w:r>
            <w:r>
              <w:t>37</w:t>
            </w:r>
            <w:r>
              <w:fldChar w:fldCharType="end"/>
            </w:r>
          </w:hyperlink>
        </w:p>
        <w:p>
          <w:pPr>
            <w:pStyle w:val="11"/>
            <w:ind w:left="360"/>
            <w:tabs>
              <w:tab w:val="right" w:leader="dot" w:pos="9026"/>
            </w:tabs>
            <w:spacing w:before="120" w:after="60"/>
          </w:pPr>
          <w:hyperlink w:anchor="_Toc100072" w:history="1">
            <w:r>
              <w:rPr>
                <w:rStyle w:val="Hyperlink"/>
              </w:rPr>
              <w:t>14.2 Akun dan kredensial demo</w:t>
            </w:r>
            <w:r>
              <w:tab/>
            </w:r>
            <w:r>
              <w:fldChar w:fldCharType="begin"/>
            </w:r>
            <w:r>
              <w:instrText xml:space="preserve"> PAGEREF _Toc100072 \h </w:instrText>
            </w:r>
            <w:r>
              <w:fldChar w:fldCharType="separate"/>
            </w:r>
            <w:r>
              <w:t>37</w:t>
            </w:r>
            <w:r>
              <w:fldChar w:fldCharType="end"/>
            </w:r>
          </w:hyperlink>
        </w:p>
        <w:p>
          <w:pPr>
            <w:pStyle w:val="11"/>
            <w:ind w:left="360"/>
            <w:tabs>
              <w:tab w:val="right" w:leader="dot" w:pos="9026"/>
            </w:tabs>
            <w:spacing w:before="120" w:after="60"/>
          </w:pPr>
          <w:hyperlink w:anchor="_Toc100073" w:history="1">
            <w:r>
              <w:rPr>
                <w:rStyle w:val="Hyperlink"/>
              </w:rPr>
              <w:t>14.3 Glosarium</w:t>
            </w:r>
            <w:r>
              <w:tab/>
            </w:r>
            <w:r>
              <w:fldChar w:fldCharType="begin"/>
            </w:r>
            <w:r>
              <w:instrText xml:space="preserve"> PAGEREF _Toc100073 \h </w:instrText>
            </w:r>
            <w:r>
              <w:fldChar w:fldCharType="separate"/>
            </w:r>
            <w:r>
              <w:t>37</w:t>
            </w:r>
            <w:r>
              <w:fldChar w:fldCharType="end"/>
            </w:r>
          </w:hyperlink>
        </w:p>
        <w:p>
          <w:r>
            <w:fldChar w:fldCharType="end"/>
          </w:r>
        </w:p>
      </w:sdtContent>
    </w:sdt>
    <w:p>
      <w:pPr>
        <w:spacing w:before="200"/>
      </w:pPr>
      <w:r>
        <w:rPr>
          <w:rFonts w:ascii="Calibri" w:eastAsia="Microsoft YaHei"/>
          <w:i/>
          <w:iCs/>
          <w:color w:val="888888"/>
          <w:sz w:val="18"/>
          <w:szCs w:val="18"/>
        </w:rPr>
        <w:t xml:space="preserve">Catatan: Daftar isi dibuat dengan field code. Untuk memperbarui nomor halaman setelah mengedit, klik kanan daftar isi lalu pilih Update Field.</w:t>
      </w:r>
    </w:p>
    <w:p>
      <w:r>
        <w:br w:type="page"/>
      </w:r>
    </w:p>
    <w:p>
      <w:pPr>
        <w:sectPr>
          <w:footerReference w:type="default" r:id="rId6"/>
          <w:type w:val="nextPage"/>
          <w:pgSz w:w="11906" w:h="16838" w:orient="portrait"/>
          <w:pgMar w:top="1440" w:right="1417" w:bottom="1440" w:left="1701" w:header="708" w:footer="708" w:gutter="0"/>
          <w:pgNumType w:start="1" w:fmt="upperRoman"/>
          <w:docGrid w:linePitch="360"/>
        </w:sectPr>
      </w:pPr>
    </w:p>
    <w:p>
      <w:pPr>
        <w:pStyle w:val="Heading1"/>
        <w:spacing w:after="200" w:before="360" w:line="312"/>
      </w:pPr>
      <w:bookmarkStart w:id="100000" w:name="_Toc100000"/>
      <w:r>
        <w:rPr>
          <w:rFonts w:ascii="Calibri" w:eastAsia="Microsoft YaHei"/>
          <w:b/>
          <w:bCs/>
          <w:color w:val="162235"/>
          <w:sz w:val="32"/>
          <w:szCs w:val="32"/>
        </w:rPr>
        <w:t xml:space="preserve">1. Ringkasan Eksekutif</w:t>
      </w:r>
      <w:bookmarkEnd w:id="100000"/>
    </w:p>
    <w:p>
      <w:pPr>
        <w:spacing w:after="120" w:line="312"/>
        <w:jc w:val="both"/>
      </w:pPr>
      <w:r>
        <w:rPr>
          <w:rFonts w:ascii="Calibri" w:eastAsia="Microsoft YaHei"/>
          <w:color w:val="000000"/>
          <w:sz w:val="22"/>
          <w:szCs w:val="22"/>
        </w:rPr>
        <w:t xml:space="preserve">UDP CRM adalah aplikasi Customer Relationship Management multi-brand untuk satu grup perusahaan yang menjalankan empat brand jasa kreatif-teknologi: Unimasi (animasi/video), Segia Tech (website/teknologi), Erfo Multimedia (immersive/event), dan Unicam Studio (produksi visual). Satu aplikasi dengan satu database — data dipisahkan secara logis melalui relasi brandId, bukan instans terpisah.</w:t>
      </w:r>
    </w:p>
    <w:p>
      <w:pPr>
        <w:spacing w:after="120" w:line="312"/>
        <w:jc w:val="both"/>
      </w:pPr>
      <w:r>
        <w:rPr>
          <w:rFonts w:ascii="Calibri" w:eastAsia="Microsoft YaHei"/>
          <w:color w:val="000000"/>
          <w:sz w:val="22"/>
          <w:szCs w:val="22"/>
        </w:rPr>
        <w:t xml:space="preserve">Aplikasi mencakup siklus bisnis end-to-end: lead masuk dari Inbox multi-kanal, form intake publik, atau import CSV; identifikasi dan dedupe melalui identity matching berbobot; pipeline 12 stage dengan kanban drag-and-drop dan lead scoring 0–100; brief klien; estimasi RAB dengan approval Direktur; quotation bernomor dengan secure link dan e-sign klien; transisi WON yang secara otomatis membuat Project, Milestones, Invoice DP 50%, dan portal klien; produksi (milestone, task, deliverable, change request); invoice dan pembayaran dengan aging dan TOP; serta audit trail penuh atas setiap perubahan data.</w:t>
      </w:r>
    </w:p>
    <w:p>
      <w:pPr>
        <w:spacing w:after="60" w:line="312"/>
        <w:jc w:val="both"/>
      </w:pPr>
      <w:r>
        <w:rPr>
          <w:rFonts w:ascii="Calibri" w:eastAsia="Microsoft YaHei"/>
          <w:b/>
          <w:bCs/>
          <w:color w:val="162235"/>
          <w:sz w:val="22"/>
          <w:szCs w:val="22"/>
        </w:rPr>
        <w:t xml:space="preserve">Lima karakteristik arsitektural utama:</w:t>
      </w:r>
    </w:p>
    <w:p>
      <w:pPr>
        <w:pStyle w:val="ListParagraph"/>
        <w:numPr>
          <w:ilvl w:val="0"/>
          <w:numId w:val="1"/>
        </w:numPr>
        <w:spacing w:after="60" w:line="312"/>
        <w:jc w:val="both"/>
      </w:pPr>
      <w:r>
        <w:rPr>
          <w:rFonts w:ascii="Calibri" w:eastAsia="Microsoft YaHei"/>
          <w:b/>
          <w:bCs/>
          <w:color w:val="162235"/>
          <w:sz w:val="22"/>
          <w:szCs w:val="22"/>
        </w:rPr>
        <w:t xml:space="preserve">Single Page App. </w:t>
      </w:r>
      <w:r>
        <w:rPr>
          <w:rFonts w:ascii="Calibri" w:eastAsia="Microsoft YaHei"/>
          <w:color w:val="000000"/>
          <w:sz w:val="22"/>
          <w:szCs w:val="22"/>
        </w:rPr>
        <w:t xml:space="preserve">Pengguna hanya melihat satu route (/). Navigasi 13 modul digerakkan state activeModule di Zustand, bukan route halaman. Route yang sama menjadi gerbang publik: ?portal=, ?quote=, ?intake=, dan ?modul= (deep-link push notification).</w:t>
      </w:r>
    </w:p>
    <w:p>
      <w:pPr>
        <w:pStyle w:val="ListParagraph"/>
        <w:numPr>
          <w:ilvl w:val="0"/>
          <w:numId w:val="1"/>
        </w:numPr>
        <w:spacing w:after="60" w:line="312"/>
        <w:jc w:val="both"/>
      </w:pPr>
      <w:r>
        <w:rPr>
          <w:rFonts w:ascii="Calibri" w:eastAsia="Microsoft YaHei"/>
          <w:b/>
          <w:bCs/>
          <w:color w:val="162235"/>
          <w:sz w:val="22"/>
          <w:szCs w:val="22"/>
        </w:rPr>
        <w:t xml:space="preserve">Keamanan berlapis. </w:t>
      </w:r>
      <w:r>
        <w:rPr>
          <w:rFonts w:ascii="Calibri" w:eastAsia="Microsoft YaHei"/>
          <w:color w:val="000000"/>
          <w:sz w:val="22"/>
          <w:szCs w:val="22"/>
        </w:rPr>
        <w:t xml:space="preserve">Cookie sesi HMAC-SHA256 ditandatangani server, dijaga middleware proxy.ts untuk semua /api/*, ditegakkan lagi di route melalui resolveActor() yang selalu memeriksa ulang user ke database, ditambah RBAC dinamis (level none → read → write → full) dan audit log pada hampir semua mutasi.</w:t>
      </w:r>
    </w:p>
    <w:p>
      <w:pPr>
        <w:pStyle w:val="ListParagraph"/>
        <w:numPr>
          <w:ilvl w:val="0"/>
          <w:numId w:val="1"/>
        </w:numPr>
        <w:spacing w:after="60" w:line="312"/>
        <w:jc w:val="both"/>
      </w:pPr>
      <w:r>
        <w:rPr>
          <w:rFonts w:ascii="Calibri" w:eastAsia="Microsoft YaHei"/>
          <w:b/>
          <w:bCs/>
          <w:color w:val="162235"/>
          <w:sz w:val="22"/>
          <w:szCs w:val="22"/>
        </w:rPr>
        <w:t xml:space="preserve">Otomatisasi ter-orkestrasi. </w:t>
      </w:r>
      <w:r>
        <w:rPr>
          <w:rFonts w:ascii="Calibri" w:eastAsia="Microsoft YaHei"/>
          <w:color w:val="000000"/>
          <w:sz w:val="22"/>
          <w:szCs w:val="22"/>
        </w:rPr>
        <w:t xml:space="preserve">Transisi Won, tanda tangan quotation, penerimaan PO, dan approval change request memicu pembuatan dokumen/tugas/notifikasi secara otomatis dalam satu transaksi database dengan guard idempoten.</w:t>
      </w:r>
    </w:p>
    <w:p>
      <w:pPr>
        <w:pStyle w:val="ListParagraph"/>
        <w:numPr>
          <w:ilvl w:val="0"/>
          <w:numId w:val="1"/>
        </w:numPr>
        <w:spacing w:after="60" w:line="312"/>
        <w:jc w:val="both"/>
      </w:pPr>
      <w:r>
        <w:rPr>
          <w:rFonts w:ascii="Calibri" w:eastAsia="Microsoft YaHei"/>
          <w:b/>
          <w:bCs/>
          <w:color w:val="162235"/>
          <w:sz w:val="22"/>
          <w:szCs w:val="22"/>
        </w:rPr>
        <w:t xml:space="preserve">Real-time tanpa layanan berat. </w:t>
      </w:r>
      <w:r>
        <w:rPr>
          <w:rFonts w:ascii="Calibri" w:eastAsia="Microsoft YaHei"/>
          <w:color w:val="000000"/>
          <w:sz w:val="22"/>
          <w:szCs w:val="22"/>
        </w:rPr>
        <w:t xml:space="preserve">Mini-service socket.io terpisah (port 3005) mem-polling API notifikasi tiap 15 detik; Web Push VAPID dikirim langsung dari route operasional.</w:t>
      </w:r>
    </w:p>
    <w:p>
      <w:pPr>
        <w:pStyle w:val="ListParagraph"/>
        <w:numPr>
          <w:ilvl w:val="0"/>
          <w:numId w:val="1"/>
        </w:numPr>
        <w:spacing w:after="60" w:line="312"/>
        <w:jc w:val="both"/>
      </w:pPr>
      <w:r>
        <w:rPr>
          <w:rFonts w:ascii="Calibri" w:eastAsia="Microsoft YaHei"/>
          <w:b/>
          <w:bCs/>
          <w:color w:val="162235"/>
          <w:sz w:val="22"/>
          <w:szCs w:val="22"/>
        </w:rPr>
        <w:t xml:space="preserve">Deployment ringan. </w:t>
      </w:r>
      <w:r>
        <w:rPr>
          <w:rFonts w:ascii="Calibri" w:eastAsia="Microsoft YaHei"/>
          <w:color w:val="000000"/>
          <w:sz w:val="22"/>
          <w:szCs w:val="22"/>
        </w:rPr>
        <w:t xml:space="preserve">Docker multi-stage (base oven/bun:1), Next.js standalone, SQLite di volume persisten, provisioning one-shot docker-migrate.sh, dan runtime murni bun server.js tanpa entrypoint shell.</w:t>
      </w:r>
    </w:p>
    <w:p>
      <w:pPr>
        <w:pStyle w:val="Heading1"/>
        <w:pageBreakBefore/>
        <w:spacing w:after="200" w:before="360" w:line="312"/>
      </w:pPr>
      <w:bookmarkStart w:id="100001" w:name="_Toc100001"/>
      <w:r>
        <w:rPr>
          <w:rFonts w:ascii="Calibri" w:eastAsia="Microsoft YaHei"/>
          <w:b/>
          <w:bCs/>
          <w:color w:val="162235"/>
          <w:sz w:val="32"/>
          <w:szCs w:val="32"/>
        </w:rPr>
        <w:t xml:space="preserve">2. Tumpuan Teknologi</w:t>
      </w:r>
      <w:bookmarkEnd w:id="100001"/>
    </w:p>
    <w:p>
      <w:pPr>
        <w:pStyle w:val="Heading2"/>
        <w:spacing w:after="140" w:before="280" w:line="312"/>
      </w:pPr>
      <w:bookmarkStart w:id="100002" w:name="_Toc100002"/>
      <w:r>
        <w:rPr>
          <w:rFonts w:ascii="Calibri" w:eastAsia="Microsoft YaHei"/>
          <w:b/>
          <w:bCs/>
          <w:color w:val="162235"/>
          <w:sz w:val="27"/>
          <w:szCs w:val="27"/>
        </w:rPr>
        <w:t xml:space="preserve">2.1 Dependensi inti</w:t>
      </w:r>
      <w:bookmarkEnd w:id="100002"/>
    </w:p>
    <w:p>
      <w:pPr>
        <w:keepNext/>
        <w:spacing w:after="80" w:before="160" w:line="312"/>
      </w:pPr>
      <w:r>
        <w:rPr>
          <w:rFonts w:ascii="Calibri" w:eastAsia="Microsoft YaHei"/>
          <w:b/>
          <w:bCs/>
          <w:color w:val="5B6B7D"/>
          <w:sz w:val="20"/>
          <w:szCs w:val="20"/>
        </w:rPr>
        <w:t xml:space="preserve">Tabel 1 — Dependensi utama dan perannya</w:t>
      </w:r>
    </w:p>
    <w:tbl>
      <w:tblPr>
        <w:tblW w:type="pct" w:w="5000"/>
        <w:tblBorders>
          <w:top w:val="single" w:color="1B6B7A" w:sz="6"/>
          <w:left w:val="none" w:color="FFFFFF" w:sz="0"/>
          <w:bottom w:val="single" w:color="1B6B7A" w:sz="6"/>
          <w:right w:val="none" w:color="FFFFFF" w:sz="0"/>
          <w:insideH w:val="single" w:color="C8DDE2" w:sz="2"/>
          <w:insideV w:val="none" w:color="FFFFFF" w:sz="0"/>
        </w:tblBorders>
        <w:tblLayout w:type="fixed"/>
      </w:tblPr>
      <w:tblGrid>
        <w:gridCol w:w="2109"/>
        <w:gridCol w:w="1582"/>
        <w:gridCol w:w="5097"/>
      </w:tblGrid>
      <w:tr>
        <w:trPr>
          <w:cantSplit/>
          <w:tblHeader/>
        </w:trPr>
        <w:tc>
          <w:tcPr>
            <w:tcW w:type="pct" w:w="12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9"/>
                <w:szCs w:val="19"/>
              </w:rPr>
              <w:t xml:space="preserve">Package</w:t>
            </w:r>
          </w:p>
        </w:tc>
        <w:tc>
          <w:tcPr>
            <w:tcW w:type="pct" w:w="9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9"/>
                <w:szCs w:val="19"/>
              </w:rPr>
              <w:t xml:space="preserve">Versi</w:t>
            </w:r>
          </w:p>
        </w:tc>
        <w:tc>
          <w:tcPr>
            <w:tcW w:type="pct" w:w="29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9"/>
                <w:szCs w:val="19"/>
              </w:rPr>
              <w:t xml:space="preserve">Peran</w:t>
            </w:r>
          </w:p>
        </w:tc>
      </w:tr>
      <w:tr>
        <w:trPr>
          <w:cantSplit/>
        </w:trPr>
        <w:tc>
          <w:tcPr>
            <w:tcW w:type="pct" w:w="12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next</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^16.1.1</w:t>
            </w:r>
          </w:p>
        </w:tc>
        <w:tc>
          <w:tcPr>
            <w:tcW w:type="pct" w:w="29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Framework App Router; middleware = src/proxy.ts; output standalone</w:t>
            </w:r>
          </w:p>
        </w:tc>
      </w:tr>
      <w:tr>
        <w:trPr>
          <w:cantSplit/>
        </w:trPr>
        <w:tc>
          <w:tcPr>
            <w:tcW w:type="pct" w:w="12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react / react-dom</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^19</w:t>
            </w:r>
          </w:p>
        </w:tc>
        <w:tc>
          <w:tcPr>
            <w:tcW w:type="pct" w:w="29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Runtime UI</w:t>
            </w:r>
          </w:p>
        </w:tc>
      </w:tr>
      <w:tr>
        <w:trPr>
          <w:cantSplit/>
        </w:trPr>
        <w:tc>
          <w:tcPr>
            <w:tcW w:type="pct" w:w="12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prisma + @prisma/client</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6.19.2 (exact, pinned)</w:t>
            </w:r>
          </w:p>
        </w:tc>
        <w:tc>
          <w:tcPr>
            <w:tcW w:type="pct" w:w="29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ORM ke SQLite; CLI dipanggil langsung dari node_modules di container</w:t>
            </w:r>
          </w:p>
        </w:tc>
      </w:tr>
      <w:tr>
        <w:trPr>
          <w:cantSplit/>
        </w:trPr>
        <w:tc>
          <w:tcPr>
            <w:tcW w:type="pct" w:w="12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zustand</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^5</w:t>
            </w:r>
          </w:p>
        </w:tc>
        <w:tc>
          <w:tcPr>
            <w:tcW w:type="pct" w:w="29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State global (user, brands, activeModule, permissionMatrix)</w:t>
            </w:r>
          </w:p>
        </w:tc>
      </w:tr>
      <w:tr>
        <w:trPr>
          <w:cantSplit/>
        </w:trPr>
        <w:tc>
          <w:tcPr>
            <w:tcW w:type="pct" w:w="12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socket.io-client</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^4</w:t>
            </w:r>
          </w:p>
        </w:tc>
        <w:tc>
          <w:tcPr>
            <w:tcW w:type="pct" w:w="29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Klien realtime ke notif-service</w:t>
            </w:r>
          </w:p>
        </w:tc>
      </w:tr>
      <w:tr>
        <w:trPr>
          <w:cantSplit/>
        </w:trPr>
        <w:tc>
          <w:tcPr>
            <w:tcW w:type="pct" w:w="12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web-push</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^3.6.7</w:t>
            </w:r>
          </w:p>
        </w:tc>
        <w:tc>
          <w:tcPr>
            <w:tcW w:type="pct" w:w="29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Web Push VAPID (server-side)</w:t>
            </w:r>
          </w:p>
        </w:tc>
      </w:tr>
      <w:tr>
        <w:trPr>
          <w:cantSplit/>
        </w:trPr>
        <w:tc>
          <w:tcPr>
            <w:tcW w:type="pct" w:w="12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z-ai-web-dev-sdk</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^0.0.18</w:t>
            </w:r>
          </w:p>
        </w:tc>
        <w:tc>
          <w:tcPr>
            <w:tcW w:type="pct" w:w="29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AI summary opportunity (satu-satunya pemakaian AI)</w:t>
            </w:r>
          </w:p>
        </w:tc>
      </w:tr>
      <w:tr>
        <w:trPr>
          <w:cantSplit/>
        </w:trPr>
        <w:tc>
          <w:tcPr>
            <w:tcW w:type="pct" w:w="12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@dnd-kit/core</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^6</w:t>
            </w:r>
          </w:p>
        </w:tc>
        <w:tc>
          <w:tcPr>
            <w:tcW w:type="pct" w:w="29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Drag-and-drop kanban pipeline</w:t>
            </w:r>
          </w:p>
        </w:tc>
      </w:tr>
      <w:tr>
        <w:trPr>
          <w:cantSplit/>
        </w:trPr>
        <w:tc>
          <w:tcPr>
            <w:tcW w:type="pct" w:w="12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recharts</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^2.15.4</w:t>
            </w:r>
          </w:p>
        </w:tc>
        <w:tc>
          <w:tcPr>
            <w:tcW w:type="pct" w:w="29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Chart dashboard dan laporan</w:t>
            </w:r>
          </w:p>
        </w:tc>
      </w:tr>
      <w:tr>
        <w:trPr>
          <w:cantSplit/>
        </w:trPr>
        <w:tc>
          <w:tcPr>
            <w:tcW w:type="pct" w:w="12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sonner</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^2.0.6</w:t>
            </w:r>
          </w:p>
        </w:tc>
        <w:tc>
          <w:tcPr>
            <w:tcW w:type="pct" w:w="29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Toast notification</w:t>
            </w:r>
          </w:p>
        </w:tc>
      </w:tr>
      <w:tr>
        <w:trPr>
          <w:cantSplit/>
        </w:trPr>
        <w:tc>
          <w:tcPr>
            <w:tcW w:type="pct" w:w="12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nodemailer / imapflow</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^9 / ^1.7</w:t>
            </w:r>
          </w:p>
        </w:tc>
        <w:tc>
          <w:tcPr>
            <w:tcW w:type="pct" w:w="29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Kirim email SMTP / sinkron inbox IMAP</w:t>
            </w:r>
          </w:p>
        </w:tc>
      </w:tr>
      <w:tr>
        <w:trPr>
          <w:cantSplit/>
        </w:trPr>
        <w:tc>
          <w:tcPr>
            <w:tcW w:type="pct" w:w="12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jspdf</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^4.2.1</w:t>
            </w:r>
          </w:p>
        </w:tc>
        <w:tc>
          <w:tcPr>
            <w:tcW w:type="pct" w:w="29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Generator PDF server-side (quotation, invoice, brief)</w:t>
            </w:r>
          </w:p>
        </w:tc>
      </w:tr>
      <w:tr>
        <w:trPr>
          <w:cantSplit/>
        </w:trPr>
        <w:tc>
          <w:tcPr>
            <w:tcW w:type="pct" w:w="12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Radix UI (25+ paket)</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terbaru</w:t>
            </w:r>
          </w:p>
        </w:tc>
        <w:tc>
          <w:tcPr>
            <w:tcW w:type="pct" w:w="29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Primitif komponen shadcn/ui</w:t>
            </w:r>
          </w:p>
        </w:tc>
      </w:tr>
      <w:tr>
        <w:trPr>
          <w:cantSplit/>
        </w:trPr>
        <w:tc>
          <w:tcPr>
            <w:tcW w:type="pct" w:w="12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tailwindcss</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4</w:t>
            </w:r>
          </w:p>
        </w:tc>
        <w:tc>
          <w:tcPr>
            <w:tcW w:type="pct" w:w="29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Styling (design token oklch)</w:t>
            </w:r>
          </w:p>
        </w:tc>
      </w:tr>
      <w:tr>
        <w:trPr>
          <w:cantSplit/>
        </w:trPr>
        <w:tc>
          <w:tcPr>
            <w:tcW w:type="pct" w:w="12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node:crypto</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built-in</w:t>
            </w:r>
          </w:p>
        </w:tc>
        <w:tc>
          <w:tcPr>
            <w:tcW w:type="pct" w:w="29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Hash scrypt password/PIN, HMAC cookie, random token</w:t>
            </w:r>
          </w:p>
        </w:tc>
      </w:tr>
    </w:tbl>
    <w:p>
      <w:pPr>
        <w:pStyle w:val="Heading2"/>
        <w:spacing w:after="140" w:before="280" w:line="312"/>
      </w:pPr>
      <w:bookmarkStart w:id="100003" w:name="_Toc100003"/>
      <w:r>
        <w:rPr>
          <w:rFonts w:ascii="Calibri" w:eastAsia="Microsoft YaHei"/>
          <w:b/>
          <w:bCs/>
          <w:color w:val="162235"/>
          <w:sz w:val="27"/>
          <w:szCs w:val="27"/>
        </w:rPr>
        <w:t xml:space="preserve">2.2 Script dan konfigurasi</w:t>
      </w:r>
      <w:bookmarkEnd w:id="100003"/>
    </w:p>
    <w:p>
      <w:pPr>
        <w:pStyle w:val="ListParagraph"/>
        <w:numPr>
          <w:ilvl w:val="0"/>
          <w:numId w:val="1"/>
        </w:numPr>
        <w:spacing w:after="60" w:line="312"/>
        <w:jc w:val="both"/>
      </w:pPr>
      <w:r>
        <w:rPr>
          <w:rFonts w:ascii="Calibri" w:eastAsia="Microsoft YaHei"/>
          <w:b/>
          <w:bCs/>
          <w:color w:val="162235"/>
          <w:sz w:val="22"/>
          <w:szCs w:val="22"/>
        </w:rPr>
        <w:t xml:space="preserve">Script: </w:t>
      </w:r>
      <w:r>
        <w:rPr>
          <w:rFonts w:ascii="Calibri" w:eastAsia="Microsoft YaHei"/>
          <w:color w:val="000000"/>
          <w:sz w:val="22"/>
          <w:szCs w:val="22"/>
        </w:rPr>
        <w:t xml:space="preserve">dev (port 3000), build (next build + salin .next/static dan public ke .next/standalone), start (NODE_ENV=production bun .next/standalone/server.js), db:push/db:generate/db:reset untuk Prisma.</w:t>
      </w:r>
    </w:p>
    <w:p>
      <w:pPr>
        <w:pStyle w:val="ListParagraph"/>
        <w:numPr>
          <w:ilvl w:val="0"/>
          <w:numId w:val="1"/>
        </w:numPr>
        <w:spacing w:after="60" w:line="312"/>
        <w:jc w:val="both"/>
      </w:pPr>
      <w:r>
        <w:rPr>
          <w:rFonts w:ascii="Calibri" w:eastAsia="Microsoft YaHei"/>
          <w:b/>
          <w:bCs/>
          <w:color w:val="162235"/>
          <w:sz w:val="22"/>
          <w:szCs w:val="22"/>
        </w:rPr>
        <w:t xml:space="preserve">next.config.ts: </w:t>
      </w:r>
      <w:r>
        <w:rPr>
          <w:rFonts w:ascii="Calibri" w:eastAsia="Microsoft YaHei"/>
          <w:color w:val="000000"/>
          <w:sz w:val="22"/>
          <w:szCs w:val="22"/>
        </w:rPr>
        <w:t xml:space="preserve">output: "standalone", reactStrictMode: false. tsconfig: strict, alias @/* → ./src/*.</w:t>
      </w:r>
    </w:p>
    <w:p>
      <w:pPr>
        <w:pStyle w:val="Heading2"/>
        <w:spacing w:after="140" w:before="280" w:line="312"/>
      </w:pPr>
      <w:bookmarkStart w:id="100004" w:name="_Toc100004"/>
      <w:r>
        <w:rPr>
          <w:rFonts w:ascii="Calibri" w:eastAsia="Microsoft YaHei"/>
          <w:b/>
          <w:bCs/>
          <w:color w:val="162235"/>
          <w:sz w:val="27"/>
          <w:szCs w:val="27"/>
        </w:rPr>
        <w:t xml:space="preserve">2.3 Konvensi desain yang diwajibkan</w:t>
      </w:r>
      <w:bookmarkEnd w:id="100004"/>
    </w:p>
    <w:p>
      <w:pPr>
        <w:spacing w:after="120" w:line="312"/>
        <w:jc w:val="both"/>
      </w:pPr>
      <w:r>
        <w:rPr>
          <w:rFonts w:ascii="Calibri" w:eastAsia="Microsoft YaHei"/>
          <w:color w:val="000000"/>
          <w:sz w:val="22"/>
          <w:szCs w:val="22"/>
        </w:rPr>
        <w:t xml:space="preserve">Konvensi berikut tercatat di worklog proyek dan mengikat semua kontributor: Bahasa UI Indonesia dengan font Geist; ikon lucide-react sebagai satu-satunya pustaka ikon; dilarang warna indigo/blue sebagai warna utama (primer zinc-900; warna brand Unimasi #ea580c, Segia #059669, Erfo #e11d48, Unicam #7c3aed; semantik status Won emerald, Lost red-600, Nurture slate, Hot red-600, Warm amber-500, Cold cyan-600); kartu rounded-xl border bg-white shadow-sm dengan padding p-4/p-6; list panjang wajib max-h-96 overflow-y-auto dengan scrollbar kustom .crm-scroll; responsive mobile-first; setiap modul adalah satu file komponen client di src/components/crm/ yang hanya mengakses data melalui api-client dan store Zustand.</w:t>
      </w:r>
    </w:p>
    <w:p>
      <w:pPr>
        <w:pStyle w:val="Heading1"/>
        <w:pageBreakBefore/>
        <w:spacing w:after="200" w:before="360" w:line="312"/>
      </w:pPr>
      <w:bookmarkStart w:id="100005" w:name="_Toc100005"/>
      <w:r>
        <w:rPr>
          <w:rFonts w:ascii="Calibri" w:eastAsia="Microsoft YaHei"/>
          <w:b/>
          <w:bCs/>
          <w:color w:val="162235"/>
          <w:sz w:val="32"/>
          <w:szCs w:val="32"/>
        </w:rPr>
        <w:t xml:space="preserve">3. Arsitektur Sistem</w:t>
      </w:r>
      <w:bookmarkEnd w:id="100005"/>
    </w:p>
    <w:p>
      <w:pPr>
        <w:pStyle w:val="Heading2"/>
        <w:spacing w:after="140" w:before="280" w:line="312"/>
      </w:pPr>
      <w:bookmarkStart w:id="100006" w:name="_Toc100006"/>
      <w:r>
        <w:rPr>
          <w:rFonts w:ascii="Calibri" w:eastAsia="Microsoft YaHei"/>
          <w:b/>
          <w:bCs/>
          <w:color w:val="162235"/>
          <w:sz w:val="27"/>
          <w:szCs w:val="27"/>
        </w:rPr>
        <w:t xml:space="preserve">3.1 Diagram lapisan</w:t>
      </w:r>
      <w:bookmarkEnd w:id="100006"/>
    </w:p>
    <w:p>
      <w:pPr>
        <w:spacing w:after="120" w:line="312"/>
        <w:jc w:val="both"/>
      </w:pPr>
      <w:r>
        <w:rPr>
          <w:rFonts w:ascii="Calibri" w:eastAsia="Microsoft YaHei"/>
          <w:color w:val="000000"/>
          <w:sz w:val="22"/>
          <w:szCs w:val="22"/>
        </w:rPr>
        <w:t xml:space="preserve">Alur permintaan mengalir dari browser ke database melalui lima lapisan yang tegas, dengan dua jalur di luar aplikasi utama: sidecar realtime dan layanan eksternal.</w:t>
      </w:r>
    </w:p>
    <w:p>
      <w:pPr>
        <w:keepLines/>
        <w:shd w:fill="EDF3F5" w:val="clear"/>
        <w:spacing w:after="0" w:before="80" w:line="276"/>
        <w:ind w:left="360" w:right="360"/>
      </w:pPr>
      <w:r>
        <w:rPr>
          <w:rFonts w:ascii="Courier New" w:eastAsia="Microsoft YaHei"/>
          <w:color w:val="1F3A46"/>
          <w:sz w:val="19"/>
          <w:szCs w:val="19"/>
        </w:rPr>
        <w:t xml:space="preserve">BROWSER (PWA: manifest, service worker sw.js, web-push VAPID)</w:t>
      </w:r>
    </w:p>
    <w:p>
      <w:pPr>
        <w:keepLines/>
        <w:shd w:fill="EDF3F5" w:val="clear"/>
        <w:spacing w:after="0" w:before="0" w:line="276"/>
        <w:ind w:left="360" w:right="360"/>
      </w:pPr>
      <w:r>
        <w:rPr>
          <w:rFonts w:ascii="Courier New" w:eastAsia="Microsoft YaHei"/>
          <w:color w:val="1F3A46"/>
          <w:sz w:val="19"/>
          <w:szCs w:val="19"/>
        </w:rPr>
        <w:t xml:space="preserve">  Satu route halaman: /  (src/app/page.tsx = PortalGate)</w:t>
      </w:r>
    </w:p>
    <w:p>
      <w:pPr>
        <w:keepLines/>
        <w:shd w:fill="EDF3F5" w:val="clear"/>
        <w:spacing w:after="0" w:before="0" w:line="276"/>
        <w:ind w:left="360" w:right="360"/>
      </w:pPr>
      <w:r>
        <w:rPr>
          <w:rFonts w:ascii="Courier New" w:eastAsia="Microsoft YaHei"/>
          <w:color w:val="1F3A46"/>
          <w:sz w:val="19"/>
          <w:szCs w:val="19"/>
        </w:rPr>
        <w:t xml:space="preserve">   ├─ ?portal=&lt;token&gt;  → ClientTokenPortal   (klien, tanpa login)</w:t>
      </w:r>
    </w:p>
    <w:p>
      <w:pPr>
        <w:keepLines/>
        <w:shd w:fill="EDF3F5" w:val="clear"/>
        <w:spacing w:after="0" w:before="0" w:line="276"/>
        <w:ind w:left="360" w:right="360"/>
      </w:pPr>
      <w:r>
        <w:rPr>
          <w:rFonts w:ascii="Courier New" w:eastAsia="Microsoft YaHei"/>
          <w:color w:val="1F3A46"/>
          <w:sz w:val="19"/>
          <w:szCs w:val="19"/>
        </w:rPr>
        <w:t xml:space="preserve">   ├─ ?quote=&lt;token&gt;   → QuotationShareView  (approval + e-sign publik)</w:t>
      </w:r>
    </w:p>
    <w:p>
      <w:pPr>
        <w:keepLines/>
        <w:shd w:fill="EDF3F5" w:val="clear"/>
        <w:spacing w:after="0" w:before="0" w:line="276"/>
        <w:ind w:left="360" w:right="360"/>
      </w:pPr>
      <w:r>
        <w:rPr>
          <w:rFonts w:ascii="Courier New" w:eastAsia="Microsoft YaHei"/>
          <w:color w:val="1F3A46"/>
          <w:sz w:val="19"/>
          <w:szCs w:val="19"/>
        </w:rPr>
        <w:t xml:space="preserve">   ├─ ?intake=&lt;token&gt;  → LeadIntakeForm      (form lead publik)</w:t>
      </w:r>
    </w:p>
    <w:p>
      <w:pPr>
        <w:keepLines/>
        <w:shd w:fill="EDF3F5" w:val="clear"/>
        <w:spacing w:after="0" w:before="0" w:line="276"/>
        <w:ind w:left="360" w:right="360"/>
      </w:pPr>
      <w:r>
        <w:rPr>
          <w:rFonts w:ascii="Courier New" w:eastAsia="Microsoft YaHei"/>
          <w:color w:val="1F3A46"/>
          <w:sz w:val="19"/>
          <w:szCs w:val="19"/>
        </w:rPr>
        <w:t xml:space="preserve">   └─ ?modul=&lt;key&gt;     → deep-link notifikasi (validasi canAccess)</w:t>
      </w:r>
    </w:p>
    <w:p>
      <w:pPr>
        <w:keepLines/>
        <w:shd w:fill="EDF3F5" w:val="clear"/>
        <w:spacing w:after="0" w:before="0" w:line="276"/>
        <w:ind w:left="360" w:right="360"/>
      </w:pPr>
      <w:r>
        <w:rPr>
          <w:rFonts w:ascii="Courier New" w:eastAsia="Microsoft YaHei"/>
          <w:color w:val="1F3A46"/>
          <w:sz w:val="19"/>
          <w:szCs w:val="19"/>
        </w:rPr>
        <w:t xml:space="preserve">        │ fetch() via api-client (credentials same-origin)</w:t>
      </w:r>
    </w:p>
    <w:p>
      <w:pPr>
        <w:keepLines/>
        <w:shd w:fill="EDF3F5" w:val="clear"/>
        <w:spacing w:after="0" w:before="0" w:line="276"/>
        <w:ind w:left="360" w:right="360"/>
      </w:pPr>
      <w:r>
        <w:rPr>
          <w:rFonts w:ascii="Courier New" w:eastAsia="Microsoft YaHei"/>
          <w:color w:val="1F3A46"/>
          <w:sz w:val="19"/>
          <w:szCs w:val="19"/>
        </w:rPr>
        <w:t xml:space="preserve">        ▼</w:t>
      </w:r>
    </w:p>
    <w:p>
      <w:pPr>
        <w:keepLines/>
        <w:shd w:fill="EDF3F5" w:val="clear"/>
        <w:spacing w:after="0" w:before="0" w:line="276"/>
        <w:ind w:left="360" w:right="360"/>
      </w:pPr>
      <w:r>
        <w:rPr>
          <w:rFonts w:ascii="Courier New" w:eastAsia="Microsoft YaHei"/>
          <w:color w:val="1F3A46"/>
          <w:sz w:val="19"/>
          <w:szCs w:val="19"/>
        </w:rPr>
        <w:t xml:space="preserve">src/proxy.ts — MIDDLEWARE Next.js 16 (matcher /api/:path*)</w:t>
      </w:r>
    </w:p>
    <w:p>
      <w:pPr>
        <w:keepLines/>
        <w:shd w:fill="EDF3F5" w:val="clear"/>
        <w:spacing w:after="0" w:before="0" w:line="276"/>
        <w:ind w:left="360" w:right="360"/>
      </w:pPr>
      <w:r>
        <w:rPr>
          <w:rFonts w:ascii="Courier New" w:eastAsia="Microsoft YaHei"/>
          <w:color w:val="1F3A46"/>
          <w:sz w:val="19"/>
          <w:szCs w:val="19"/>
        </w:rPr>
        <w:t xml:space="preserve">  • Validasi cookie crm_session (HMAC) untuk route non-allowlist</w:t>
      </w:r>
    </w:p>
    <w:p>
      <w:pPr>
        <w:keepLines/>
        <w:shd w:fill="EDF3F5" w:val="clear"/>
        <w:spacing w:after="0" w:before="0" w:line="276"/>
        <w:ind w:left="360" w:right="360"/>
      </w:pPr>
      <w:r>
        <w:rPr>
          <w:rFonts w:ascii="Courier New" w:eastAsia="Microsoft YaHei"/>
          <w:color w:val="1F3A46"/>
          <w:sz w:val="19"/>
          <w:szCs w:val="19"/>
        </w:rPr>
        <w:t xml:space="preserve">  • Blokir mutasi saat layar terkunci (cookie crm_lock) → 423</w:t>
      </w:r>
    </w:p>
    <w:p>
      <w:pPr>
        <w:keepLines/>
        <w:shd w:fill="EDF3F5" w:val="clear"/>
        <w:spacing w:after="0" w:before="0" w:line="276"/>
        <w:ind w:left="360" w:right="360"/>
      </w:pPr>
      <w:r>
        <w:rPr>
          <w:rFonts w:ascii="Courier New" w:eastAsia="Microsoft YaHei"/>
          <w:color w:val="1F3A46"/>
          <w:sz w:val="19"/>
          <w:szCs w:val="19"/>
        </w:rPr>
        <w:t xml:space="preserve">        │</w:t>
      </w:r>
    </w:p>
    <w:p>
      <w:pPr>
        <w:keepLines/>
        <w:shd w:fill="EDF3F5" w:val="clear"/>
        <w:spacing w:after="0" w:before="0" w:line="276"/>
        <w:ind w:left="360" w:right="360"/>
      </w:pPr>
      <w:r>
        <w:rPr>
          <w:rFonts w:ascii="Courier New" w:eastAsia="Microsoft YaHei"/>
          <w:color w:val="1F3A46"/>
          <w:sz w:val="19"/>
          <w:szCs w:val="19"/>
        </w:rPr>
        <w:t xml:space="preserve">        ▼</w:t>
      </w:r>
    </w:p>
    <w:p>
      <w:pPr>
        <w:keepLines/>
        <w:shd w:fill="EDF3F5" w:val="clear"/>
        <w:spacing w:after="0" w:before="0" w:line="276"/>
        <w:ind w:left="360" w:right="360"/>
      </w:pPr>
      <w:r>
        <w:rPr>
          <w:rFonts w:ascii="Courier New" w:eastAsia="Microsoft YaHei"/>
          <w:color w:val="1F3A46"/>
          <w:sz w:val="19"/>
          <w:szCs w:val="19"/>
        </w:rPr>
        <w:t xml:space="preserve">ROUTE HANDLERS src/app/api/**  (±40 grup; auth, opportunities, inbox,</w:t>
      </w:r>
    </w:p>
    <w:p>
      <w:pPr>
        <w:keepLines/>
        <w:shd w:fill="EDF3F5" w:val="clear"/>
        <w:spacing w:after="0" w:before="0" w:line="276"/>
        <w:ind w:left="360" w:right="360"/>
      </w:pPr>
      <w:r>
        <w:rPr>
          <w:rFonts w:ascii="Courier New" w:eastAsia="Microsoft YaHei"/>
          <w:color w:val="1F3A46"/>
          <w:sz w:val="19"/>
          <w:szCs w:val="19"/>
        </w:rPr>
        <w:t xml:space="preserve">  invoices, quotations, portal, public, channels, webhooks, push, dst.)</w:t>
      </w:r>
    </w:p>
    <w:p>
      <w:pPr>
        <w:keepLines/>
        <w:shd w:fill="EDF3F5" w:val="clear"/>
        <w:spacing w:after="0" w:before="0" w:line="276"/>
        <w:ind w:left="360" w:right="360"/>
      </w:pPr>
      <w:r>
        <w:rPr>
          <w:rFonts w:ascii="Courier New" w:eastAsia="Microsoft YaHei"/>
          <w:color w:val="1F3A46"/>
          <w:sz w:val="19"/>
          <w:szCs w:val="19"/>
        </w:rPr>
        <w:t xml:space="preserve">  Helper lintas-route: resolveActor · assertRole · assertModuleLevel ·</w:t>
      </w:r>
    </w:p>
    <w:p>
      <w:pPr>
        <w:keepLines/>
        <w:shd w:fill="EDF3F5" w:val="clear"/>
        <w:spacing w:after="0" w:before="0" w:line="276"/>
        <w:ind w:left="360" w:right="360"/>
      </w:pPr>
      <w:r>
        <w:rPr>
          <w:rFonts w:ascii="Courier New" w:eastAsia="Microsoft YaHei"/>
          <w:color w:val="1F3A46"/>
          <w:sz w:val="19"/>
          <w:szCs w:val="19"/>
        </w:rPr>
        <w:t xml:space="preserve">  logAudit · ok/fail · nextDocumentNumber · findMatchCandidates</w:t>
      </w:r>
    </w:p>
    <w:p>
      <w:pPr>
        <w:keepLines/>
        <w:shd w:fill="EDF3F5" w:val="clear"/>
        <w:spacing w:after="0" w:before="0" w:line="276"/>
        <w:ind w:left="360" w:right="360"/>
      </w:pPr>
      <w:r>
        <w:rPr>
          <w:rFonts w:ascii="Courier New" w:eastAsia="Microsoft YaHei"/>
          <w:color w:val="1F3A46"/>
          <w:sz w:val="19"/>
          <w:szCs w:val="19"/>
        </w:rPr>
        <w:t xml:space="preserve">        │</w:t>
      </w:r>
    </w:p>
    <w:p>
      <w:pPr>
        <w:keepLines/>
        <w:shd w:fill="EDF3F5" w:val="clear"/>
        <w:spacing w:after="0" w:before="0" w:line="276"/>
        <w:ind w:left="360" w:right="360"/>
      </w:pPr>
      <w:r>
        <w:rPr>
          <w:rFonts w:ascii="Courier New" w:eastAsia="Microsoft YaHei"/>
          <w:color w:val="1F3A46"/>
          <w:sz w:val="19"/>
          <w:szCs w:val="19"/>
        </w:rPr>
        <w:t xml:space="preserve">        ▼</w:t>
      </w:r>
    </w:p>
    <w:p>
      <w:pPr>
        <w:keepLines/>
        <w:shd w:fill="EDF3F5" w:val="clear"/>
        <w:spacing w:after="0" w:before="0" w:line="276"/>
        <w:ind w:left="360" w:right="360"/>
      </w:pPr>
      <w:r>
        <w:rPr>
          <w:rFonts w:ascii="Courier New" w:eastAsia="Microsoft YaHei"/>
          <w:color w:val="1F3A46"/>
          <w:sz w:val="19"/>
          <w:szCs w:val="19"/>
        </w:rPr>
        <w:t xml:space="preserve">PRISMA CLIENT 6.19.2 (src/lib/db.ts, singleton)</w:t>
      </w:r>
    </w:p>
    <w:p>
      <w:pPr>
        <w:keepLines/>
        <w:shd w:fill="EDF3F5" w:val="clear"/>
        <w:spacing w:after="0" w:before="0" w:line="276"/>
        <w:ind w:left="360" w:right="360"/>
      </w:pPr>
      <w:r>
        <w:rPr>
          <w:rFonts w:ascii="Courier New" w:eastAsia="Microsoft YaHei"/>
          <w:color w:val="1F3A46"/>
          <w:sz w:val="19"/>
          <w:szCs w:val="19"/>
        </w:rPr>
        <w:t xml:space="preserve">  → SQLite: db/custom.db (dev) · /app/data/custom.db (produksi, volume)</w:t>
      </w:r>
    </w:p>
    <w:p>
      <w:pPr>
        <w:keepLines/>
        <w:shd w:fill="EDF3F5" w:val="clear"/>
        <w:spacing w:after="0" w:before="0" w:line="276"/>
        <w:ind w:left="360" w:right="360"/>
      </w:pPr>
      <w:r>
        <w:rPr>
          <w:rFonts w:ascii="Courier New" w:eastAsia="Microsoft YaHei"/>
          <w:color w:val="1F3A46"/>
          <w:sz w:val="19"/>
          <w:szCs w:val="19"/>
        </w:rPr>
        <w:t xml:space="preserve"/>
      </w:r>
    </w:p>
    <w:p>
      <w:pPr>
        <w:keepLines/>
        <w:shd w:fill="EDF3F5" w:val="clear"/>
        <w:spacing w:after="0" w:before="0" w:line="276"/>
        <w:ind w:left="360" w:right="360"/>
      </w:pPr>
      <w:r>
        <w:rPr>
          <w:rFonts w:ascii="Courier New" w:eastAsia="Microsoft YaHei"/>
          <w:color w:val="1F3A46"/>
          <w:sz w:val="19"/>
          <w:szCs w:val="19"/>
        </w:rPr>
        <w:t xml:space="preserve">SIDECAR REALTIME: mini-services/notif-service (socket.io :3005)</w:t>
      </w:r>
    </w:p>
    <w:p>
      <w:pPr>
        <w:keepLines/>
        <w:shd w:fill="EDF3F5" w:val="clear"/>
        <w:spacing w:after="0" w:before="0" w:line="276"/>
        <w:ind w:left="360" w:right="360"/>
      </w:pPr>
      <w:r>
        <w:rPr>
          <w:rFonts w:ascii="Courier New" w:eastAsia="Microsoft YaHei"/>
          <w:color w:val="1F3A46"/>
          <w:sz w:val="19"/>
          <w:szCs w:val="19"/>
        </w:rPr>
        <w:t xml:space="preserve">  poll GET /api/notifications + /api/notif-prefs tiap 15 dtk → emit notif:changed</w:t>
      </w:r>
    </w:p>
    <w:p>
      <w:pPr>
        <w:keepLines/>
        <w:shd w:fill="EDF3F5" w:val="clear"/>
        <w:spacing w:after="0" w:before="0" w:line="276"/>
        <w:ind w:left="360" w:right="360"/>
      </w:pPr>
      <w:r>
        <w:rPr>
          <w:rFonts w:ascii="Courier New" w:eastAsia="Microsoft YaHei"/>
          <w:color w:val="1F3A46"/>
          <w:sz w:val="19"/>
          <w:szCs w:val="19"/>
        </w:rPr>
        <w:t xml:space="preserve"/>
      </w:r>
    </w:p>
    <w:p>
      <w:pPr>
        <w:keepLines/>
        <w:shd w:fill="EDF3F5" w:val="clear"/>
        <w:spacing w:after="0" w:before="0" w:line="276"/>
        <w:ind w:left="360" w:right="360"/>
      </w:pPr>
      <w:r>
        <w:rPr>
          <w:rFonts w:ascii="Courier New" w:eastAsia="Microsoft YaHei"/>
          <w:color w:val="1F3A46"/>
          <w:sz w:val="19"/>
          <w:szCs w:val="19"/>
        </w:rPr>
        <w:t xml:space="preserve">EKSTERNAL: WhatsApp Cloud API (webhook + Graph API) · SMTP kirim (nodemailer)</w:t>
      </w:r>
    </w:p>
    <w:p>
      <w:pPr>
        <w:keepLines/>
        <w:shd w:fill="EDF3F5" w:val="clear"/>
        <w:spacing w:after="160" w:before="0" w:line="276"/>
        <w:ind w:left="360" w:right="360"/>
      </w:pPr>
      <w:r>
        <w:rPr>
          <w:rFonts w:ascii="Courier New" w:eastAsia="Microsoft YaHei"/>
          <w:color w:val="1F3A46"/>
          <w:sz w:val="19"/>
          <w:szCs w:val="19"/>
        </w:rPr>
        <w:t xml:space="preserve">  · IMAP terima (imapflow) · Web Push service · z-ai-web-dev-sdk (LLM)</w:t>
      </w:r>
    </w:p>
    <w:p>
      <w:pPr>
        <w:pStyle w:val="Heading2"/>
        <w:spacing w:after="140" w:before="280" w:line="312"/>
      </w:pPr>
      <w:bookmarkStart w:id="100007" w:name="_Toc100007"/>
      <w:r>
        <w:rPr>
          <w:rFonts w:ascii="Calibri" w:eastAsia="Microsoft YaHei"/>
          <w:b/>
          <w:bCs/>
          <w:color w:val="162235"/>
          <w:sz w:val="27"/>
          <w:szCs w:val="27"/>
        </w:rPr>
        <w:t xml:space="preserve">3.2 Pola Single Page App + PortalGate</w:t>
      </w:r>
      <w:bookmarkEnd w:id="100007"/>
    </w:p>
    <w:p>
      <w:pPr>
        <w:spacing w:after="120" w:line="312"/>
        <w:jc w:val="both"/>
      </w:pPr>
      <w:r>
        <w:rPr>
          <w:rFonts w:ascii="Calibri" w:eastAsia="Microsoft YaHei"/>
          <w:color w:val="000000"/>
          <w:sz w:val="22"/>
          <w:szCs w:val="22"/>
        </w:rPr>
        <w:t xml:space="preserve">src/app/page.tsx adalah satu-satunya route halaman dan berperan sebagai PortalGate. Pertama, ia memeriksa query string: token portal (?portal=), token quotation (?quote= disertai ?key= atau ?password=), link intake (?intake=), atau deep-link modul (?modul=&lt;key&gt;&amp;id=… dari push notification — divalidasi lewat canAccess() lalu URL dibersihkan). Tanpa token, halaman menampilkan splash pemeriksaan sesi, memanggil GET /api/auth/session, lalu merender AppShell (13 modul CRM) bila sesi valid atau LoginScreen bila tidak.</w:t>
      </w:r>
    </w:p>
    <w:p>
      <w:pPr>
        <w:spacing w:after="120" w:line="312"/>
        <w:jc w:val="both"/>
      </w:pPr>
      <w:r>
        <w:rPr>
          <w:rFonts w:ascii="Calibri" w:eastAsia="Microsoft YaHei"/>
          <w:color w:val="000000"/>
          <w:sz w:val="22"/>
          <w:szCs w:val="22"/>
        </w:rPr>
        <w:t xml:space="preserve">Navigasi antar modul adalah state activeModule di useCrmStore (Zustand, persist key udp-crm-session; hanya objek user yang dipersist). Field pendingFocus {module, id, nonce} dipakai global search dan notifikasi untuk melompat ke entitas spesifik lintas modul. Tiga belas modul terdaftar: dashboard, inbox, contacts, pipeline, followups, finance, reports, projects, portal, channels, brands, users, dan audit.</w:t>
      </w:r>
    </w:p>
    <w:p>
      <w:pPr>
        <w:pStyle w:val="Heading2"/>
        <w:spacing w:after="140" w:before="280" w:line="312"/>
      </w:pPr>
      <w:bookmarkStart w:id="100008" w:name="_Toc100008"/>
      <w:r>
        <w:rPr>
          <w:rFonts w:ascii="Calibri" w:eastAsia="Microsoft YaHei"/>
          <w:b/>
          <w:bCs/>
          <w:color w:val="162235"/>
          <w:sz w:val="27"/>
          <w:szCs w:val="27"/>
        </w:rPr>
        <w:t xml:space="preserve">3.3 Struktur direktori</w:t>
      </w:r>
      <w:bookmarkEnd w:id="100008"/>
    </w:p>
    <w:p>
      <w:pPr>
        <w:keepNext/>
        <w:spacing w:after="80" w:before="160" w:line="312"/>
      </w:pPr>
      <w:r>
        <w:rPr>
          <w:rFonts w:ascii="Calibri" w:eastAsia="Microsoft YaHei"/>
          <w:b/>
          <w:bCs/>
          <w:color w:val="5B6B7D"/>
          <w:sz w:val="20"/>
          <w:szCs w:val="20"/>
        </w:rPr>
        <w:t xml:space="preserve">Tabel 2 — Struktur direktori penting</w:t>
      </w:r>
    </w:p>
    <w:tbl>
      <w:tblPr>
        <w:tblW w:type="pct" w:w="5000"/>
        <w:tblBorders>
          <w:top w:val="single" w:color="1B6B7A" w:sz="6"/>
          <w:left w:val="none" w:color="FFFFFF" w:sz="0"/>
          <w:bottom w:val="single" w:color="1B6B7A" w:sz="6"/>
          <w:right w:val="none" w:color="FFFFFF" w:sz="0"/>
          <w:insideH w:val="single" w:color="C8DDE2" w:sz="2"/>
          <w:insideV w:val="none" w:color="FFFFFF" w:sz="0"/>
        </w:tblBorders>
        <w:tblLayout w:type="fixed"/>
      </w:tblPr>
      <w:tblGrid>
        <w:gridCol w:w="2988"/>
        <w:gridCol w:w="5800"/>
      </w:tblGrid>
      <w:tr>
        <w:trPr>
          <w:cantSplit/>
          <w:tblHeader/>
        </w:trPr>
        <w:tc>
          <w:tcPr>
            <w:tcW w:type="pct" w:w="17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9"/>
                <w:szCs w:val="19"/>
              </w:rPr>
              <w:t xml:space="preserve">Lokasi</w:t>
            </w:r>
          </w:p>
        </w:tc>
        <w:tc>
          <w:tcPr>
            <w:tcW w:type="pct" w:w="33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9"/>
                <w:szCs w:val="19"/>
              </w:rPr>
              <w:t xml:space="preserve">Isi</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src/proxy.ts</w:t>
            </w:r>
          </w:p>
        </w:tc>
        <w:tc>
          <w:tcPr>
            <w:tcW w:type="pct" w:w="3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Middleware Next.js 16 — gerbang sesi semua /api/*</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src/app/page.tsx</w:t>
            </w:r>
          </w:p>
        </w:tc>
        <w:tc>
          <w:tcPr>
            <w:tcW w:type="pct" w:w="3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PortalGate (satu-satunya route halaman)</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src/app/api/**</w:t>
            </w:r>
          </w:p>
        </w:tc>
        <w:tc>
          <w:tcPr>
            <w:tcW w:type="pct" w:w="3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±40 grup route handler (lihat Bab 13)</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src/components/ui/**</w:t>
            </w:r>
          </w:p>
        </w:tc>
        <w:tc>
          <w:tcPr>
            <w:tcW w:type="pct" w:w="3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Komponen shadcn/ui (button, dialog, table, dst.)</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src/components/crm/**</w:t>
            </w:r>
          </w:p>
        </w:tc>
        <w:tc>
          <w:tcPr>
            <w:tcW w:type="pct" w:w="3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±40 file: app-shell, login-screen, 13 *-module.tsx, client-token-portal, quotation-share-view, lead-intake-form, global-search, notification-center, quotation-print, invoice-print, dst.</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src/lib/db.ts</w:t>
            </w:r>
          </w:p>
        </w:tc>
        <w:tc>
          <w:tcPr>
            <w:tcW w:type="pct" w:w="3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Singleton PrismaClient</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src/lib/crm/**</w:t>
            </w:r>
          </w:p>
        </w:tc>
        <w:tc>
          <w:tcPr>
            <w:tcW w:type="pct" w:w="3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Inti domain — 30+ modul (session, auth, permissions, server, numbering, scoring, sla-sweep, thread, payment-terms, doc-pdf, doc-send, email-delivery, email-sync, channels, push, notif-socket, types, api-client, store, seed, dst.)</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prisma/schema.prisma</w:t>
            </w:r>
          </w:p>
        </w:tc>
        <w:tc>
          <w:tcPr>
            <w:tcW w:type="pct" w:w="3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34 model (Bab 4)</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db/custom.db.seed</w:t>
            </w:r>
          </w:p>
        </w:tc>
        <w:tc>
          <w:tcPr>
            <w:tcW w:type="pct" w:w="3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Snapshot DB demo ±1,7 MB (first-boot container)</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mini-services/notif-service/</w:t>
            </w:r>
          </w:p>
        </w:tc>
        <w:tc>
          <w:tcPr>
            <w:tcW w:type="pct" w:w="3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Sidecar socket.io port 3005 (package.json sendiri)</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scripts/dev-smtp-sink.ts</w:t>
            </w:r>
          </w:p>
        </w:tc>
        <w:tc>
          <w:tcPr>
            <w:tcW w:type="pct" w:w="3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SMTP sink dev-only (127.0.0.1:3465) untuk QA email</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public/sw.js</w:t>
            </w:r>
          </w:p>
        </w:tc>
        <w:tc>
          <w:tcPr>
            <w:tcW w:type="pct" w:w="3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Service worker: web push + halaman offline</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Dockerfile / docker-compose.yml / docker-migrate.sh</w:t>
            </w:r>
          </w:p>
        </w:tc>
        <w:tc>
          <w:tcPr>
            <w:tcW w:type="pct" w:w="3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Build 3 stage, orkestrasi Coolify, provisioning one-shot</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Caddyfile</w:t>
            </w:r>
          </w:p>
        </w:tc>
        <w:tc>
          <w:tcPr>
            <w:tcW w:type="pct" w:w="3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Gateway sandbox: ?XTransformPort=&lt;n&gt; → localhost:&lt;n&gt;</w:t>
            </w:r>
          </w:p>
        </w:tc>
      </w:tr>
    </w:tbl>
    <w:p>
      <w:pPr>
        <w:pStyle w:val="Heading2"/>
        <w:spacing w:after="140" w:before="280" w:line="312"/>
      </w:pPr>
      <w:bookmarkStart w:id="100009" w:name="_Toc100009"/>
      <w:r>
        <w:rPr>
          <w:rFonts w:ascii="Calibri" w:eastAsia="Microsoft YaHei"/>
          <w:b/>
          <w:bCs/>
          <w:color w:val="162235"/>
          <w:sz w:val="27"/>
          <w:szCs w:val="27"/>
        </w:rPr>
        <w:t xml:space="preserve">3.4 Modul inti src/lib/crm/</w:t>
      </w:r>
      <w:bookmarkEnd w:id="100009"/>
    </w:p>
    <w:p>
      <w:pPr>
        <w:keepNext/>
        <w:spacing w:after="80" w:before="160" w:line="312"/>
      </w:pPr>
      <w:r>
        <w:rPr>
          <w:rFonts w:ascii="Calibri" w:eastAsia="Microsoft YaHei"/>
          <w:b/>
          <w:bCs/>
          <w:color w:val="5B6B7D"/>
          <w:sz w:val="20"/>
          <w:szCs w:val="20"/>
        </w:rPr>
        <w:t xml:space="preserve">Tabel 3 — Modul lib domain dan isinya</w:t>
      </w:r>
    </w:p>
    <w:tbl>
      <w:tblPr>
        <w:tblW w:type="pct" w:w="5000"/>
        <w:tblBorders>
          <w:top w:val="single" w:color="1B6B7A" w:sz="6"/>
          <w:left w:val="none" w:color="FFFFFF" w:sz="0"/>
          <w:bottom w:val="single" w:color="1B6B7A" w:sz="6"/>
          <w:right w:val="none" w:color="FFFFFF" w:sz="0"/>
          <w:insideH w:val="single" w:color="C8DDE2" w:sz="2"/>
          <w:insideV w:val="none" w:color="FFFFFF" w:sz="0"/>
        </w:tblBorders>
        <w:tblLayout w:type="fixed"/>
      </w:tblPr>
      <w:tblGrid>
        <w:gridCol w:w="2636"/>
        <w:gridCol w:w="6152"/>
      </w:tblGrid>
      <w:tr>
        <w:trPr>
          <w:cantSplit/>
          <w:tblHeader/>
        </w:trPr>
        <w:tc>
          <w:tcPr>
            <w:tcW w:type="pct" w:w="15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9"/>
                <w:szCs w:val="19"/>
              </w:rPr>
              <w:t xml:space="preserve">Berkas</w:t>
            </w:r>
          </w:p>
        </w:tc>
        <w:tc>
          <w:tcPr>
            <w:tcW w:type="pct" w:w="35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9"/>
                <w:szCs w:val="19"/>
              </w:rPr>
              <w:t xml:space="preserve">Isi</w:t>
            </w:r>
          </w:p>
        </w:tc>
      </w:tr>
      <w:tr>
        <w:trPr>
          <w:cantSplit/>
        </w:trPr>
        <w:tc>
          <w:tcPr>
            <w:tcW w:type="pct" w:w="1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session.ts</w:t>
            </w:r>
          </w:p>
        </w:tc>
        <w:tc>
          <w:tcPr>
            <w:tcW w:type="pct" w:w="3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Token cookie sesi dan lock (HMAC-SHA256, Web Crypto edge-safe), fail-closed SESSION_SECRET</w:t>
            </w:r>
          </w:p>
        </w:tc>
      </w:tr>
      <w:tr>
        <w:trPr>
          <w:cantSplit/>
        </w:trPr>
        <w:tc>
          <w:tcPr>
            <w:tcW w:type="pct" w:w="1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auth.ts</w:t>
            </w:r>
          </w:p>
        </w:tc>
        <w:tc>
          <w:tcPr>
            <w:tcW w:type="pct" w:w="3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resolveActor(), assertRole(), hash scrypt, rate-limit login</w:t>
            </w:r>
          </w:p>
        </w:tc>
      </w:tr>
      <w:tr>
        <w:trPr>
          <w:cantSplit/>
        </w:trPr>
        <w:tc>
          <w:tcPr>
            <w:tcW w:type="pct" w:w="1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permissions.ts</w:t>
            </w:r>
          </w:p>
        </w:tc>
        <w:tc>
          <w:tcPr>
            <w:tcW w:type="pct" w:w="3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RBAC dinamis: level, DEFAULT_MATRIX, cache 30 detik, assertModuleLevel()</w:t>
            </w:r>
          </w:p>
        </w:tc>
      </w:tr>
      <w:tr>
        <w:trPr>
          <w:cantSplit/>
        </w:trPr>
        <w:tc>
          <w:tcPr>
            <w:tcW w:type="pct" w:w="1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server.ts</w:t>
            </w:r>
          </w:p>
        </w:tc>
        <w:tc>
          <w:tcPr>
            <w:tcW w:type="pct" w:w="3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Helper respons, sanitasi angka/tanggal, blocklist lampiran, logAudit(), resolveContractValue(), handleWonTransition(), findMatchCandidates()</w:t>
            </w:r>
          </w:p>
        </w:tc>
      </w:tr>
      <w:tr>
        <w:trPr>
          <w:cantSplit/>
        </w:trPr>
        <w:tc>
          <w:tcPr>
            <w:tcW w:type="pct" w:w="1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constants.ts</w:t>
            </w:r>
          </w:p>
        </w:tc>
        <w:tc>
          <w:tcPr>
            <w:tcW w:type="pct" w:w="3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12 PIPELINE_STAGES, LOST_REASONS, NURTURE_SEGMENTS, CHANNELS, LEAD_SOURCES, ROLES, BRAND_SERVICES, template workflow produksi, saran industri</w:t>
            </w:r>
          </w:p>
        </w:tc>
      </w:tr>
      <w:tr>
        <w:trPr>
          <w:cantSplit/>
        </w:trPr>
        <w:tc>
          <w:tcPr>
            <w:tcW w:type="pct" w:w="1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numbering.ts + numbering-core.ts</w:t>
            </w:r>
          </w:p>
        </w:tc>
        <w:tc>
          <w:tcPr>
            <w:tcW w:type="pct" w:w="3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Penomoran dokumen per brand (template token, counter, reset)</w:t>
            </w:r>
          </w:p>
        </w:tc>
      </w:tr>
      <w:tr>
        <w:trPr>
          <w:cantSplit/>
        </w:trPr>
        <w:tc>
          <w:tcPr>
            <w:tcW w:type="pct" w:w="1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scoring.ts</w:t>
            </w:r>
          </w:p>
        </w:tc>
        <w:tc>
          <w:tcPr>
            <w:tcW w:type="pct" w:w="3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computeLeadScore() 0–100 berbasis aturan</w:t>
            </w:r>
          </w:p>
        </w:tc>
      </w:tr>
      <w:tr>
        <w:trPr>
          <w:cantSplit/>
        </w:trPr>
        <w:tc>
          <w:tcPr>
            <w:tcW w:type="pct" w:w="1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sla-sweep.ts</w:t>
            </w:r>
          </w:p>
        </w:tc>
        <w:tc>
          <w:tcPr>
            <w:tcW w:type="pct" w:w="3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Sweep eskalasi otomatis lead yang melewati SLA</w:t>
            </w:r>
          </w:p>
        </w:tc>
      </w:tr>
      <w:tr>
        <w:trPr>
          <w:cantSplit/>
        </w:trPr>
        <w:tc>
          <w:tcPr>
            <w:tcW w:type="pct" w:w="1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thread.ts</w:t>
            </w:r>
          </w:p>
        </w:tc>
        <w:tc>
          <w:tcPr>
            <w:tcW w:type="pct" w:w="3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Threading pesan lintas kanal, inferensi brand, alamat balasan</w:t>
            </w:r>
          </w:p>
        </w:tc>
      </w:tr>
      <w:tr>
        <w:trPr>
          <w:cantSplit/>
        </w:trPr>
        <w:tc>
          <w:tcPr>
            <w:tcW w:type="pct" w:w="1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brief.ts</w:t>
            </w:r>
          </w:p>
        </w:tc>
        <w:tc>
          <w:tcPr>
            <w:tcW w:type="pct" w:w="3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Kelengkapan brief (9 bagian), meta status</w:t>
            </w:r>
          </w:p>
        </w:tc>
      </w:tr>
      <w:tr>
        <w:trPr>
          <w:cantSplit/>
        </w:trPr>
        <w:tc>
          <w:tcPr>
            <w:tcW w:type="pct" w:w="1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payment-terms.ts</w:t>
            </w:r>
          </w:p>
        </w:tc>
        <w:tc>
          <w:tcPr>
            <w:tcW w:type="pct" w:w="3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TOP terstruktur: preset, parsing, describeDueEn, format Unicam</w:t>
            </w:r>
          </w:p>
        </w:tc>
      </w:tr>
      <w:tr>
        <w:trPr>
          <w:cantSplit/>
        </w:trPr>
        <w:tc>
          <w:tcPr>
            <w:tcW w:type="pct" w:w="1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terbilang.ts</w:t>
            </w:r>
          </w:p>
        </w:tc>
        <w:tc>
          <w:tcPr>
            <w:tcW w:type="pct" w:w="3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Amount-in-words Indonesia dan Inggris</w:t>
            </w:r>
          </w:p>
        </w:tc>
      </w:tr>
      <w:tr>
        <w:trPr>
          <w:cantSplit/>
        </w:trPr>
        <w:tc>
          <w:tcPr>
            <w:tcW w:type="pct" w:w="1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doc-pdf.ts</w:t>
            </w:r>
          </w:p>
        </w:tc>
        <w:tc>
          <w:tcPr>
            <w:tcW w:type="pct" w:w="3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Generator PDF server-side: quotation, invoice, brief (kop surat brand)</w:t>
            </w:r>
          </w:p>
        </w:tc>
      </w:tr>
      <w:tr>
        <w:trPr>
          <w:cantSplit/>
        </w:trPr>
        <w:tc>
          <w:tcPr>
            <w:tcW w:type="pct" w:w="1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doc-send.ts</w:t>
            </w:r>
          </w:p>
        </w:tc>
        <w:tc>
          <w:tcPr>
            <w:tcW w:type="pct" w:w="3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Kirim dokumen via email + catat interaction + audit</w:t>
            </w:r>
          </w:p>
        </w:tc>
      </w:tr>
      <w:tr>
        <w:trPr>
          <w:cantSplit/>
        </w:trPr>
        <w:tc>
          <w:tcPr>
            <w:tcW w:type="pct" w:w="1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email-delivery.ts</w:t>
            </w:r>
          </w:p>
        </w:tc>
        <w:tc>
          <w:tcPr>
            <w:tcW w:type="pct" w:w="3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SMTP keluar sadar-brand; status jujur (sent/failed/simulated)</w:t>
            </w:r>
          </w:p>
        </w:tc>
      </w:tr>
      <w:tr>
        <w:trPr>
          <w:cantSplit/>
        </w:trPr>
        <w:tc>
          <w:tcPr>
            <w:tcW w:type="pct" w:w="1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email-sync.ts</w:t>
            </w:r>
          </w:p>
        </w:tc>
        <w:tc>
          <w:tcPr>
            <w:tcW w:type="pct" w:w="3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IMAP masuk → Interaction (dedupe Message-ID, auto-link)</w:t>
            </w:r>
          </w:p>
        </w:tc>
      </w:tr>
      <w:tr>
        <w:trPr>
          <w:cantSplit/>
        </w:trPr>
        <w:tc>
          <w:tcPr>
            <w:tcW w:type="pct" w:w="1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channels.ts + channel-verify.ts</w:t>
            </w:r>
          </w:p>
        </w:tc>
        <w:tc>
          <w:tcPr>
            <w:tcW w:type="pct" w:w="3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Katalog kredensial kanal, wizard, verifikasi nyata SMTP/IMAP/Graph API</w:t>
            </w:r>
          </w:p>
        </w:tc>
      </w:tr>
      <w:tr>
        <w:trPr>
          <w:cantSplit/>
        </w:trPr>
        <w:tc>
          <w:tcPr>
            <w:tcW w:type="pct" w:w="1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notif-prefs.ts / push.ts / notif-socket.ts</w:t>
            </w:r>
          </w:p>
        </w:tc>
        <w:tc>
          <w:tcPr>
            <w:tcW w:type="pct" w:w="3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Preferensi notifikasi, Web Push, klien socket</w:t>
            </w:r>
          </w:p>
        </w:tc>
      </w:tr>
      <w:tr>
        <w:trPr>
          <w:cantSplit/>
        </w:trPr>
        <w:tc>
          <w:tcPr>
            <w:tcW w:type="pct" w:w="1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utils.ts</w:t>
            </w:r>
          </w:p>
        </w:tc>
        <w:tc>
          <w:tcPr>
            <w:tcW w:type="pct" w:w="3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Normalisasi phone/email/domain, nameSimilarity (Jaccard), format mata uang/tanggal</w:t>
            </w:r>
          </w:p>
        </w:tc>
      </w:tr>
      <w:tr>
        <w:trPr>
          <w:cantSplit/>
        </w:trPr>
        <w:tc>
          <w:tcPr>
            <w:tcW w:type="pct" w:w="1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countries.ts</w:t>
            </w:r>
          </w:p>
        </w:tc>
        <w:tc>
          <w:tcPr>
            <w:tcW w:type="pct" w:w="3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Negara (ISO 3166 + dial E.164 + ISO 4217)</w:t>
            </w:r>
          </w:p>
        </w:tc>
      </w:tr>
      <w:tr>
        <w:trPr>
          <w:cantSplit/>
        </w:trPr>
        <w:tc>
          <w:tcPr>
            <w:tcW w:type="pct" w:w="1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types.ts / api-client.ts / store.ts / seed.ts</w:t>
            </w:r>
          </w:p>
        </w:tc>
        <w:tc>
          <w:tcPr>
            <w:tcW w:type="pct" w:w="3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±60 DTO, klien HTTP terpusat, state Zustand, seed demo</w:t>
            </w:r>
          </w:p>
        </w:tc>
      </w:tr>
    </w:tbl>
    <w:p>
      <w:pPr>
        <w:pStyle w:val="Heading1"/>
        <w:pageBreakBefore/>
        <w:spacing w:after="200" w:before="360" w:line="312"/>
      </w:pPr>
      <w:bookmarkStart w:id="100010" w:name="_Toc100010"/>
      <w:r>
        <w:rPr>
          <w:rFonts w:ascii="Calibri" w:eastAsia="Microsoft YaHei"/>
          <w:b/>
          <w:bCs/>
          <w:color w:val="162235"/>
          <w:sz w:val="32"/>
          <w:szCs w:val="32"/>
        </w:rPr>
        <w:t xml:space="preserve">4. Model Data (Prisma)</w:t>
      </w:r>
      <w:bookmarkEnd w:id="100010"/>
    </w:p>
    <w:p>
      <w:pPr>
        <w:spacing w:after="120" w:line="312"/>
        <w:jc w:val="both"/>
      </w:pPr>
      <w:r>
        <w:rPr>
          <w:rFonts w:ascii="Calibri" w:eastAsia="Microsoft YaHei"/>
          <w:color w:val="000000"/>
          <w:sz w:val="22"/>
          <w:szCs w:val="22"/>
        </w:rPr>
        <w:t xml:space="preserve">prisma/schema.prisma (912 baris) mendefinisikan 34 model di atas SQLite. Tidak ada blok enum Prisma — semua enumerasi adalah String yang divalidasi melalui konstanta TypeScript dan allowlist di route handler. Field kompleks (items, terms, palette, kredensial) disimpan sebagai String berisi JSON.</w:t>
      </w:r>
    </w:p>
    <w:p>
      <w:pPr>
        <w:pStyle w:val="Heading2"/>
        <w:spacing w:after="140" w:before="280" w:line="312"/>
      </w:pPr>
      <w:bookmarkStart w:id="100011" w:name="_Toc100011"/>
      <w:r>
        <w:rPr>
          <w:rFonts w:ascii="Calibri" w:eastAsia="Microsoft YaHei"/>
          <w:b/>
          <w:bCs/>
          <w:color w:val="162235"/>
          <w:sz w:val="27"/>
          <w:szCs w:val="27"/>
        </w:rPr>
        <w:t xml:space="preserve">4.1 Peta model per kelompok domain</w:t>
      </w:r>
      <w:bookmarkEnd w:id="100011"/>
    </w:p>
    <w:p>
      <w:pPr>
        <w:keepNext/>
        <w:spacing w:after="80" w:before="160" w:line="312"/>
      </w:pPr>
      <w:r>
        <w:rPr>
          <w:rFonts w:ascii="Calibri" w:eastAsia="Microsoft YaHei"/>
          <w:b/>
          <w:bCs/>
          <w:color w:val="5B6B7D"/>
          <w:sz w:val="20"/>
          <w:szCs w:val="20"/>
        </w:rPr>
        <w:t xml:space="preserve">Tabel 4 — Model kelompok organisasi dan master</w:t>
      </w:r>
    </w:p>
    <w:tbl>
      <w:tblPr>
        <w:tblW w:type="pct" w:w="5000"/>
        <w:tblBorders>
          <w:top w:val="single" w:color="1B6B7A" w:sz="6"/>
          <w:left w:val="none" w:color="FFFFFF" w:sz="0"/>
          <w:bottom w:val="single" w:color="1B6B7A" w:sz="6"/>
          <w:right w:val="none" w:color="FFFFFF" w:sz="0"/>
          <w:insideH w:val="single" w:color="C8DDE2" w:sz="2"/>
          <w:insideV w:val="none" w:color="FFFFFF" w:sz="0"/>
        </w:tblBorders>
        <w:tblLayout w:type="fixed"/>
      </w:tblPr>
      <w:tblGrid>
        <w:gridCol w:w="1582"/>
        <w:gridCol w:w="2636"/>
        <w:gridCol w:w="4570"/>
      </w:tblGrid>
      <w:tr>
        <w:trPr>
          <w:cantSplit/>
          <w:tblHeader/>
        </w:trPr>
        <w:tc>
          <w:tcPr>
            <w:tcW w:type="pct" w:w="9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9"/>
                <w:szCs w:val="19"/>
              </w:rPr>
              <w:t xml:space="preserve">Model</w:t>
            </w:r>
          </w:p>
        </w:tc>
        <w:tc>
          <w:tcPr>
            <w:tcW w:type="pct" w:w="15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9"/>
                <w:szCs w:val="19"/>
              </w:rPr>
              <w:t xml:space="preserve">Peran bisnis</w:t>
            </w:r>
          </w:p>
        </w:tc>
        <w:tc>
          <w:tcPr>
            <w:tcW w:type="pct" w:w="26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9"/>
                <w:szCs w:val="19"/>
              </w:rPr>
              <w:t xml:space="preserve">Field kunci</w:t>
            </w:r>
          </w:p>
        </w:tc>
      </w:tr>
      <w:tr>
        <w:trPr>
          <w:cantSplit/>
        </w:trPr>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Brand</w:t>
            </w:r>
          </w:p>
        </w:tc>
        <w:tc>
          <w:tcPr>
            <w:tcW w:type="pct" w:w="1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Tenant multi-brand: identitas, kop surat, prefix dokumen, SLA</w:t>
            </w:r>
          </w:p>
        </w:tc>
        <w:tc>
          <w:tcPr>
            <w:tcW w:type="pct" w:w="26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slug (unik), color, primaryCurrency, invoicePrefix, quotePrefix, slaHours (default 4), shortCode, npwp, bankAccounts (maks 6), letterheadHeader/Footer (gambar ≤1,6 MB), docAssets, signerName/Closing, palette</w:t>
            </w:r>
          </w:p>
        </w:tc>
      </w:tr>
      <w:tr>
        <w:trPr>
          <w:cantSplit/>
        </w:trPr>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User</w:t>
            </w:r>
          </w:p>
        </w:tc>
        <w:tc>
          <w:tcPr>
            <w:tcW w:type="pct" w:w="1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Pengguna internal dan klien</w:t>
            </w:r>
          </w:p>
        </w:tc>
        <w:tc>
          <w:tcPr>
            <w:tcW w:type="pct" w:w="26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email (unik), role (8 role), password (scrypt; null = legacy PIN), pin (scrypt, buka kunci layar), active, brandAccess</w:t>
            </w:r>
          </w:p>
        </w:tc>
      </w:tr>
      <w:tr>
        <w:trPr>
          <w:cantSplit/>
        </w:trPr>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NumberingRule</w:t>
            </w:r>
          </w:p>
        </w:tc>
        <w:tc>
          <w:tcPr>
            <w:tcW w:type="pct" w:w="1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Counter penomoran per brand per jenis dokumen</w:t>
            </w:r>
          </w:p>
        </w:tc>
        <w:tc>
          <w:tcPr>
            <w:tcW w:type="pct" w:w="26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docType (quotation|invoice), template, docCode, resetPeriod (never/yearly/monthly), seq; unik brandId+docType</w:t>
            </w:r>
          </w:p>
        </w:tc>
      </w:tr>
      <w:tr>
        <w:trPr>
          <w:cantSplit/>
        </w:trPr>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LeadIntakeLink</w:t>
            </w:r>
          </w:p>
        </w:tc>
        <w:tc>
          <w:tcPr>
            <w:tcW w:type="pct" w:w="1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Link form lead publik /?intake=&lt;token&gt;</w:t>
            </w:r>
          </w:p>
        </w:tc>
        <w:tc>
          <w:tcPr>
            <w:tcW w:type="pct" w:w="26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token (unik, 48 hex), label, active, submissionCount, expiresAt</w:t>
            </w:r>
          </w:p>
        </w:tc>
      </w:tr>
      <w:tr>
        <w:trPr>
          <w:cantSplit/>
        </w:trPr>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Tax</w:t>
            </w:r>
          </w:p>
        </w:tc>
        <w:tc>
          <w:tcPr>
            <w:tcW w:type="pct" w:w="1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Master pajak (auto-seed PPN 11, PPh21 5, PPh23 2)</w:t>
            </w:r>
          </w:p>
        </w:tc>
        <w:tc>
          <w:tcPr>
            <w:tcW w:type="pct" w:w="26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name, rate, active</w:t>
            </w:r>
          </w:p>
        </w:tc>
      </w:tr>
      <w:tr>
        <w:trPr>
          <w:cantSplit/>
        </w:trPr>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ModulePermission</w:t>
            </w:r>
          </w:p>
        </w:tc>
        <w:tc>
          <w:tcPr>
            <w:tcW w:type="pct" w:w="1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RBAC dinamis</w:t>
            </w:r>
          </w:p>
        </w:tc>
        <w:tc>
          <w:tcPr>
            <w:tcW w:type="pct" w:w="26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role, module, level (none/read/write/full); unik role+module</w:t>
            </w:r>
          </w:p>
        </w:tc>
      </w:tr>
    </w:tbl>
    <w:p>
      <w:pPr>
        <w:keepNext/>
        <w:spacing w:after="80" w:before="160" w:line="312"/>
      </w:pPr>
      <w:r>
        <w:rPr>
          <w:rFonts w:ascii="Calibri" w:eastAsia="Microsoft YaHei"/>
          <w:b/>
          <w:bCs/>
          <w:color w:val="5B6B7D"/>
          <w:sz w:val="20"/>
          <w:szCs w:val="20"/>
        </w:rPr>
        <w:t xml:space="preserve">Tabel 5 — Model identitas klien</w:t>
      </w:r>
    </w:p>
    <w:tbl>
      <w:tblPr>
        <w:tblW w:type="pct" w:w="5000"/>
        <w:tblBorders>
          <w:top w:val="single" w:color="1B6B7A" w:sz="6"/>
          <w:left w:val="none" w:color="FFFFFF" w:sz="0"/>
          <w:bottom w:val="single" w:color="1B6B7A" w:sz="6"/>
          <w:right w:val="none" w:color="FFFFFF" w:sz="0"/>
          <w:insideH w:val="single" w:color="C8DDE2" w:sz="2"/>
          <w:insideV w:val="none" w:color="FFFFFF" w:sz="0"/>
        </w:tblBorders>
        <w:tblLayout w:type="fixed"/>
      </w:tblPr>
      <w:tblGrid>
        <w:gridCol w:w="1582"/>
        <w:gridCol w:w="2636"/>
        <w:gridCol w:w="4570"/>
      </w:tblGrid>
      <w:tr>
        <w:trPr>
          <w:cantSplit/>
          <w:tblHeader/>
        </w:trPr>
        <w:tc>
          <w:tcPr>
            <w:tcW w:type="pct" w:w="9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9"/>
                <w:szCs w:val="19"/>
              </w:rPr>
              <w:t xml:space="preserve">Model</w:t>
            </w:r>
          </w:p>
        </w:tc>
        <w:tc>
          <w:tcPr>
            <w:tcW w:type="pct" w:w="15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9"/>
                <w:szCs w:val="19"/>
              </w:rPr>
              <w:t xml:space="preserve">Peran bisnis</w:t>
            </w:r>
          </w:p>
        </w:tc>
        <w:tc>
          <w:tcPr>
            <w:tcW w:type="pct" w:w="26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9"/>
                <w:szCs w:val="19"/>
              </w:rPr>
              <w:t xml:space="preserve">Field kunci</w:t>
            </w:r>
          </w:p>
        </w:tc>
      </w:tr>
      <w:tr>
        <w:trPr>
          <w:cantSplit/>
        </w:trPr>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Company</w:t>
            </w:r>
          </w:p>
        </w:tc>
        <w:tc>
          <w:tcPr>
            <w:tcW w:type="pct" w:w="1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Perusahaan klien (company-centric)</w:t>
            </w:r>
          </w:p>
        </w:tc>
        <w:tc>
          <w:tcPr>
            <w:tcW w:type="pct" w:w="26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name, industry, website + websiteDomain (ternormalisasi untuk matching), country/city/address, size, taxId, defaultCurrency, lifetimeValue, tags, deletedAt (soft delete)</w:t>
            </w:r>
          </w:p>
        </w:tc>
      </w:tr>
      <w:tr>
        <w:trPr>
          <w:cantSplit/>
        </w:trPr>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Contact</w:t>
            </w:r>
          </w:p>
        </w:tc>
        <w:tc>
          <w:tcPr>
            <w:tcW w:type="pct" w:w="1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Individu klien</w:t>
            </w:r>
          </w:p>
        </w:tc>
        <w:tc>
          <w:tcPr>
            <w:tcW w:type="pct" w:w="26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firstName/lastName/fullName, position, email (lowercase), whatsapp (E.164), currency (dari negara), language, preferredChannel, sosial media, consentStatus, tags, companyId?, deletedAt</w:t>
            </w:r>
          </w:p>
        </w:tc>
      </w:tr>
    </w:tbl>
    <w:p>
      <w:pPr>
        <w:keepNext/>
        <w:spacing w:after="80" w:before="160" w:line="312"/>
      </w:pPr>
      <w:r>
        <w:rPr>
          <w:rFonts w:ascii="Calibri" w:eastAsia="Microsoft YaHei"/>
          <w:b/>
          <w:bCs/>
          <w:color w:val="5B6B7D"/>
          <w:sz w:val="20"/>
          <w:szCs w:val="20"/>
        </w:rPr>
        <w:t xml:space="preserve">Tabel 6 — Model sales dan komunikasi</w:t>
      </w:r>
    </w:p>
    <w:tbl>
      <w:tblPr>
        <w:tblW w:type="pct" w:w="5000"/>
        <w:tblBorders>
          <w:top w:val="single" w:color="1B6B7A" w:sz="6"/>
          <w:left w:val="none" w:color="FFFFFF" w:sz="0"/>
          <w:bottom w:val="single" w:color="1B6B7A" w:sz="6"/>
          <w:right w:val="none" w:color="FFFFFF" w:sz="0"/>
          <w:insideH w:val="single" w:color="C8DDE2" w:sz="2"/>
          <w:insideV w:val="none" w:color="FFFFFF" w:sz="0"/>
        </w:tblBorders>
        <w:tblLayout w:type="fixed"/>
      </w:tblPr>
      <w:tblGrid>
        <w:gridCol w:w="1582"/>
        <w:gridCol w:w="2636"/>
        <w:gridCol w:w="4570"/>
      </w:tblGrid>
      <w:tr>
        <w:trPr>
          <w:cantSplit/>
          <w:tblHeader/>
        </w:trPr>
        <w:tc>
          <w:tcPr>
            <w:tcW w:type="pct" w:w="9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9"/>
                <w:szCs w:val="19"/>
              </w:rPr>
              <w:t xml:space="preserve">Model</w:t>
            </w:r>
          </w:p>
        </w:tc>
        <w:tc>
          <w:tcPr>
            <w:tcW w:type="pct" w:w="15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9"/>
                <w:szCs w:val="19"/>
              </w:rPr>
              <w:t xml:space="preserve">Peran bisnis</w:t>
            </w:r>
          </w:p>
        </w:tc>
        <w:tc>
          <w:tcPr>
            <w:tcW w:type="pct" w:w="26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9"/>
                <w:szCs w:val="19"/>
              </w:rPr>
              <w:t xml:space="preserve">Field kunci</w:t>
            </w:r>
          </w:p>
        </w:tc>
      </w:tr>
      <w:tr>
        <w:trPr>
          <w:cantSplit/>
        </w:trPr>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Opportunity</w:t>
            </w:r>
          </w:p>
        </w:tc>
        <w:tc>
          <w:tcPr>
            <w:tcW w:type="pct" w:w="1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Entitas inti pipeline</w:t>
            </w:r>
          </w:p>
        </w:tc>
        <w:tc>
          <w:tcPr>
            <w:tcW w:type="pct" w:w="26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title, serviceCategory/Name, leadSource, brief, estimatedValue, currency, probability (default 20), stage (12 nilai), temperature, priority, ownerName, expectedCloseDate, targetDeadline, nextAction/Date, lostReason/Notes, nurtureSegment, followUpDate, lastOfferValue, reactivation, crossSellOfId, deletedAt; relasi Brand (wajib), Contact (wajib), Company (opsional)</w:t>
            </w:r>
          </w:p>
        </w:tc>
      </w:tr>
      <w:tr>
        <w:trPr>
          <w:cantSplit/>
        </w:trPr>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Interaction</w:t>
            </w:r>
          </w:p>
        </w:tc>
        <w:tc>
          <w:tcPr>
            <w:tcW w:type="pct" w:w="1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Pesan/aktivitas lintas kanal (inbox + timeline)</w:t>
            </w:r>
          </w:p>
        </w:tc>
        <w:tc>
          <w:tcPr>
            <w:tcW w:type="pct" w:w="26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channel (7 nilai), direction, externalId (Message-ID untuk dedupe), senderName/recipientName, subject, content, attachments (JSON data URL), respondedBy/At (penanda SLA terpenuhi), deliveryStatus/Note, archivedAt (soft delete = tab Arsip)</w:t>
            </w:r>
          </w:p>
        </w:tc>
      </w:tr>
      <w:tr>
        <w:trPr>
          <w:cantSplit/>
        </w:trPr>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Task</w:t>
            </w:r>
          </w:p>
        </w:tc>
        <w:tc>
          <w:tcPr>
            <w:tcW w:type="pct" w:w="1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Follow-up dan tugas produksi</w:t>
            </w:r>
          </w:p>
        </w:tc>
        <w:tc>
          <w:tcPr>
            <w:tcW w:type="pct" w:w="26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type (follow_up/meeting/production/revision/admin), priority, status, assignees (JSON multi-tag, maks 10) + assigneeName, attachments (maks 5, file ≤5 MB), dueDate, completedAt; relasi Opportunity?/Project? (Cascade)/Milestone? (SetNull)</w:t>
            </w:r>
          </w:p>
        </w:tc>
      </w:tr>
      <w:tr>
        <w:trPr>
          <w:cantSplit/>
        </w:trPr>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Note</w:t>
            </w:r>
          </w:p>
        </w:tc>
        <w:tc>
          <w:tcPr>
            <w:tcW w:type="pct" w:w="1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Catatan internal / feedback direktur</w:t>
            </w:r>
          </w:p>
        </w:tc>
        <w:tc>
          <w:tcPr>
            <w:tcW w:type="pct" w:w="26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body, authorName, type (internal|director_feedback)</w:t>
            </w:r>
          </w:p>
        </w:tc>
      </w:tr>
    </w:tbl>
    <w:p>
      <w:pPr>
        <w:keepNext/>
        <w:spacing w:after="80" w:before="160" w:line="312"/>
      </w:pPr>
      <w:r>
        <w:rPr>
          <w:rFonts w:ascii="Calibri" w:eastAsia="Microsoft YaHei"/>
          <w:b/>
          <w:bCs/>
          <w:color w:val="5B6B7D"/>
          <w:sz w:val="20"/>
          <w:szCs w:val="20"/>
        </w:rPr>
        <w:t xml:space="preserve">Tabel 7 — Model keuangan dan produksi</w:t>
      </w:r>
    </w:p>
    <w:tbl>
      <w:tblPr>
        <w:tblW w:type="pct" w:w="5000"/>
        <w:tblBorders>
          <w:top w:val="single" w:color="1B6B7A" w:sz="6"/>
          <w:left w:val="none" w:color="FFFFFF" w:sz="0"/>
          <w:bottom w:val="single" w:color="1B6B7A" w:sz="6"/>
          <w:right w:val="none" w:color="FFFFFF" w:sz="0"/>
          <w:insideH w:val="single" w:color="C8DDE2" w:sz="2"/>
          <w:insideV w:val="none" w:color="FFFFFF" w:sz="0"/>
        </w:tblBorders>
        <w:tblLayout w:type="fixed"/>
      </w:tblPr>
      <w:tblGrid>
        <w:gridCol w:w="1582"/>
        <w:gridCol w:w="2461"/>
        <w:gridCol w:w="4746"/>
      </w:tblGrid>
      <w:tr>
        <w:trPr>
          <w:cantSplit/>
          <w:tblHeader/>
        </w:trPr>
        <w:tc>
          <w:tcPr>
            <w:tcW w:type="pct" w:w="9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9"/>
                <w:szCs w:val="19"/>
              </w:rPr>
              <w:t xml:space="preserve">Model</w:t>
            </w:r>
          </w:p>
        </w:tc>
        <w:tc>
          <w:tcPr>
            <w:tcW w:type="pct" w:w="14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9"/>
                <w:szCs w:val="19"/>
              </w:rPr>
              <w:t xml:space="preserve">Peran bisnis</w:t>
            </w:r>
          </w:p>
        </w:tc>
        <w:tc>
          <w:tcPr>
            <w:tcW w:type="pct" w:w="27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9"/>
                <w:szCs w:val="19"/>
              </w:rPr>
              <w:t xml:space="preserve">Field kunci</w:t>
            </w:r>
          </w:p>
        </w:tc>
      </w:tr>
      <w:tr>
        <w:trPr>
          <w:cantSplit/>
        </w:trPr>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Invoice</w:t>
            </w:r>
          </w:p>
        </w:tc>
        <w:tc>
          <w:tcPr>
            <w:tcW w:type="pct" w:w="14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Faktur/termin gaya Unicam</w:t>
            </w:r>
          </w:p>
        </w:tc>
        <w:tc>
          <w:tcPr>
            <w:tcW w:type="pct" w:w="2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number (unik), amount, taxName (null = tanpa pajak), taxRate (11), taxMode (add/withhold/grossup), taxAmount, downPaymentPct, discountAmount, total, status (draft/sent/partial/paid/overdue/cancelled), items (JSON), terms (TOP JSON), purchaseNumber (pemicu auto-Won), baseNumber/seqNo/revisionNo/revisionReason, revisionOfId, issueDate, dueDate</w:t>
            </w:r>
          </w:p>
        </w:tc>
      </w:tr>
      <w:tr>
        <w:trPr>
          <w:cantSplit/>
        </w:trPr>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Payment</w:t>
            </w:r>
          </w:p>
        </w:tc>
        <w:tc>
          <w:tcPr>
            <w:tcW w:type="pct" w:w="14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Pembayaran diterima</w:t>
            </w:r>
          </w:p>
        </w:tc>
        <w:tc>
          <w:tcPr>
            <w:tcW w:type="pct" w:w="2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amount, method (transfer/cash/qris/credit_card), reference, paidAt → Invoice</w:t>
            </w:r>
          </w:p>
        </w:tc>
      </w:tr>
      <w:tr>
        <w:trPr>
          <w:cantSplit/>
        </w:trPr>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Project</w:t>
            </w:r>
          </w:p>
        </w:tc>
        <w:tc>
          <w:tcPr>
            <w:tcW w:type="pct" w:w="14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Produksi pasca-deal (1-1 dengan Opportunity)</w:t>
            </w:r>
          </w:p>
        </w:tc>
        <w:tc>
          <w:tcPr>
            <w:tcW w:type="pct" w:w="2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code (unik, PREFIX-YYYY-NNN), serviceCategory, status (planning/in_progress/review/completed/cancelled), progress, pmName, poNumber, startDate, dueDate, budgetInternal, contractValue</w:t>
            </w:r>
          </w:p>
        </w:tc>
      </w:tr>
      <w:tr>
        <w:trPr>
          <w:cantSplit/>
        </w:trPr>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Milestone</w:t>
            </w:r>
          </w:p>
        </w:tc>
        <w:tc>
          <w:tcPr>
            <w:tcW w:type="pct" w:w="14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Tahap timeline produksi</w:t>
            </w:r>
          </w:p>
        </w:tc>
        <w:tc>
          <w:tcPr>
            <w:tcW w:type="pct" w:w="2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name, order, status (pending/in_progress/done), dueDate, achievement, picName, durationDays, parallel → Project (Cascade)</w:t>
            </w:r>
          </w:p>
        </w:tc>
      </w:tr>
      <w:tr>
        <w:trPr>
          <w:cantSplit/>
        </w:trPr>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ProjectDeliverable</w:t>
            </w:r>
          </w:p>
        </w:tc>
        <w:tc>
          <w:tcPr>
            <w:tcW w:type="pct" w:w="14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File/tautan untuk review klien</w:t>
            </w:r>
          </w:p>
        </w:tc>
        <w:tc>
          <w:tcPr>
            <w:tcW w:type="pct" w:w="2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name, kind (link|file), url, fileName/fileData (≤1,2 MB), status (pending/approved/revision), reviewComment/By/Role/At, createdBy</w:t>
            </w:r>
          </w:p>
        </w:tc>
      </w:tr>
      <w:tr>
        <w:trPr>
          <w:cantSplit/>
        </w:trPr>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ChangeRequest</w:t>
            </w:r>
          </w:p>
        </w:tc>
        <w:tc>
          <w:tcPr>
            <w:tcW w:type="pct" w:w="14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Permintaan perubahan scope</w:t>
            </w:r>
          </w:p>
        </w:tc>
        <w:tc>
          <w:tcPr>
            <w:tcW w:type="pct" w:w="2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number (unik CR-YYYY-####), title/description, additionalCost, additionalDays, status, requestedBy, decidedBy/At, decisionNote, invoiceId?</w:t>
            </w:r>
          </w:p>
        </w:tc>
      </w:tr>
    </w:tbl>
    <w:p>
      <w:pPr>
        <w:keepNext/>
        <w:spacing w:after="80" w:before="160" w:line="312"/>
      </w:pPr>
      <w:r>
        <w:rPr>
          <w:rFonts w:ascii="Calibri" w:eastAsia="Microsoft YaHei"/>
          <w:b/>
          <w:bCs/>
          <w:color w:val="5B6B7D"/>
          <w:sz w:val="20"/>
          <w:szCs w:val="20"/>
        </w:rPr>
        <w:t xml:space="preserve">Tabel 8 — Model komersial, governance, portal, dan kanal</w:t>
      </w:r>
    </w:p>
    <w:tbl>
      <w:tblPr>
        <w:tblW w:type="pct" w:w="5000"/>
        <w:tblBorders>
          <w:top w:val="single" w:color="1B6B7A" w:sz="6"/>
          <w:left w:val="none" w:color="FFFFFF" w:sz="0"/>
          <w:bottom w:val="single" w:color="1B6B7A" w:sz="6"/>
          <w:right w:val="none" w:color="FFFFFF" w:sz="0"/>
          <w:insideH w:val="single" w:color="C8DDE2" w:sz="2"/>
          <w:insideV w:val="none" w:color="FFFFFF" w:sz="0"/>
        </w:tblBorders>
        <w:tblLayout w:type="fixed"/>
      </w:tblPr>
      <w:tblGrid>
        <w:gridCol w:w="1933"/>
        <w:gridCol w:w="2285"/>
        <w:gridCol w:w="4570"/>
      </w:tblGrid>
      <w:tr>
        <w:trPr>
          <w:cantSplit/>
          <w:tblHeader/>
        </w:trPr>
        <w:tc>
          <w:tcPr>
            <w:tcW w:type="pct" w:w="11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9"/>
                <w:szCs w:val="19"/>
              </w:rPr>
              <w:t xml:space="preserve">Model</w:t>
            </w:r>
          </w:p>
        </w:tc>
        <w:tc>
          <w:tcPr>
            <w:tcW w:type="pct" w:w="13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9"/>
                <w:szCs w:val="19"/>
              </w:rPr>
              <w:t xml:space="preserve">Peran bisnis</w:t>
            </w:r>
          </w:p>
        </w:tc>
        <w:tc>
          <w:tcPr>
            <w:tcW w:type="pct" w:w="26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9"/>
                <w:szCs w:val="19"/>
              </w:rPr>
              <w:t xml:space="preserve">Field kunci</w:t>
            </w:r>
          </w:p>
        </w:tc>
      </w:tr>
      <w:tr>
        <w:trPr>
          <w:cantSplit/>
        </w:trPr>
        <w:tc>
          <w:tcPr>
            <w:tcW w:type="pct" w:w="11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ClientBrief</w:t>
            </w:r>
          </w:p>
        </w:tc>
        <w:tc>
          <w:tcPr>
            <w:tcW w:type="pct" w:w="1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Brief terstruktur per opportunity (1-1)</w:t>
            </w:r>
          </w:p>
        </w:tc>
        <w:tc>
          <w:tcPr>
            <w:tcW w:type="pct" w:w="26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code (unik BRF-YYYY-####), serviceTypes, objectives, targetAudience, keyMessages, deliverables, timeline, budgetMin/Max, references, status (draft/in_review/approved/revision), revisionNote, submittedAt, approvedAt/By; juga 1-1 dengan Project setelah Won</w:t>
            </w:r>
          </w:p>
        </w:tc>
      </w:tr>
      <w:tr>
        <w:trPr>
          <w:cantSplit/>
        </w:trPr>
        <w:tc>
          <w:tcPr>
            <w:tcW w:type="pct" w:w="11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Estimation</w:t>
            </w:r>
          </w:p>
        </w:tc>
        <w:tc>
          <w:tcPr>
            <w:tcW w:type="pct" w:w="1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RAB per opportunity (1-1)</w:t>
            </w:r>
          </w:p>
        </w:tc>
        <w:tc>
          <w:tcPr>
            <w:tcW w:type="pct" w:w="26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9 kolom biaya legacy + costCategories (maks 30 kategori × 50 item), currency, fxRate/fxSource, contingencyPct (5), managementFeePct (5), discountPct, taxPct (11), targetMarginPct (30), hasil kalkulasi (totalCost s.d. grandTotal, margin, marginPct), revenue (nullable), status (draft/pending_approval/approved/rejected)</w:t>
            </w:r>
          </w:p>
        </w:tc>
      </w:tr>
      <w:tr>
        <w:trPr>
          <w:cantSplit/>
        </w:trPr>
        <w:tc>
          <w:tcPr>
            <w:tcW w:type="pct" w:w="11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Quotation</w:t>
            </w:r>
          </w:p>
        </w:tc>
        <w:tc>
          <w:tcPr>
            <w:tcW w:type="pct" w:w="1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Surat penawaran gaya Unicam</w:t>
            </w:r>
          </w:p>
        </w:tc>
        <w:tc>
          <w:tcPr>
            <w:tcW w:type="pct" w:w="26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number (unik), items, subtotal, discountPct/Amount, taxPct/taxName/taxAmount, total, status (draft/sent/accepted/rejected/expired), e-sign (signedAt/ByName/Title, signatureImage ≤600 KB), field surat (attachment/regarding/attn/clientAddress/letterBody/letterClosing/timeline/revisionNotes/termOfPayment), terms (TOP JSON), validUntil, revisionOfId/No</w:t>
            </w:r>
          </w:p>
        </w:tc>
      </w:tr>
      <w:tr>
        <w:trPr>
          <w:cantSplit/>
        </w:trPr>
        <w:tc>
          <w:tcPr>
            <w:tcW w:type="pct" w:w="11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QuotationShareToken</w:t>
            </w:r>
          </w:p>
        </w:tc>
        <w:tc>
          <w:tcPr>
            <w:tcW w:type="pct" w:w="1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Link aman tanda tangan klien</w:t>
            </w:r>
          </w:p>
        </w:tc>
        <w:tc>
          <w:tcPr>
            <w:tcW w:type="pct" w:w="26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token (unik), keySha (SHA-256 magic key), passwordSha, maxOpens (3), opens, revoked</w:t>
            </w:r>
          </w:p>
        </w:tc>
      </w:tr>
      <w:tr>
        <w:trPr>
          <w:cantSplit/>
        </w:trPr>
        <w:tc>
          <w:tcPr>
            <w:tcW w:type="pct" w:w="11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ApprovalRequest</w:t>
            </w:r>
          </w:p>
        </w:tc>
        <w:tc>
          <w:tcPr>
            <w:tcW w:type="pct" w:w="1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Persetujuan estimasi/diskon/budget</w:t>
            </w:r>
          </w:p>
        </w:tc>
        <w:tc>
          <w:tcPr>
            <w:tcW w:type="pct" w:w="26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entityType, entityId/Label, amount, discountPct, status, decidedBy/At</w:t>
            </w:r>
          </w:p>
        </w:tc>
      </w:tr>
      <w:tr>
        <w:trPr>
          <w:cantSplit/>
        </w:trPr>
        <w:tc>
          <w:tcPr>
            <w:tcW w:type="pct" w:w="11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FollowUpTemplate</w:t>
            </w:r>
          </w:p>
        </w:tc>
        <w:tc>
          <w:tcPr>
            <w:tcW w:type="pct" w:w="1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Template pesan follow-up</w:t>
            </w:r>
          </w:p>
        </w:tc>
        <w:tc>
          <w:tcPr>
            <w:tcW w:type="pct" w:w="26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name, channel (whatsapp/instagram/email), delayDays (0–30), body (placeholder), version (naik saat body berubah), approved</w:t>
            </w:r>
          </w:p>
        </w:tc>
      </w:tr>
      <w:tr>
        <w:trPr>
          <w:cantSplit/>
        </w:trPr>
        <w:tc>
          <w:tcPr>
            <w:tcW w:type="pct" w:w="11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AuditLog</w:t>
            </w:r>
          </w:p>
        </w:tc>
        <w:tc>
          <w:tcPr>
            <w:tcW w:type="pct" w:w="1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Jejak audit</w:t>
            </w:r>
          </w:p>
        </w:tc>
        <w:tc>
          <w:tcPr>
            <w:tcW w:type="pct" w:w="26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actorName/Role, action (create/update/delete/stage_change/merge/login/convert/email_document/email_sync/sla_auto_escalation/quotation_sign/review/dll.), entity/Id/Label, field, oldValue/newValue, metadata, ip, userAgent</w:t>
            </w:r>
          </w:p>
        </w:tc>
      </w:tr>
      <w:tr>
        <w:trPr>
          <w:cantSplit/>
        </w:trPr>
        <w:tc>
          <w:tcPr>
            <w:tcW w:type="pct" w:w="11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NotificationState</w:t>
            </w:r>
          </w:p>
        </w:tc>
        <w:tc>
          <w:tcPr>
            <w:tcW w:type="pct" w:w="1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State baca/dismiss per user</w:t>
            </w:r>
          </w:p>
        </w:tc>
        <w:tc>
          <w:tcPr>
            <w:tcW w:type="pct" w:w="26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unik userKey+notifKey, readAt, dismissedAt</w:t>
            </w:r>
          </w:p>
        </w:tc>
      </w:tr>
      <w:tr>
        <w:trPr>
          <w:cantSplit/>
        </w:trPr>
        <w:tc>
          <w:tcPr>
            <w:tcW w:type="pct" w:w="11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PushSubscription</w:t>
            </w:r>
          </w:p>
        </w:tc>
        <w:tc>
          <w:tcPr>
            <w:tcW w:type="pct" w:w="1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Langganan Web Push</w:t>
            </w:r>
          </w:p>
        </w:tc>
        <w:tc>
          <w:tcPr>
            <w:tcW w:type="pct" w:w="26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endpoint (unik), p256dh, auth, userAgent, userKey</w:t>
            </w:r>
          </w:p>
        </w:tc>
      </w:tr>
      <w:tr>
        <w:trPr>
          <w:cantSplit/>
        </w:trPr>
        <w:tc>
          <w:tcPr>
            <w:tcW w:type="pct" w:w="11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UserPreference</w:t>
            </w:r>
          </w:p>
        </w:tc>
        <w:tc>
          <w:tcPr>
            <w:tcW w:type="pct" w:w="1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KV preferensi lintas perangkat</w:t>
            </w:r>
          </w:p>
        </w:tc>
        <w:tc>
          <w:tcPr>
            <w:tcW w:type="pct" w:w="26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unik userKey+key (mis. notif-prefs)</w:t>
            </w:r>
          </w:p>
        </w:tc>
      </w:tr>
      <w:tr>
        <w:trPr>
          <w:cantSplit/>
        </w:trPr>
        <w:tc>
          <w:tcPr>
            <w:tcW w:type="pct" w:w="11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ClientPortalToken</w:t>
            </w:r>
          </w:p>
        </w:tc>
        <w:tc>
          <w:tcPr>
            <w:tcW w:type="pct" w:w="1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Secure link portal klien</w:t>
            </w:r>
          </w:p>
        </w:tc>
        <w:tc>
          <w:tcPr>
            <w:tcW w:type="pct" w:w="26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token (unik 48 hex), active, accessCount, lastAccessedAt, expiresAt → Company (Cascade)</w:t>
            </w:r>
          </w:p>
        </w:tc>
      </w:tr>
      <w:tr>
        <w:trPr>
          <w:cantSplit/>
        </w:trPr>
        <w:tc>
          <w:tcPr>
            <w:tcW w:type="pct" w:w="11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ClientDocument</w:t>
            </w:r>
          </w:p>
        </w:tc>
        <w:tc>
          <w:tcPr>
            <w:tcW w:type="pct" w:w="1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MoU / notulen rapat / dokumen</w:t>
            </w:r>
          </w:p>
        </w:tc>
        <w:tc>
          <w:tcPr>
            <w:tcW w:type="pct" w:w="26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kind (mou/meeting_note/document), title, content/url, fileName/fileData (≤1,2 MB), meetingAt, attendees</w:t>
            </w:r>
          </w:p>
        </w:tc>
      </w:tr>
      <w:tr>
        <w:trPr>
          <w:cantSplit/>
        </w:trPr>
        <w:tc>
          <w:tcPr>
            <w:tcW w:type="pct" w:w="11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ServiceCategory / Service / WorkflowStage</w:t>
            </w:r>
          </w:p>
        </w:tc>
        <w:tc>
          <w:tcPr>
            <w:tcW w:type="pct" w:w="1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Katalog layanan + RAB + workflow produksi per brand</w:t>
            </w:r>
          </w:p>
        </w:tc>
        <w:tc>
          <w:tcPr>
            <w:tcW w:type="pct" w:w="26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Service: unit, basePrice, costCategories, targetMarginPct; WorkflowStage: phase, isMilestone, order</w:t>
            </w:r>
          </w:p>
        </w:tc>
      </w:tr>
      <w:tr>
        <w:trPr>
          <w:cantSplit/>
        </w:trPr>
        <w:tc>
          <w:tcPr>
            <w:tcW w:type="pct" w:w="11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ChannelConfig</w:t>
            </w:r>
          </w:p>
        </w:tc>
        <w:tc>
          <w:tcPr>
            <w:tcW w:type="pct" w:w="1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Koneksi kanal komunikasi</w:t>
            </w:r>
          </w:p>
        </w:tc>
        <w:tc>
          <w:tcPr>
            <w:tcW w:type="pct" w:w="26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channel (whatsapp/instagram/threads/email), accountRef, credentials (JSON, dimasking API), status, isDemo, lastEmailSyncAt</w:t>
            </w:r>
          </w:p>
        </w:tc>
      </w:tr>
    </w:tbl>
    <w:p>
      <w:pPr>
        <w:pStyle w:val="Heading2"/>
        <w:spacing w:after="140" w:before="280" w:line="312"/>
      </w:pPr>
      <w:bookmarkStart w:id="100012" w:name="_Toc100012"/>
      <w:r>
        <w:rPr>
          <w:rFonts w:ascii="Calibri" w:eastAsia="Microsoft YaHei"/>
          <w:b/>
          <w:bCs/>
          <w:color w:val="162235"/>
          <w:sz w:val="27"/>
          <w:szCs w:val="27"/>
        </w:rPr>
        <w:t xml:space="preserve">4.2 Relasi utama</w:t>
      </w:r>
      <w:bookmarkEnd w:id="100012"/>
    </w:p>
    <w:p>
      <w:pPr>
        <w:keepLines/>
        <w:shd w:fill="EDF3F5" w:val="clear"/>
        <w:spacing w:after="0" w:before="80" w:line="276"/>
        <w:ind w:left="360" w:right="360"/>
      </w:pPr>
      <w:r>
        <w:rPr>
          <w:rFonts w:ascii="Courier New" w:eastAsia="Microsoft YaHei"/>
          <w:color w:val="1F3A46"/>
          <w:sz w:val="19"/>
          <w:szCs w:val="19"/>
        </w:rPr>
        <w:t xml:space="preserve">Brand 1─N Opportunity N─1 Contact N─1 Company</w:t>
      </w:r>
    </w:p>
    <w:p>
      <w:pPr>
        <w:keepLines/>
        <w:shd w:fill="EDF3F5" w:val="clear"/>
        <w:spacing w:after="0" w:before="0" w:line="276"/>
        <w:ind w:left="360" w:right="360"/>
      </w:pPr>
      <w:r>
        <w:rPr>
          <w:rFonts w:ascii="Courier New" w:eastAsia="Microsoft YaHei"/>
          <w:color w:val="1F3A46"/>
          <w:sz w:val="19"/>
          <w:szCs w:val="19"/>
        </w:rPr>
        <w:t xml:space="preserve">  │  │  │  │  └ 1:1 Estimation      │              ├─ 1:N Contact</w:t>
      </w:r>
    </w:p>
    <w:p>
      <w:pPr>
        <w:keepLines/>
        <w:shd w:fill="EDF3F5" w:val="clear"/>
        <w:spacing w:after="0" w:before="0" w:line="276"/>
        <w:ind w:left="360" w:right="360"/>
      </w:pPr>
      <w:r>
        <w:rPr>
          <w:rFonts w:ascii="Courier New" w:eastAsia="Microsoft YaHei"/>
          <w:color w:val="1F3A46"/>
          <w:sz w:val="19"/>
          <w:szCs w:val="19"/>
        </w:rPr>
        <w:t xml:space="preserve">  │  │  │  └──── N Quotation        │              ├─ 1:N Project</w:t>
      </w:r>
    </w:p>
    <w:p>
      <w:pPr>
        <w:keepLines/>
        <w:shd w:fill="EDF3F5" w:val="clear"/>
        <w:spacing w:after="0" w:before="0" w:line="276"/>
        <w:ind w:left="360" w:right="360"/>
      </w:pPr>
      <w:r>
        <w:rPr>
          <w:rFonts w:ascii="Courier New" w:eastAsia="Microsoft YaHei"/>
          <w:color w:val="1F3A46"/>
          <w:sz w:val="19"/>
          <w:szCs w:val="19"/>
        </w:rPr>
        <w:t xml:space="preserve">  │  │  └─────── N Invoice          └─ 1:1 Brief   ├─ 1:N Invoice</w:t>
      </w:r>
    </w:p>
    <w:p>
      <w:pPr>
        <w:keepLines/>
        <w:shd w:fill="EDF3F5" w:val="clear"/>
        <w:spacing w:after="0" w:before="0" w:line="276"/>
        <w:ind w:left="360" w:right="360"/>
      </w:pPr>
      <w:r>
        <w:rPr>
          <w:rFonts w:ascii="Courier New" w:eastAsia="Microsoft YaHei"/>
          <w:color w:val="1F3A46"/>
          <w:sz w:val="19"/>
          <w:szCs w:val="19"/>
        </w:rPr>
        <w:t xml:space="preserve">  │  └────────── N Project                         ├─ 1:N Quotation</w:t>
      </w:r>
    </w:p>
    <w:p>
      <w:pPr>
        <w:keepLines/>
        <w:shd w:fill="EDF3F5" w:val="clear"/>
        <w:spacing w:after="0" w:before="0" w:line="276"/>
        <w:ind w:left="360" w:right="360"/>
      </w:pPr>
      <w:r>
        <w:rPr>
          <w:rFonts w:ascii="Courier New" w:eastAsia="Microsoft YaHei"/>
          <w:color w:val="1F3A46"/>
          <w:sz w:val="19"/>
          <w:szCs w:val="19"/>
        </w:rPr>
        <w:t xml:space="preserve">  ├─ 1:N Interaction (brandId?)                    ├─ 1:N ClientPortalToken</w:t>
      </w:r>
    </w:p>
    <w:p>
      <w:pPr>
        <w:keepLines/>
        <w:shd w:fill="EDF3F5" w:val="clear"/>
        <w:spacing w:after="0" w:before="0" w:line="276"/>
        <w:ind w:left="360" w:right="360"/>
      </w:pPr>
      <w:r>
        <w:rPr>
          <w:rFonts w:ascii="Courier New" w:eastAsia="Microsoft YaHei"/>
          <w:color w:val="1F3A46"/>
          <w:sz w:val="19"/>
          <w:szCs w:val="19"/>
        </w:rPr>
        <w:t xml:space="preserve">  ├─ 1:N ChannelConfig (brandId nullable)          └─ 1:N ClientDocument</w:t>
      </w:r>
    </w:p>
    <w:p>
      <w:pPr>
        <w:keepLines/>
        <w:shd w:fill="EDF3F5" w:val="clear"/>
        <w:spacing w:after="0" w:before="0" w:line="276"/>
        <w:ind w:left="360" w:right="360"/>
      </w:pPr>
      <w:r>
        <w:rPr>
          <w:rFonts w:ascii="Courier New" w:eastAsia="Microsoft YaHei"/>
          <w:color w:val="1F3A46"/>
          <w:sz w:val="19"/>
          <w:szCs w:val="19"/>
        </w:rPr>
        <w:t xml:space="preserve">  ├─ 1:N ServiceCategory 1─N Service 1─N WorkflowStage</w:t>
      </w:r>
    </w:p>
    <w:p>
      <w:pPr>
        <w:keepLines/>
        <w:shd w:fill="EDF3F5" w:val="clear"/>
        <w:spacing w:after="0" w:before="0" w:line="276"/>
        <w:ind w:left="360" w:right="360"/>
      </w:pPr>
      <w:r>
        <w:rPr>
          <w:rFonts w:ascii="Courier New" w:eastAsia="Microsoft YaHei"/>
          <w:color w:val="1F3A46"/>
          <w:sz w:val="19"/>
          <w:szCs w:val="19"/>
        </w:rPr>
        <w:t xml:space="preserve">  ├─ 1:N NumberingRule (unik brand+docType, Cascade)</w:t>
      </w:r>
    </w:p>
    <w:p>
      <w:pPr>
        <w:keepLines/>
        <w:shd w:fill="EDF3F5" w:val="clear"/>
        <w:spacing w:after="0" w:before="0" w:line="276"/>
        <w:ind w:left="360" w:right="360"/>
      </w:pPr>
      <w:r>
        <w:rPr>
          <w:rFonts w:ascii="Courier New" w:eastAsia="Microsoft YaHei"/>
          <w:color w:val="1F3A46"/>
          <w:sz w:val="19"/>
          <w:szCs w:val="19"/>
        </w:rPr>
        <w:t xml:space="preserve">  └─ 1:N LeadIntakeLink</w:t>
      </w:r>
    </w:p>
    <w:p>
      <w:pPr>
        <w:keepLines/>
        <w:shd w:fill="EDF3F5" w:val="clear"/>
        <w:spacing w:after="0" w:before="0" w:line="276"/>
        <w:ind w:left="360" w:right="360"/>
      </w:pPr>
      <w:r>
        <w:rPr>
          <w:rFonts w:ascii="Courier New" w:eastAsia="Microsoft YaHei"/>
          <w:color w:val="1F3A46"/>
          <w:sz w:val="19"/>
          <w:szCs w:val="19"/>
        </w:rPr>
        <w:t xml:space="preserve">Opportunity 1─N Interaction / Task / Note / Quotation / Invoice / ApprovalRequest</w:t>
      </w:r>
    </w:p>
    <w:p>
      <w:pPr>
        <w:keepLines/>
        <w:shd w:fill="EDF3F5" w:val="clear"/>
        <w:spacing w:after="0" w:before="0" w:line="276"/>
        <w:ind w:left="360" w:right="360"/>
      </w:pPr>
      <w:r>
        <w:rPr>
          <w:rFonts w:ascii="Courier New" w:eastAsia="Microsoft YaHei"/>
          <w:color w:val="1F3A46"/>
          <w:sz w:val="19"/>
          <w:szCs w:val="19"/>
        </w:rPr>
        <w:t xml:space="preserve">Project 1─N Milestone 1─N ProjectDeliverable (milestoneId SetNull)</w:t>
      </w:r>
    </w:p>
    <w:p>
      <w:pPr>
        <w:keepLines/>
        <w:shd w:fill="EDF3F5" w:val="clear"/>
        <w:spacing w:after="0" w:before="0" w:line="276"/>
        <w:ind w:left="360" w:right="360"/>
      </w:pPr>
      <w:r>
        <w:rPr>
          <w:rFonts w:ascii="Courier New" w:eastAsia="Microsoft YaHei"/>
          <w:color w:val="1F3A46"/>
          <w:sz w:val="19"/>
          <w:szCs w:val="19"/>
        </w:rPr>
        <w:t xml:space="preserve">  ├─ 1:N Task (projectId Cascade)   ├─ 1:N ChangeRequest ─1:1─ Invoice</w:t>
      </w:r>
    </w:p>
    <w:p>
      <w:pPr>
        <w:keepLines/>
        <w:shd w:fill="EDF3F5" w:val="clear"/>
        <w:spacing w:after="0" w:before="0" w:line="276"/>
        <w:ind w:left="360" w:right="360"/>
      </w:pPr>
      <w:r>
        <w:rPr>
          <w:rFonts w:ascii="Courier New" w:eastAsia="Microsoft YaHei"/>
          <w:color w:val="1F3A46"/>
          <w:sz w:val="19"/>
          <w:szCs w:val="19"/>
        </w:rPr>
        <w:t xml:space="preserve">  └─ 1:1 ClientBrief (projectId unik)</w:t>
      </w:r>
    </w:p>
    <w:p>
      <w:pPr>
        <w:keepLines/>
        <w:shd w:fill="EDF3F5" w:val="clear"/>
        <w:spacing w:after="0" w:before="0" w:line="276"/>
        <w:ind w:left="360" w:right="360"/>
      </w:pPr>
      <w:r>
        <w:rPr>
          <w:rFonts w:ascii="Courier New" w:eastAsia="Microsoft YaHei"/>
          <w:color w:val="1F3A46"/>
          <w:sz w:val="19"/>
          <w:szCs w:val="19"/>
        </w:rPr>
        <w:t xml:space="preserve">Invoice 1─N Payment   ·   Quotation 1─N QuotationShareToken (Cascade)</w:t>
      </w:r>
    </w:p>
    <w:p>
      <w:pPr>
        <w:keepLines/>
        <w:shd w:fill="EDF3F5" w:val="clear"/>
        <w:spacing w:after="160" w:before="0" w:line="276"/>
        <w:ind w:left="360" w:right="360"/>
      </w:pPr>
      <w:r>
        <w:rPr>
          <w:rFonts w:ascii="Courier New" w:eastAsia="Microsoft YaHei"/>
          <w:color w:val="1F3A46"/>
          <w:sz w:val="19"/>
          <w:szCs w:val="19"/>
        </w:rPr>
        <w:t xml:space="preserve">Invoice &amp; Quotation: self-relasi revisi (revisionOfId, SetNull)</w:t>
      </w:r>
    </w:p>
    <w:p>
      <w:pPr>
        <w:pStyle w:val="Heading2"/>
        <w:spacing w:after="140" w:before="280" w:line="312"/>
      </w:pPr>
      <w:bookmarkStart w:id="100013" w:name="_Toc100013"/>
      <w:r>
        <w:rPr>
          <w:rFonts w:ascii="Calibri" w:eastAsia="Microsoft YaHei"/>
          <w:b/>
          <w:bCs/>
          <w:color w:val="162235"/>
          <w:sz w:val="27"/>
          <w:szCs w:val="27"/>
        </w:rPr>
        <w:t xml:space="preserve">4.3 Narasi aliran data</w:t>
      </w:r>
      <w:bookmarkEnd w:id="100013"/>
    </w:p>
    <w:p>
      <w:pPr>
        <w:spacing w:after="120" w:line="312"/>
        <w:jc w:val="both"/>
      </w:pPr>
      <w:r>
        <w:rPr>
          <w:rFonts w:ascii="Calibri" w:eastAsia="Microsoft YaHei"/>
          <w:b/>
          <w:bCs/>
          <w:color w:val="162235"/>
          <w:sz w:val="22"/>
          <w:szCs w:val="22"/>
        </w:rPr>
        <w:t xml:space="preserve">Identitas. </w:t>
      </w:r>
      <w:r>
        <w:rPr>
          <w:rFonts w:ascii="Calibri" w:eastAsia="Microsoft YaHei"/>
          <w:b w:val="false"/>
          <w:bCs w:val="false"/>
          <w:color w:val="000000"/>
          <w:sz w:val="22"/>
          <w:szCs w:val="22"/>
        </w:rPr>
        <w:t xml:space="preserve">Company menampung banyak Contact. Pencocokan duplikat memakai websiteDomain, email/WhatsApp ternormalisasi, dan nameSimilarity (Jaccard token dengan stopword seperti pt/cv/tb/persero/the).</w:t>
      </w:r>
    </w:p>
    <w:p>
      <w:pPr>
        <w:spacing w:after="120" w:line="312"/>
        <w:jc w:val="both"/>
      </w:pPr>
      <w:r>
        <w:rPr>
          <w:rFonts w:ascii="Calibri" w:eastAsia="Microsoft YaHei"/>
          <w:b/>
          <w:bCs/>
          <w:color w:val="162235"/>
          <w:sz w:val="22"/>
          <w:szCs w:val="22"/>
        </w:rPr>
        <w:t xml:space="preserve">Lead masuk. </w:t>
      </w:r>
      <w:r>
        <w:rPr>
          <w:rFonts w:ascii="Calibri" w:eastAsia="Microsoft YaHei"/>
          <w:b w:val="false"/>
          <w:bCs w:val="false"/>
          <w:color w:val="000000"/>
          <w:sz w:val="22"/>
          <w:szCs w:val="22"/>
        </w:rPr>
        <w:t xml:space="preserve">Melalui Interaction inbound (tanpa opportunityId = lead mentah di Lead Inbox) atau form intake publik yang otomatis membuat/menduplikasi Company, Contact, Opportunity, dan draft ClientBrief dalam satu transaksi.</w:t>
      </w:r>
    </w:p>
    <w:p>
      <w:pPr>
        <w:spacing w:after="120" w:line="312"/>
        <w:jc w:val="both"/>
      </w:pPr>
      <w:r>
        <w:rPr>
          <w:rFonts w:ascii="Calibri" w:eastAsia="Microsoft YaHei"/>
          <w:b/>
          <w:bCs/>
          <w:color w:val="162235"/>
          <w:sz w:val="22"/>
          <w:szCs w:val="22"/>
        </w:rPr>
        <w:t xml:space="preserve">Pipeline. </w:t>
      </w:r>
      <w:r>
        <w:rPr>
          <w:rFonts w:ascii="Calibri" w:eastAsia="Microsoft YaHei"/>
          <w:b w:val="false"/>
          <w:bCs w:val="false"/>
          <w:color w:val="000000"/>
          <w:sz w:val="22"/>
          <w:szCs w:val="22"/>
        </w:rPr>
        <w:t xml:space="preserve">Opportunity bergerak di 12 stage; owner diambil dari sesi; SLA per brand; Lost wajib alasan; Nurture wajib segmen.</w:t>
      </w:r>
    </w:p>
    <w:p>
      <w:pPr>
        <w:spacing w:after="120" w:line="312"/>
        <w:jc w:val="both"/>
      </w:pPr>
      <w:r>
        <w:rPr>
          <w:rFonts w:ascii="Calibri" w:eastAsia="Microsoft YaHei"/>
          <w:b/>
          <w:bCs/>
          <w:color w:val="162235"/>
          <w:sz w:val="22"/>
          <w:szCs w:val="22"/>
        </w:rPr>
        <w:t xml:space="preserve">Komersial. </w:t>
      </w:r>
      <w:r>
        <w:rPr>
          <w:rFonts w:ascii="Calibri" w:eastAsia="Microsoft YaHei"/>
          <w:b w:val="false"/>
          <w:bCs w:val="false"/>
          <w:color w:val="000000"/>
          <w:sz w:val="22"/>
          <w:szCs w:val="22"/>
        </w:rPr>
        <w:t xml:space="preserve">ClientBrief (draft → in_review → approved) → Estimation (RAB; submit → ApprovalRequest) → approval Direktur → quotation otomatis → sent → accepted (atau e-sign via secure link) → konversi ke Invoice (TOP diwarisi) → Won → Project.</w:t>
      </w:r>
    </w:p>
    <w:p>
      <w:pPr>
        <w:spacing w:after="120" w:line="312"/>
        <w:jc w:val="both"/>
      </w:pPr>
      <w:r>
        <w:rPr>
          <w:rFonts w:ascii="Calibri" w:eastAsia="Microsoft YaHei"/>
          <w:b/>
          <w:bCs/>
          <w:color w:val="162235"/>
          <w:sz w:val="22"/>
          <w:szCs w:val="22"/>
        </w:rPr>
        <w:t xml:space="preserve">Won. </w:t>
      </w:r>
      <w:r>
        <w:rPr>
          <w:rFonts w:ascii="Calibri" w:eastAsia="Microsoft YaHei"/>
          <w:b w:val="false"/>
          <w:bCs w:val="false"/>
          <w:color w:val="000000"/>
          <w:sz w:val="22"/>
          <w:szCs w:val="22"/>
        </w:rPr>
        <w:t xml:space="preserve">handleWonTransition() membuat Project + Milestones + draft Invoice DP 50% + portal token klien dalam satu transaksi idempoten.</w:t>
      </w:r>
    </w:p>
    <w:p>
      <w:pPr>
        <w:spacing w:after="120" w:line="312"/>
        <w:jc w:val="both"/>
      </w:pPr>
      <w:r>
        <w:rPr>
          <w:rFonts w:ascii="Calibri" w:eastAsia="Microsoft YaHei"/>
          <w:b/>
          <w:bCs/>
          <w:color w:val="162235"/>
          <w:sz w:val="22"/>
          <w:szCs w:val="22"/>
        </w:rPr>
        <w:t xml:space="preserve">Produksi. </w:t>
      </w:r>
      <w:r>
        <w:rPr>
          <w:rFonts w:ascii="Calibri" w:eastAsia="Microsoft YaHei"/>
          <w:b w:val="false"/>
          <w:bCs w:val="false"/>
          <w:color w:val="000000"/>
          <w:sz w:val="22"/>
          <w:szCs w:val="22"/>
        </w:rPr>
        <w:t xml:space="preserve">Milestone selesai → progress project dihitung ulang (100% → status review); deliverable dikirim dan direview (internal atau klien via portal); ChangeRequest disetujui → contractValue naik, deadline bergeser, invoice tambahan dibuat otomatis.</w:t>
      </w:r>
    </w:p>
    <w:p>
      <w:pPr>
        <w:spacing w:after="120" w:line="312"/>
        <w:jc w:val="both"/>
      </w:pPr>
      <w:r>
        <w:rPr>
          <w:rFonts w:ascii="Calibri" w:eastAsia="Microsoft YaHei"/>
          <w:b/>
          <w:bCs/>
          <w:color w:val="162235"/>
          <w:sz w:val="22"/>
          <w:szCs w:val="22"/>
        </w:rPr>
        <w:t xml:space="preserve">Keuangan. </w:t>
      </w:r>
      <w:r>
        <w:rPr>
          <w:rFonts w:ascii="Calibri" w:eastAsia="Microsoft YaHei"/>
          <w:b w:val="false"/>
          <w:bCs w:val="false"/>
          <w:color w:val="000000"/>
          <w:sz w:val="22"/>
          <w:szCs w:val="22"/>
        </w:rPr>
        <w:t xml:space="preserve">Invoice draft → sent (PDF via email) → partial → paid/overdue (sweep otomatis saat GET); status riil adalah hasil agregasi pembayaran.</w:t>
      </w:r>
    </w:p>
    <w:p>
      <w:pPr>
        <w:spacing w:after="120" w:line="312"/>
        <w:jc w:val="both"/>
      </w:pPr>
      <w:r>
        <w:rPr>
          <w:rFonts w:ascii="Calibri" w:eastAsia="Microsoft YaHei"/>
          <w:b/>
          <w:bCs/>
          <w:color w:val="162235"/>
          <w:sz w:val="22"/>
          <w:szCs w:val="22"/>
        </w:rPr>
        <w:t xml:space="preserve">Governance. </w:t>
      </w:r>
      <w:r>
        <w:rPr>
          <w:rFonts w:ascii="Calibri" w:eastAsia="Microsoft YaHei"/>
          <w:b w:val="false"/>
          <w:bCs w:val="false"/>
          <w:color w:val="000000"/>
          <w:sz w:val="22"/>
          <w:szCs w:val="22"/>
        </w:rPr>
        <w:t xml:space="preserve">Setiap aksi penting menulis AuditLog; akses dikontrol ModulePermission; notifikasi dikomputasi on-the-fly dengan state baca di NotificationState ditambah Web Push.</w:t>
      </w:r>
    </w:p>
    <w:p>
      <w:pPr>
        <w:pStyle w:val="Heading2"/>
        <w:spacing w:after="140" w:before="280" w:line="312"/>
      </w:pPr>
      <w:bookmarkStart w:id="100014" w:name="_Toc100014"/>
      <w:r>
        <w:rPr>
          <w:rFonts w:ascii="Calibri" w:eastAsia="Microsoft YaHei"/>
          <w:b/>
          <w:bCs/>
          <w:color w:val="162235"/>
          <w:sz w:val="27"/>
          <w:szCs w:val="27"/>
        </w:rPr>
        <w:t xml:space="preserve">4.4 Enumerasi bisnis (sumber kebenaran: constants.ts)</w:t>
      </w:r>
      <w:bookmarkEnd w:id="100014"/>
    </w:p>
    <w:p>
      <w:pPr>
        <w:keepNext/>
        <w:spacing w:after="80" w:before="160" w:line="312"/>
      </w:pPr>
      <w:r>
        <w:rPr>
          <w:rFonts w:ascii="Calibri" w:eastAsia="Microsoft YaHei"/>
          <w:b/>
          <w:bCs/>
          <w:color w:val="5B6B7D"/>
          <w:sz w:val="20"/>
          <w:szCs w:val="20"/>
        </w:rPr>
        <w:t xml:space="preserve">Tabel 9 — 12 pipeline stage</w:t>
      </w:r>
    </w:p>
    <w:tbl>
      <w:tblPr>
        <w:tblW w:type="pct" w:w="5000"/>
        <w:tblBorders>
          <w:top w:val="single" w:color="1B6B7A" w:sz="6"/>
          <w:left w:val="none" w:color="FFFFFF" w:sz="0"/>
          <w:bottom w:val="single" w:color="1B6B7A" w:sz="6"/>
          <w:right w:val="none" w:color="FFFFFF" w:sz="0"/>
          <w:insideH w:val="single" w:color="C8DDE2" w:sz="2"/>
          <w:insideV w:val="none" w:color="FFFFFF" w:sz="0"/>
        </w:tblBorders>
        <w:tblLayout w:type="fixed"/>
      </w:tblPr>
      <w:tblGrid>
        <w:gridCol w:w="527"/>
        <w:gridCol w:w="1933"/>
        <w:gridCol w:w="1933"/>
        <w:gridCol w:w="4394"/>
      </w:tblGrid>
      <w:tr>
        <w:trPr>
          <w:cantSplit/>
          <w:tblHeader/>
        </w:trPr>
        <w:tc>
          <w:tcPr>
            <w:tcW w:type="pct" w:w="3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9"/>
                <w:szCs w:val="19"/>
              </w:rPr>
              <w:t xml:space="preserve">#</w:t>
            </w:r>
          </w:p>
        </w:tc>
        <w:tc>
          <w:tcPr>
            <w:tcW w:type="pct" w:w="11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9"/>
                <w:szCs w:val="19"/>
              </w:rPr>
              <w:t xml:space="preserve">Key</w:t>
            </w:r>
          </w:p>
        </w:tc>
        <w:tc>
          <w:tcPr>
            <w:tcW w:type="pct" w:w="11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9"/>
                <w:szCs w:val="19"/>
              </w:rPr>
              <w:t xml:space="preserve">Label</w:t>
            </w:r>
          </w:p>
        </w:tc>
        <w:tc>
          <w:tcPr>
            <w:tcW w:type="pct" w:w="25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9"/>
                <w:szCs w:val="19"/>
              </w:rPr>
              <w:t xml:space="preserve">Arti / syarat</w:t>
            </w:r>
          </w:p>
        </w:tc>
      </w:tr>
      <w:tr>
        <w:trPr>
          <w:cantSplit/>
        </w:trPr>
        <w:tc>
          <w:tcPr>
            <w:tcW w:type="pct" w:w="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1</w:t>
            </w:r>
          </w:p>
        </w:tc>
        <w:tc>
          <w:tcPr>
            <w:tcW w:type="pct" w:w="11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new</w:t>
            </w:r>
          </w:p>
        </w:tc>
        <w:tc>
          <w:tcPr>
            <w:tcW w:type="pct" w:w="11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New</w:t>
            </w:r>
          </w:p>
        </w:tc>
        <w:tc>
          <w:tcPr>
            <w:tcW w:type="pct" w:w="2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Lead baru; owner otomatis dari sesi; SLA follow-up ≤ SLA brand</w:t>
            </w:r>
          </w:p>
        </w:tc>
      </w:tr>
      <w:tr>
        <w:trPr>
          <w:cantSplit/>
        </w:trPr>
        <w:tc>
          <w:tcPr>
            <w:tcW w:type="pct" w:w="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2</w:t>
            </w:r>
          </w:p>
        </w:tc>
        <w:tc>
          <w:tcPr>
            <w:tcW w:type="pct" w:w="11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contact_attempted</w:t>
            </w:r>
          </w:p>
        </w:tc>
        <w:tc>
          <w:tcPr>
            <w:tcW w:type="pct" w:w="11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Contact Attempted</w:t>
            </w:r>
          </w:p>
        </w:tc>
        <w:tc>
          <w:tcPr>
            <w:tcW w:type="pct" w:w="2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Interaksi outbound pertama tercatat</w:t>
            </w:r>
          </w:p>
        </w:tc>
      </w:tr>
      <w:tr>
        <w:trPr>
          <w:cantSplit/>
        </w:trPr>
        <w:tc>
          <w:tcPr>
            <w:tcW w:type="pct" w:w="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3</w:t>
            </w:r>
          </w:p>
        </w:tc>
        <w:tc>
          <w:tcPr>
            <w:tcW w:type="pct" w:w="11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connected</w:t>
            </w:r>
          </w:p>
        </w:tc>
        <w:tc>
          <w:tcPr>
            <w:tcW w:type="pct" w:w="11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Connected</w:t>
            </w:r>
          </w:p>
        </w:tc>
        <w:tc>
          <w:tcPr>
            <w:tcW w:type="pct" w:w="2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Kontak membalas / percakapan dua arah</w:t>
            </w:r>
          </w:p>
        </w:tc>
      </w:tr>
      <w:tr>
        <w:trPr>
          <w:cantSplit/>
        </w:trPr>
        <w:tc>
          <w:tcPr>
            <w:tcW w:type="pct" w:w="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4</w:t>
            </w:r>
          </w:p>
        </w:tc>
        <w:tc>
          <w:tcPr>
            <w:tcW w:type="pct" w:w="11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qualified</w:t>
            </w:r>
          </w:p>
        </w:tc>
        <w:tc>
          <w:tcPr>
            <w:tcW w:type="pct" w:w="11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Qualified</w:t>
            </w:r>
          </w:p>
        </w:tc>
        <w:tc>
          <w:tcPr>
            <w:tcW w:type="pct" w:w="2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Kebutuhan jelas + brand &amp; kontak valid + estimasi nilai awal</w:t>
            </w:r>
          </w:p>
        </w:tc>
      </w:tr>
      <w:tr>
        <w:trPr>
          <w:cantSplit/>
        </w:trPr>
        <w:tc>
          <w:tcPr>
            <w:tcW w:type="pct" w:w="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5</w:t>
            </w:r>
          </w:p>
        </w:tc>
        <w:tc>
          <w:tcPr>
            <w:tcW w:type="pct" w:w="11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discovery</w:t>
            </w:r>
          </w:p>
        </w:tc>
        <w:tc>
          <w:tcPr>
            <w:tcW w:type="pct" w:w="11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Discovery</w:t>
            </w:r>
          </w:p>
        </w:tc>
        <w:tc>
          <w:tcPr>
            <w:tcW w:type="pct" w:w="2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Brief klien dibuat dan kebutuhan detail terkumpul</w:t>
            </w:r>
          </w:p>
        </w:tc>
      </w:tr>
      <w:tr>
        <w:trPr>
          <w:cantSplit/>
        </w:trPr>
        <w:tc>
          <w:tcPr>
            <w:tcW w:type="pct" w:w="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6</w:t>
            </w:r>
          </w:p>
        </w:tc>
        <w:tc>
          <w:tcPr>
            <w:tcW w:type="pct" w:w="11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estimation</w:t>
            </w:r>
          </w:p>
        </w:tc>
        <w:tc>
          <w:tcPr>
            <w:tcW w:type="pct" w:w="11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Estimation</w:t>
            </w:r>
          </w:p>
        </w:tc>
        <w:tc>
          <w:tcPr>
            <w:tcW w:type="pct" w:w="2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Estimasi cost breakdown diajukan (pending_approval) — wajib peran finance</w:t>
            </w:r>
          </w:p>
        </w:tc>
      </w:tr>
      <w:tr>
        <w:trPr>
          <w:cantSplit/>
        </w:trPr>
        <w:tc>
          <w:tcPr>
            <w:tcW w:type="pct" w:w="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7</w:t>
            </w:r>
          </w:p>
        </w:tc>
        <w:tc>
          <w:tcPr>
            <w:tcW w:type="pct" w:w="11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proposal_sent</w:t>
            </w:r>
          </w:p>
        </w:tc>
        <w:tc>
          <w:tcPr>
            <w:tcW w:type="pct" w:w="11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Proposal Sent</w:t>
            </w:r>
          </w:p>
        </w:tc>
        <w:tc>
          <w:tcPr>
            <w:tcW w:type="pct" w:w="2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Quotation berstatus sent (sentAt terisi)</w:t>
            </w:r>
          </w:p>
        </w:tc>
      </w:tr>
      <w:tr>
        <w:trPr>
          <w:cantSplit/>
        </w:trPr>
        <w:tc>
          <w:tcPr>
            <w:tcW w:type="pct" w:w="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8</w:t>
            </w:r>
          </w:p>
        </w:tc>
        <w:tc>
          <w:tcPr>
            <w:tcW w:type="pct" w:w="11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negotiation</w:t>
            </w:r>
          </w:p>
        </w:tc>
        <w:tc>
          <w:tcPr>
            <w:tcW w:type="pct" w:w="11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Negotiation</w:t>
            </w:r>
          </w:p>
        </w:tc>
        <w:tc>
          <w:tcPr>
            <w:tcW w:type="pct" w:w="2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Estimasi disetujui Direktur / nego harga dan diskon</w:t>
            </w:r>
          </w:p>
        </w:tc>
      </w:tr>
      <w:tr>
        <w:trPr>
          <w:cantSplit/>
        </w:trPr>
        <w:tc>
          <w:tcPr>
            <w:tcW w:type="pct" w:w="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9</w:t>
            </w:r>
          </w:p>
        </w:tc>
        <w:tc>
          <w:tcPr>
            <w:tcW w:type="pct" w:w="11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verbal_agreement</w:t>
            </w:r>
          </w:p>
        </w:tc>
        <w:tc>
          <w:tcPr>
            <w:tcW w:type="pct" w:w="11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Verbal Agreement</w:t>
            </w:r>
          </w:p>
        </w:tc>
        <w:tc>
          <w:tcPr>
            <w:tcW w:type="pct" w:w="2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Quotation diterima klien (accepted)</w:t>
            </w:r>
          </w:p>
        </w:tc>
      </w:tr>
      <w:tr>
        <w:trPr>
          <w:cantSplit/>
        </w:trPr>
        <w:tc>
          <w:tcPr>
            <w:tcW w:type="pct" w:w="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10</w:t>
            </w:r>
          </w:p>
        </w:tc>
        <w:tc>
          <w:tcPr>
            <w:tcW w:type="pct" w:w="11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won</w:t>
            </w:r>
          </w:p>
        </w:tc>
        <w:tc>
          <w:tcPr>
            <w:tcW w:type="pct" w:w="11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Won</w:t>
            </w:r>
          </w:p>
        </w:tc>
        <w:tc>
          <w:tcPr>
            <w:tcW w:type="pct" w:w="2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Kontrak + invoice DP + project otomatis</w:t>
            </w:r>
          </w:p>
        </w:tc>
      </w:tr>
      <w:tr>
        <w:trPr>
          <w:cantSplit/>
        </w:trPr>
        <w:tc>
          <w:tcPr>
            <w:tcW w:type="pct" w:w="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11</w:t>
            </w:r>
          </w:p>
        </w:tc>
        <w:tc>
          <w:tcPr>
            <w:tcW w:type="pct" w:w="11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lost</w:t>
            </w:r>
          </w:p>
        </w:tc>
        <w:tc>
          <w:tcPr>
            <w:tcW w:type="pct" w:w="11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Lost</w:t>
            </w:r>
          </w:p>
        </w:tc>
        <w:tc>
          <w:tcPr>
            <w:tcW w:type="pct" w:w="2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Alasan kalah wajib dipilih</w:t>
            </w:r>
          </w:p>
        </w:tc>
      </w:tr>
      <w:tr>
        <w:trPr>
          <w:cantSplit/>
        </w:trPr>
        <w:tc>
          <w:tcPr>
            <w:tcW w:type="pct" w:w="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12</w:t>
            </w:r>
          </w:p>
        </w:tc>
        <w:tc>
          <w:tcPr>
            <w:tcW w:type="pct" w:w="11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nurture</w:t>
            </w:r>
          </w:p>
        </w:tc>
        <w:tc>
          <w:tcPr>
            <w:tcW w:type="pct" w:w="11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Nurture</w:t>
            </w:r>
          </w:p>
        </w:tc>
        <w:tc>
          <w:tcPr>
            <w:tcW w:type="pct" w:w="2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Segmen nurture + tanggal follow-up wajib</w:t>
            </w:r>
          </w:p>
        </w:tc>
      </w:tr>
    </w:tbl>
    <w:p>
      <w:pPr>
        <w:keepNext/>
        <w:spacing w:after="80" w:before="160" w:line="312"/>
      </w:pPr>
      <w:r>
        <w:rPr>
          <w:rFonts w:ascii="Calibri" w:eastAsia="Microsoft YaHei"/>
          <w:b/>
          <w:bCs/>
          <w:color w:val="5B6B7D"/>
          <w:sz w:val="20"/>
          <w:szCs w:val="20"/>
        </w:rPr>
        <w:t xml:space="preserve">Tabel 10 — Konstanta bisnis lain</w:t>
      </w:r>
    </w:p>
    <w:tbl>
      <w:tblPr>
        <w:tblW w:type="pct" w:w="5000"/>
        <w:tblBorders>
          <w:top w:val="single" w:color="1B6B7A" w:sz="6"/>
          <w:left w:val="none" w:color="FFFFFF" w:sz="0"/>
          <w:bottom w:val="single" w:color="1B6B7A" w:sz="6"/>
          <w:right w:val="none" w:color="FFFFFF" w:sz="0"/>
          <w:insideH w:val="single" w:color="C8DDE2" w:sz="2"/>
          <w:insideV w:val="none" w:color="FFFFFF" w:sz="0"/>
        </w:tblBorders>
        <w:tblLayout w:type="fixed"/>
      </w:tblPr>
      <w:tblGrid>
        <w:gridCol w:w="2285"/>
        <w:gridCol w:w="6503"/>
      </w:tblGrid>
      <w:tr>
        <w:trPr>
          <w:cantSplit/>
          <w:tblHeader/>
        </w:trPr>
        <w:tc>
          <w:tcPr>
            <w:tcW w:type="pct" w:w="13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9"/>
                <w:szCs w:val="19"/>
              </w:rPr>
              <w:t xml:space="preserve">Konstanta</w:t>
            </w:r>
          </w:p>
        </w:tc>
        <w:tc>
          <w:tcPr>
            <w:tcW w:type="pct" w:w="37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9"/>
                <w:szCs w:val="19"/>
              </w:rPr>
              <w:t xml:space="preserve">Nilai</w:t>
            </w:r>
          </w:p>
        </w:tc>
      </w:tr>
      <w:tr>
        <w:trPr>
          <w:cantSplit/>
        </w:trPr>
        <w:tc>
          <w:tcPr>
            <w:tcW w:type="pct" w:w="1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LOST_REASONS (12)</w:t>
            </w:r>
          </w:p>
        </w:tc>
        <w:tc>
          <w:tcPr>
            <w:tcW w:type="pct" w:w="3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Harga terlalu tinggi · Tidak ada budget · Memilih kompetitor · Timeline tidak sesuai · Kebutuhan berubah · Tidak mendapat respons · Scope tidak cocok · Ditunda internal klien · Kontak tidak valid · Duplikat · Tidak sesuai target pasar · Alasan lainnya</w:t>
            </w:r>
          </w:p>
        </w:tc>
      </w:tr>
      <w:tr>
        <w:trPr>
          <w:cantSplit/>
        </w:trPr>
        <w:tc>
          <w:tcPr>
            <w:tcW w:type="pct" w:w="1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NURTURE_SEGMENTS (6)</w:t>
            </w:r>
          </w:p>
        </w:tc>
        <w:tc>
          <w:tcPr>
            <w:tcW w:type="pct" w:w="3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reoffer_30 · reoffer_90 · budget_season · cross_sell · smaller_package · alternative_service</w:t>
            </w:r>
          </w:p>
        </w:tc>
      </w:tr>
      <w:tr>
        <w:trPr>
          <w:cantSplit/>
        </w:trPr>
        <w:tc>
          <w:tcPr>
            <w:tcW w:type="pct" w:w="1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CHANNELS (7)</w:t>
            </w:r>
          </w:p>
        </w:tc>
        <w:tc>
          <w:tcPr>
            <w:tcW w:type="pct" w:w="3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whatsapp · email · instagram · website · phone · meeting · portal</w:t>
            </w:r>
          </w:p>
        </w:tc>
      </w:tr>
      <w:tr>
        <w:trPr>
          <w:cantSplit/>
        </w:trPr>
        <w:tc>
          <w:tcPr>
            <w:tcW w:type="pct" w:w="1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LEAD_SOURCES (8)</w:t>
            </w:r>
          </w:p>
        </w:tc>
        <w:tc>
          <w:tcPr>
            <w:tcW w:type="pct" w:w="3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instagram · whatsapp · email · website · referral · event · cold_outreach · linkedin</w:t>
            </w:r>
          </w:p>
        </w:tc>
      </w:tr>
      <w:tr>
        <w:trPr>
          <w:cantSplit/>
        </w:trPr>
        <w:tc>
          <w:tcPr>
            <w:tcW w:type="pct" w:w="1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ROLES (8)</w:t>
            </w:r>
          </w:p>
        </w:tc>
        <w:tc>
          <w:tcPr>
            <w:tcW w:type="pct" w:w="3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super_admin (penuh) · director (dashboard, forecast, approval) · manager (pantauan tim, tanpa keuangan) · hr (user dan beban kerja) · marketing (inbox, contact, opportunity, komunikasi) · finance (estimasi, budget, pajak, invoice, pembayaran) · production (brief, scope, timeline, milestone, deliverable) · client (hanya data miliknya)</w:t>
            </w:r>
          </w:p>
        </w:tc>
      </w:tr>
      <w:tr>
        <w:trPr>
          <w:cantSplit/>
        </w:trPr>
        <w:tc>
          <w:tcPr>
            <w:tcW w:type="pct" w:w="1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SERVICE_CATEGORIES (5)</w:t>
            </w:r>
          </w:p>
        </w:tc>
        <w:tc>
          <w:tcPr>
            <w:tcW w:type="pct" w:w="3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animation · website · video · immersive · digital_marketing</w:t>
            </w:r>
          </w:p>
        </w:tc>
      </w:tr>
      <w:tr>
        <w:trPr>
          <w:cantSplit/>
        </w:trPr>
        <w:tc>
          <w:tcPr>
            <w:tcW w:type="pct" w:w="1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PRIORITIES / TEMPERATURES</w:t>
            </w:r>
          </w:p>
        </w:tc>
        <w:tc>
          <w:tcPr>
            <w:tcW w:type="pct" w:w="3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low, medium, high, urgent · hot, warm, cold</w:t>
            </w:r>
          </w:p>
        </w:tc>
      </w:tr>
      <w:tr>
        <w:trPr>
          <w:cantSplit/>
        </w:trPr>
        <w:tc>
          <w:tcPr>
            <w:tcW w:type="pct" w:w="1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DUE_EVENTS (TOP, 5)</w:t>
            </w:r>
          </w:p>
        </w:tc>
        <w:tc>
          <w:tcPr>
            <w:tcW w:type="pct" w:w="3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invoice (setelah invoice terbit) · down_payment (setelah DP diterima) · bastp (setelah BASTP ditandatangani) · handover · delivery</w:t>
            </w:r>
          </w:p>
        </w:tc>
      </w:tr>
      <w:tr>
        <w:trPr>
          <w:cantSplit/>
        </w:trPr>
        <w:tc>
          <w:tcPr>
            <w:tcW w:type="pct" w:w="1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Template workflow produksi</w:t>
            </w:r>
          </w:p>
        </w:tc>
        <w:tc>
          <w:tcPr>
            <w:tcW w:type="pct" w:w="3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website: Discovery → Sitemap &amp; Wireframe → UI/UX Design → Development → QA &amp; Testing → Launch. video: Pre-Production → Shooting → Editing → Revision → Final Delivery. animation: Script → Storyboard → Asset Production → Animation → Sound Design → Revision → Final Render. immersive: Survey Lokasi → Technical Plan → Production → Setup &amp; Install → Event/Go-Live → Archive</w:t>
            </w:r>
          </w:p>
        </w:tc>
      </w:tr>
    </w:tbl>
    <w:p>
      <w:pPr>
        <w:pStyle w:val="Heading1"/>
        <w:pageBreakBefore/>
        <w:spacing w:after="200" w:before="360" w:line="312"/>
      </w:pPr>
      <w:bookmarkStart w:id="100015" w:name="_Toc100015"/>
      <w:r>
        <w:rPr>
          <w:rFonts w:ascii="Calibri" w:eastAsia="Microsoft YaHei"/>
          <w:b/>
          <w:bCs/>
          <w:color w:val="162235"/>
          <w:sz w:val="32"/>
          <w:szCs w:val="32"/>
        </w:rPr>
        <w:t xml:space="preserve">5. Keamanan, Autentikasi, dan Otorisasi</w:t>
      </w:r>
      <w:bookmarkEnd w:id="100015"/>
    </w:p>
    <w:p>
      <w:pPr>
        <w:pStyle w:val="Heading2"/>
        <w:spacing w:after="140" w:before="280" w:line="312"/>
      </w:pPr>
      <w:bookmarkStart w:id="100016" w:name="_Toc100016"/>
      <w:r>
        <w:rPr>
          <w:rFonts w:ascii="Calibri" w:eastAsia="Microsoft YaHei"/>
          <w:b/>
          <w:bCs/>
          <w:color w:val="162235"/>
          <w:sz w:val="27"/>
          <w:szCs w:val="27"/>
        </w:rPr>
        <w:t xml:space="preserve">5.1 Sesi dan cookie (src/lib/crm/session.ts)</w:t>
      </w:r>
      <w:bookmarkEnd w:id="100016"/>
    </w:p>
    <w:p>
      <w:pPr>
        <w:keepNext/>
        <w:spacing w:after="80" w:before="160" w:line="312"/>
      </w:pPr>
      <w:r>
        <w:rPr>
          <w:rFonts w:ascii="Calibri" w:eastAsia="Microsoft YaHei"/>
          <w:b/>
          <w:bCs/>
          <w:color w:val="5B6B7D"/>
          <w:sz w:val="20"/>
          <w:szCs w:val="20"/>
        </w:rPr>
        <w:t xml:space="preserve">Tabel 11 — Implementasi sesi</w:t>
      </w:r>
    </w:p>
    <w:tbl>
      <w:tblPr>
        <w:tblW w:type="pct" w:w="5000"/>
        <w:tblBorders>
          <w:top w:val="single" w:color="1B6B7A" w:sz="6"/>
          <w:left w:val="none" w:color="FFFFFF" w:sz="0"/>
          <w:bottom w:val="single" w:color="1B6B7A" w:sz="6"/>
          <w:right w:val="none" w:color="FFFFFF" w:sz="0"/>
          <w:insideH w:val="single" w:color="C8DDE2" w:sz="2"/>
          <w:insideV w:val="none" w:color="FFFFFF" w:sz="0"/>
        </w:tblBorders>
        <w:tblLayout w:type="fixed"/>
      </w:tblPr>
      <w:tblGrid>
        <w:gridCol w:w="2109"/>
        <w:gridCol w:w="6679"/>
      </w:tblGrid>
      <w:tr>
        <w:trPr>
          <w:cantSplit/>
          <w:tblHeader/>
        </w:trPr>
        <w:tc>
          <w:tcPr>
            <w:tcW w:type="pct" w:w="12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9"/>
                <w:szCs w:val="19"/>
              </w:rPr>
              <w:t xml:space="preserve">Aspek</w:t>
            </w:r>
          </w:p>
        </w:tc>
        <w:tc>
          <w:tcPr>
            <w:tcW w:type="pct" w:w="38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9"/>
                <w:szCs w:val="19"/>
              </w:rPr>
              <w:t xml:space="preserve">Implementasi</w:t>
            </w:r>
          </w:p>
        </w:tc>
      </w:tr>
      <w:tr>
        <w:trPr>
          <w:cantSplit/>
        </w:trPr>
        <w:tc>
          <w:tcPr>
            <w:tcW w:type="pct" w:w="12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Cookie sesi / lock</w:t>
            </w:r>
          </w:p>
        </w:tc>
        <w:tc>
          <w:tcPr>
            <w:tcW w:type="pct" w:w="38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crm_session dan crm_lock</w:t>
            </w:r>
          </w:p>
        </w:tc>
      </w:tr>
      <w:tr>
        <w:trPr>
          <w:cantSplit/>
        </w:trPr>
        <w:tc>
          <w:tcPr>
            <w:tcW w:type="pct" w:w="12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Format token</w:t>
            </w:r>
          </w:p>
        </w:tc>
        <w:tc>
          <w:tcPr>
            <w:tcW w:type="pct" w:w="38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&lt;payload-b64url&gt;.&lt;hmac-b64url&gt;; payload JSON {uid, email, name, role, exp, kind}; tanda tangan HMAC-SHA256 (Web Crypto, kompatibel edge runtime)</w:t>
            </w:r>
          </w:p>
        </w:tc>
      </w:tr>
      <w:tr>
        <w:trPr>
          <w:cantSplit/>
        </w:trPr>
        <w:tc>
          <w:tcPr>
            <w:tcW w:type="pct" w:w="12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TTL</w:t>
            </w:r>
          </w:p>
        </w:tc>
        <w:tc>
          <w:tcPr>
            <w:tcW w:type="pct" w:w="38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Sesi 7 hari; lock 12 jam</w:t>
            </w:r>
          </w:p>
        </w:tc>
      </w:tr>
      <w:tr>
        <w:trPr>
          <w:cantSplit/>
        </w:trPr>
        <w:tc>
          <w:tcPr>
            <w:tcW w:type="pct" w:w="12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Atribut cookie</w:t>
            </w:r>
          </w:p>
        </w:tc>
        <w:tc>
          <w:tcPr>
            <w:tcW w:type="pct" w:w="38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httpOnly: true, sameSite: lax, path: /, secure adaptif — hanya Secure bila x-forwarded-proto: https (kompatibel HTTP dev dan HTTPS Coolify; cookie Secure via HTTP murni ditolak browser)</w:t>
            </w:r>
          </w:p>
        </w:tc>
      </w:tr>
      <w:tr>
        <w:trPr>
          <w:cantSplit/>
        </w:trPr>
        <w:tc>
          <w:tcPr>
            <w:tcW w:type="pct" w:w="12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Verifikasi</w:t>
            </w:r>
          </w:p>
        </w:tc>
        <w:tc>
          <w:tcPr>
            <w:tcW w:type="pct" w:w="38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Signature konstanta-waktu + cek exp; kind: lock tidak pernah dianggap sesi</w:t>
            </w:r>
          </w:p>
        </w:tc>
      </w:tr>
      <w:tr>
        <w:trPr>
          <w:cantSplit/>
        </w:trPr>
        <w:tc>
          <w:tcPr>
            <w:tcW w:type="pct" w:w="12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Secret</w:t>
            </w:r>
          </w:p>
        </w:tc>
        <w:tc>
          <w:tcPr>
            <w:tcW w:type="pct" w:w="38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SESSION_SECRET env; fail-closed di produksi (kosong = server menolak menyala). Produksi: env platform → file /app/data/.session-secret (dibaca via bun --env-file)</w:t>
            </w:r>
          </w:p>
        </w:tc>
      </w:tr>
    </w:tbl>
    <w:p>
      <w:pPr>
        <w:pStyle w:val="Heading2"/>
        <w:spacing w:after="140" w:before="280" w:line="312"/>
      </w:pPr>
      <w:bookmarkStart w:id="100017" w:name="_Toc100017"/>
      <w:r>
        <w:rPr>
          <w:rFonts w:ascii="Calibri" w:eastAsia="Microsoft YaHei"/>
          <w:b/>
          <w:bCs/>
          <w:color w:val="162235"/>
          <w:sz w:val="27"/>
          <w:szCs w:val="27"/>
        </w:rPr>
        <w:t xml:space="preserve">5.2 Login (POST /api/auth/login)</w:t>
      </w:r>
      <w:bookmarkEnd w:id="100017"/>
    </w:p>
    <w:p>
      <w:pPr>
        <w:spacing w:after="120" w:line="312"/>
        <w:jc w:val="both"/>
      </w:pPr>
      <w:r>
        <w:rPr>
          <w:rFonts w:ascii="Calibri" w:eastAsia="Microsoft YaHei"/>
          <w:color w:val="000000"/>
          <w:sz w:val="22"/>
          <w:szCs w:val="22"/>
        </w:rPr>
        <w:t xml:space="preserve">Kredensial adalah email + password (PIN bukan lagi kredensial login). Akun demo memakai password udp1234; PIN 1234 hanya untuk lock/unlock. Rate limit in-memory: 8 percobaan per 15 menit per kombinasi IP+email, plus 10 per 15 menit global per email; semua percobaan diaudit (login / login_failed). Pesan error diseragamkan sebagai anti email-enumeration.</w:t>
      </w:r>
    </w:p>
    <w:p>
      <w:pPr>
        <w:spacing w:after="120" w:line="312"/>
        <w:jc w:val="both"/>
      </w:pPr>
      <w:r>
        <w:rPr>
          <w:rFonts w:ascii="Calibri" w:eastAsia="Microsoft YaHei"/>
          <w:color w:val="000000"/>
          <w:sz w:val="22"/>
          <w:szCs w:val="22"/>
        </w:rPr>
        <w:t xml:space="preserve">Password dan PIN di-hash scrypt+salt dengan verifikasi timing-safe. Akun legacy dengan PIN plaintext dapat login via PIN satu kali, lalu PIN otomatis dimigrasikan ke scrypt dan UI memunculkan peringatan. Role client mendapat companyName yang di-resolve dari Contact dengan email sama. Login sukses men-set cookie crm_session dan mengembalikan objek user.</w:t>
      </w:r>
    </w:p>
    <w:p>
      <w:pPr>
        <w:pStyle w:val="Heading2"/>
        <w:spacing w:after="140" w:before="280" w:line="312"/>
      </w:pPr>
      <w:bookmarkStart w:id="100018" w:name="_Toc100018"/>
      <w:r>
        <w:rPr>
          <w:rFonts w:ascii="Calibri" w:eastAsia="Microsoft YaHei"/>
          <w:b/>
          <w:bCs/>
          <w:color w:val="162235"/>
          <w:sz w:val="27"/>
          <w:szCs w:val="27"/>
        </w:rPr>
        <w:t xml:space="preserve">5.3 Introspeksi, logout, lock, unlock</w:t>
      </w:r>
      <w:bookmarkEnd w:id="100018"/>
    </w:p>
    <w:p>
      <w:pPr>
        <w:spacing w:after="120" w:line="312"/>
        <w:jc w:val="both"/>
      </w:pPr>
      <w:r>
        <w:rPr>
          <w:rFonts w:ascii="Calibri" w:eastAsia="Microsoft YaHei"/>
          <w:color w:val="000000"/>
          <w:sz w:val="22"/>
          <w:szCs w:val="22"/>
        </w:rPr>
        <w:t xml:space="preserve">GET /api/auth/session memvalidasi cookie lalu mengambil ulang user dari database — perubahan role atau deaktivasi langsung berlaku. POST /api/auth/session adalah logout (hapus kedua cookie). POST /api/auth/lock men-set cookie crm_lock (TTL 12 jam) sekaligus me-refresh sesi agar tidak mati saat terkunci lama. POST /api/auth/unlock memverifikasi PIN ke hash scrypt database dengan rate limit terpisah dan audit sukses/gagal.</w:t>
      </w:r>
    </w:p>
    <w:p>
      <w:pPr>
        <w:pStyle w:val="Heading2"/>
        <w:spacing w:after="140" w:before="280" w:line="312"/>
      </w:pPr>
      <w:bookmarkStart w:id="100019" w:name="_Toc100019"/>
      <w:r>
        <w:rPr>
          <w:rFonts w:ascii="Calibri" w:eastAsia="Microsoft YaHei"/>
          <w:b/>
          <w:bCs/>
          <w:color w:val="162235"/>
          <w:sz w:val="27"/>
          <w:szCs w:val="27"/>
        </w:rPr>
        <w:t xml:space="preserve">5.4 Middleware src/proxy.ts</w:t>
      </w:r>
      <w:bookmarkEnd w:id="100019"/>
    </w:p>
    <w:p>
      <w:pPr>
        <w:spacing w:after="120" w:line="312"/>
        <w:jc w:val="both"/>
      </w:pPr>
      <w:r>
        <w:rPr>
          <w:rFonts w:ascii="Calibri" w:eastAsia="Microsoft YaHei"/>
          <w:color w:val="000000"/>
          <w:sz w:val="22"/>
          <w:szCs w:val="22"/>
        </w:rPr>
        <w:t xml:space="preserve">Matcher /api/:path*. Aturannya: (1) pemeriksaan lock lebih dulu — mutasi dari sesi yang memiliki cookie crm_lock valid ditolak 423 Locked, kecuali endpoint push subscribe/unsubscribe; (2) allowlist mutasi tanpa sesi: /api/auth/*, /api/webhooks/* (HMAC diverifikasi di route), /api/bootstrap, POST /api/portal/&lt;token&gt;/review, POST /api/public/quotation/&lt;token&gt;, POST /api/public/intake/&lt;token&gt; (rate limit 10/5 menit di route); (3) allowlist GET tanpa sesi: /api/auth/*, /api/webhooks/*, /api/bootstrap, /api/health, /api/users (chip persona login, field minimal), /api/notifications dan /api/notif-prefs (dipoll notif-service), GET /api/portal/&lt;token&gt; satu segmen, serta public quotation dan intake; (4) sisanya ditolak 401 dengan pesan Sesi tidak valid atau berakhir.</w:t>
      </w:r>
    </w:p>
    <w:p>
      <w:pPr>
        <w:pStyle w:val="Heading2"/>
        <w:spacing w:after="140" w:before="280" w:line="312"/>
      </w:pPr>
      <w:bookmarkStart w:id="100020" w:name="_Toc100020"/>
      <w:r>
        <w:rPr>
          <w:rFonts w:ascii="Calibri" w:eastAsia="Microsoft YaHei"/>
          <w:b/>
          <w:bCs/>
          <w:color w:val="162235"/>
          <w:sz w:val="27"/>
          <w:szCs w:val="27"/>
        </w:rPr>
        <w:t xml:space="preserve">5.5 Aktor dan gerbang peran server</w:t>
      </w:r>
      <w:bookmarkEnd w:id="100020"/>
    </w:p>
    <w:p>
      <w:pPr>
        <w:spacing w:after="120" w:line="312"/>
        <w:jc w:val="both"/>
      </w:pPr>
      <w:r>
        <w:rPr>
          <w:rFonts w:ascii="Calibri" w:eastAsia="Microsoft YaHei"/>
          <w:color w:val="000000"/>
          <w:sz w:val="22"/>
          <w:szCs w:val="22"/>
        </w:rPr>
        <w:t xml:space="preserve">resolveActor() menjadikan sesi sebagai sumber kebenaran: user selalu dicek ulang ke database (wajib active), dan actorName di body tidak dipercaya. assertRole() adalah gerbang role statis (role null = system/webhook hanya lolos bila system ada di daftar). assertModuleLevel() adalah gerbang RBAC dinamis dari tabel ModulePermission.</w:t>
      </w:r>
    </w:p>
    <w:p>
      <w:pPr>
        <w:pStyle w:val="Heading2"/>
        <w:spacing w:after="140" w:before="280" w:line="312"/>
      </w:pPr>
      <w:bookmarkStart w:id="100021" w:name="_Toc100021"/>
      <w:r>
        <w:rPr>
          <w:rFonts w:ascii="Calibri" w:eastAsia="Microsoft YaHei"/>
          <w:b/>
          <w:bCs/>
          <w:color w:val="162235"/>
          <w:sz w:val="27"/>
          <w:szCs w:val="27"/>
        </w:rPr>
        <w:t xml:space="preserve">5.6 Matriks RBAC</w:t>
      </w:r>
      <w:bookmarkEnd w:id="100021"/>
    </w:p>
    <w:p>
      <w:pPr>
        <w:spacing w:after="120" w:line="312"/>
        <w:jc w:val="both"/>
      </w:pPr>
      <w:r>
        <w:rPr>
          <w:rFonts w:ascii="Calibri" w:eastAsia="Microsoft YaHei"/>
          <w:color w:val="000000"/>
          <w:sz w:val="22"/>
          <w:szCs w:val="22"/>
        </w:rPr>
        <w:t xml:space="preserve">Sumber kebenaran adalah tabel ModulePermission dengan level bertingkat none → read → write → full; cache server 30 detik dan di-invalidasi setelah PUT. Matriks diedit lewat UI User &amp; Access oleh super_admin/director (PUT /api/permissions dijaga dua lapis: assertRole dan assertModuleLevel users full).</w:t>
      </w:r>
    </w:p>
    <w:p>
      <w:pPr>
        <w:keepNext/>
        <w:spacing w:after="80" w:before="160" w:line="312"/>
      </w:pPr>
      <w:r>
        <w:rPr>
          <w:rFonts w:ascii="Calibri" w:eastAsia="Microsoft YaHei"/>
          <w:b/>
          <w:bCs/>
          <w:color w:val="5B6B7D"/>
          <w:sz w:val="20"/>
          <w:szCs w:val="20"/>
        </w:rPr>
        <w:t xml:space="preserve">Tabel 12 — Matriks RBAC default (— = none/tersembunyi)</w:t>
      </w:r>
    </w:p>
    <w:tbl>
      <w:tblPr>
        <w:tblW w:type="pct" w:w="5000"/>
        <w:tblBorders>
          <w:top w:val="single" w:color="1B6B7A" w:sz="6"/>
          <w:left w:val="none" w:color="FFFFFF" w:sz="0"/>
          <w:bottom w:val="single" w:color="1B6B7A" w:sz="6"/>
          <w:right w:val="none" w:color="FFFFFF" w:sz="0"/>
          <w:insideH w:val="single" w:color="C8DDE2" w:sz="2"/>
          <w:insideV w:val="none" w:color="FFFFFF" w:sz="0"/>
        </w:tblBorders>
        <w:tblLayout w:type="fixed"/>
      </w:tblPr>
      <w:tblGrid>
        <w:gridCol w:w="1406"/>
        <w:gridCol w:w="967"/>
        <w:gridCol w:w="967"/>
        <w:gridCol w:w="879"/>
        <w:gridCol w:w="791"/>
        <w:gridCol w:w="1055"/>
        <w:gridCol w:w="879"/>
        <w:gridCol w:w="967"/>
        <w:gridCol w:w="879"/>
      </w:tblGrid>
      <w:tr>
        <w:trPr>
          <w:cantSplit/>
          <w:tblHeader/>
        </w:trPr>
        <w:tc>
          <w:tcPr>
            <w:tcW w:type="pct" w:w="8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6"/>
                <w:szCs w:val="16"/>
              </w:rPr>
              <w:t xml:space="preserve">Modul</w:t>
            </w:r>
          </w:p>
        </w:tc>
        <w:tc>
          <w:tcPr>
            <w:tcW w:type="pct" w:w="55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6"/>
                <w:szCs w:val="16"/>
              </w:rPr>
              <w:t xml:space="preserve">super_ admin</w:t>
            </w:r>
          </w:p>
        </w:tc>
        <w:tc>
          <w:tcPr>
            <w:tcW w:type="pct" w:w="55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6"/>
                <w:szCs w:val="16"/>
              </w:rPr>
              <w:t xml:space="preserve">director</w:t>
            </w:r>
          </w:p>
        </w:tc>
        <w:tc>
          <w:tcPr>
            <w:tcW w:type="pct" w:w="5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6"/>
                <w:szCs w:val="16"/>
              </w:rPr>
              <w:t xml:space="preserve">manager</w:t>
            </w:r>
          </w:p>
        </w:tc>
        <w:tc>
          <w:tcPr>
            <w:tcW w:type="pct" w:w="45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6"/>
                <w:szCs w:val="16"/>
              </w:rPr>
              <w:t xml:space="preserve">hr</w:t>
            </w:r>
          </w:p>
        </w:tc>
        <w:tc>
          <w:tcPr>
            <w:tcW w:type="pct" w:w="6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6"/>
                <w:szCs w:val="16"/>
              </w:rPr>
              <w:t xml:space="preserve">marketing</w:t>
            </w:r>
          </w:p>
        </w:tc>
        <w:tc>
          <w:tcPr>
            <w:tcW w:type="pct" w:w="5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6"/>
                <w:szCs w:val="16"/>
              </w:rPr>
              <w:t xml:space="preserve">finance</w:t>
            </w:r>
          </w:p>
        </w:tc>
        <w:tc>
          <w:tcPr>
            <w:tcW w:type="pct" w:w="55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6"/>
                <w:szCs w:val="16"/>
              </w:rPr>
              <w:t xml:space="preserve">production</w:t>
            </w:r>
          </w:p>
        </w:tc>
        <w:tc>
          <w:tcPr>
            <w:tcW w:type="pct" w:w="5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6"/>
                <w:szCs w:val="16"/>
              </w:rPr>
              <w:t xml:space="preserve">client</w:t>
            </w:r>
          </w:p>
        </w:tc>
      </w:tr>
      <w:tr>
        <w:trPr>
          <w:cantSplit/>
        </w:trPr>
        <w:tc>
          <w:tcPr>
            <w:tcW w:type="pct" w:w="8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dashboard</w:t>
            </w:r>
          </w:p>
        </w:tc>
        <w:tc>
          <w:tcPr>
            <w:tcW w:type="pct" w:w="55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full</w:t>
            </w:r>
          </w:p>
        </w:tc>
        <w:tc>
          <w:tcPr>
            <w:tcW w:type="pct" w:w="55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full</w:t>
            </w:r>
          </w:p>
        </w:tc>
        <w:tc>
          <w:tcPr>
            <w:tcW w:type="pct" w:w="5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write</w:t>
            </w:r>
          </w:p>
        </w:tc>
        <w:tc>
          <w:tcPr>
            <w:tcW w:type="pct" w:w="45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read</w:t>
            </w:r>
          </w:p>
        </w:tc>
        <w:tc>
          <w:tcPr>
            <w:tcW w:type="pct" w:w="6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read</w:t>
            </w:r>
          </w:p>
        </w:tc>
        <w:tc>
          <w:tcPr>
            <w:tcW w:type="pct" w:w="5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read</w:t>
            </w:r>
          </w:p>
        </w:tc>
        <w:tc>
          <w:tcPr>
            <w:tcW w:type="pct" w:w="55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read</w:t>
            </w:r>
          </w:p>
        </w:tc>
        <w:tc>
          <w:tcPr>
            <w:tcW w:type="pct" w:w="5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read</w:t>
            </w:r>
          </w:p>
        </w:tc>
      </w:tr>
      <w:tr>
        <w:trPr>
          <w:cantSplit/>
        </w:trPr>
        <w:tc>
          <w:tcPr>
            <w:tcW w:type="pct" w:w="8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inbox</w:t>
            </w:r>
          </w:p>
        </w:tc>
        <w:tc>
          <w:tcPr>
            <w:tcW w:type="pct" w:w="55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full</w:t>
            </w:r>
          </w:p>
        </w:tc>
        <w:tc>
          <w:tcPr>
            <w:tcW w:type="pct" w:w="55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full</w:t>
            </w:r>
          </w:p>
        </w:tc>
        <w:tc>
          <w:tcPr>
            <w:tcW w:type="pct" w:w="5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write</w:t>
            </w:r>
          </w:p>
        </w:tc>
        <w:tc>
          <w:tcPr>
            <w:tcW w:type="pct" w:w="45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t>
            </w:r>
          </w:p>
        </w:tc>
        <w:tc>
          <w:tcPr>
            <w:tcW w:type="pct" w:w="6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write</w:t>
            </w:r>
          </w:p>
        </w:tc>
        <w:tc>
          <w:tcPr>
            <w:tcW w:type="pct" w:w="5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t>
            </w:r>
          </w:p>
        </w:tc>
        <w:tc>
          <w:tcPr>
            <w:tcW w:type="pct" w:w="55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t>
            </w:r>
          </w:p>
        </w:tc>
        <w:tc>
          <w:tcPr>
            <w:tcW w:type="pct" w:w="5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t>
            </w:r>
          </w:p>
        </w:tc>
      </w:tr>
      <w:tr>
        <w:trPr>
          <w:cantSplit/>
        </w:trPr>
        <w:tc>
          <w:tcPr>
            <w:tcW w:type="pct" w:w="8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contacts</w:t>
            </w:r>
          </w:p>
        </w:tc>
        <w:tc>
          <w:tcPr>
            <w:tcW w:type="pct" w:w="55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full</w:t>
            </w:r>
          </w:p>
        </w:tc>
        <w:tc>
          <w:tcPr>
            <w:tcW w:type="pct" w:w="55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full</w:t>
            </w:r>
          </w:p>
        </w:tc>
        <w:tc>
          <w:tcPr>
            <w:tcW w:type="pct" w:w="5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write</w:t>
            </w:r>
          </w:p>
        </w:tc>
        <w:tc>
          <w:tcPr>
            <w:tcW w:type="pct" w:w="45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t>
            </w:r>
          </w:p>
        </w:tc>
        <w:tc>
          <w:tcPr>
            <w:tcW w:type="pct" w:w="6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write</w:t>
            </w:r>
          </w:p>
        </w:tc>
        <w:tc>
          <w:tcPr>
            <w:tcW w:type="pct" w:w="5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read</w:t>
            </w:r>
          </w:p>
        </w:tc>
        <w:tc>
          <w:tcPr>
            <w:tcW w:type="pct" w:w="55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t>
            </w:r>
          </w:p>
        </w:tc>
        <w:tc>
          <w:tcPr>
            <w:tcW w:type="pct" w:w="5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t>
            </w:r>
          </w:p>
        </w:tc>
      </w:tr>
      <w:tr>
        <w:trPr>
          <w:cantSplit/>
        </w:trPr>
        <w:tc>
          <w:tcPr>
            <w:tcW w:type="pct" w:w="8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pipeline</w:t>
            </w:r>
          </w:p>
        </w:tc>
        <w:tc>
          <w:tcPr>
            <w:tcW w:type="pct" w:w="55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full</w:t>
            </w:r>
          </w:p>
        </w:tc>
        <w:tc>
          <w:tcPr>
            <w:tcW w:type="pct" w:w="55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full</w:t>
            </w:r>
          </w:p>
        </w:tc>
        <w:tc>
          <w:tcPr>
            <w:tcW w:type="pct" w:w="5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write</w:t>
            </w:r>
          </w:p>
        </w:tc>
        <w:tc>
          <w:tcPr>
            <w:tcW w:type="pct" w:w="45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t>
            </w:r>
          </w:p>
        </w:tc>
        <w:tc>
          <w:tcPr>
            <w:tcW w:type="pct" w:w="6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write</w:t>
            </w:r>
          </w:p>
        </w:tc>
        <w:tc>
          <w:tcPr>
            <w:tcW w:type="pct" w:w="5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read</w:t>
            </w:r>
          </w:p>
        </w:tc>
        <w:tc>
          <w:tcPr>
            <w:tcW w:type="pct" w:w="55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t>
            </w:r>
          </w:p>
        </w:tc>
        <w:tc>
          <w:tcPr>
            <w:tcW w:type="pct" w:w="5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t>
            </w:r>
          </w:p>
        </w:tc>
      </w:tr>
      <w:tr>
        <w:trPr>
          <w:cantSplit/>
        </w:trPr>
        <w:tc>
          <w:tcPr>
            <w:tcW w:type="pct" w:w="8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followups</w:t>
            </w:r>
          </w:p>
        </w:tc>
        <w:tc>
          <w:tcPr>
            <w:tcW w:type="pct" w:w="55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full</w:t>
            </w:r>
          </w:p>
        </w:tc>
        <w:tc>
          <w:tcPr>
            <w:tcW w:type="pct" w:w="55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full</w:t>
            </w:r>
          </w:p>
        </w:tc>
        <w:tc>
          <w:tcPr>
            <w:tcW w:type="pct" w:w="5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write</w:t>
            </w:r>
          </w:p>
        </w:tc>
        <w:tc>
          <w:tcPr>
            <w:tcW w:type="pct" w:w="45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write</w:t>
            </w:r>
          </w:p>
        </w:tc>
        <w:tc>
          <w:tcPr>
            <w:tcW w:type="pct" w:w="6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write</w:t>
            </w:r>
          </w:p>
        </w:tc>
        <w:tc>
          <w:tcPr>
            <w:tcW w:type="pct" w:w="5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t>
            </w:r>
          </w:p>
        </w:tc>
        <w:tc>
          <w:tcPr>
            <w:tcW w:type="pct" w:w="55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write</w:t>
            </w:r>
          </w:p>
        </w:tc>
        <w:tc>
          <w:tcPr>
            <w:tcW w:type="pct" w:w="5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t>
            </w:r>
          </w:p>
        </w:tc>
      </w:tr>
      <w:tr>
        <w:trPr>
          <w:cantSplit/>
        </w:trPr>
        <w:tc>
          <w:tcPr>
            <w:tcW w:type="pct" w:w="8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finance</w:t>
            </w:r>
          </w:p>
        </w:tc>
        <w:tc>
          <w:tcPr>
            <w:tcW w:type="pct" w:w="55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full</w:t>
            </w:r>
          </w:p>
        </w:tc>
        <w:tc>
          <w:tcPr>
            <w:tcW w:type="pct" w:w="55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full</w:t>
            </w:r>
          </w:p>
        </w:tc>
        <w:tc>
          <w:tcPr>
            <w:tcW w:type="pct" w:w="5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t>
            </w:r>
          </w:p>
        </w:tc>
        <w:tc>
          <w:tcPr>
            <w:tcW w:type="pct" w:w="45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t>
            </w:r>
          </w:p>
        </w:tc>
        <w:tc>
          <w:tcPr>
            <w:tcW w:type="pct" w:w="6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t>
            </w:r>
          </w:p>
        </w:tc>
        <w:tc>
          <w:tcPr>
            <w:tcW w:type="pct" w:w="5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full</w:t>
            </w:r>
          </w:p>
        </w:tc>
        <w:tc>
          <w:tcPr>
            <w:tcW w:type="pct" w:w="55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t>
            </w:r>
          </w:p>
        </w:tc>
        <w:tc>
          <w:tcPr>
            <w:tcW w:type="pct" w:w="5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t>
            </w:r>
          </w:p>
        </w:tc>
      </w:tr>
      <w:tr>
        <w:trPr>
          <w:cantSplit/>
        </w:trPr>
        <w:tc>
          <w:tcPr>
            <w:tcW w:type="pct" w:w="8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reports</w:t>
            </w:r>
          </w:p>
        </w:tc>
        <w:tc>
          <w:tcPr>
            <w:tcW w:type="pct" w:w="55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full</w:t>
            </w:r>
          </w:p>
        </w:tc>
        <w:tc>
          <w:tcPr>
            <w:tcW w:type="pct" w:w="55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full</w:t>
            </w:r>
          </w:p>
        </w:tc>
        <w:tc>
          <w:tcPr>
            <w:tcW w:type="pct" w:w="5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write</w:t>
            </w:r>
          </w:p>
        </w:tc>
        <w:tc>
          <w:tcPr>
            <w:tcW w:type="pct" w:w="45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t>
            </w:r>
          </w:p>
        </w:tc>
        <w:tc>
          <w:tcPr>
            <w:tcW w:type="pct" w:w="6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read</w:t>
            </w:r>
          </w:p>
        </w:tc>
        <w:tc>
          <w:tcPr>
            <w:tcW w:type="pct" w:w="5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read</w:t>
            </w:r>
          </w:p>
        </w:tc>
        <w:tc>
          <w:tcPr>
            <w:tcW w:type="pct" w:w="55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t>
            </w:r>
          </w:p>
        </w:tc>
        <w:tc>
          <w:tcPr>
            <w:tcW w:type="pct" w:w="5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t>
            </w:r>
          </w:p>
        </w:tc>
      </w:tr>
      <w:tr>
        <w:trPr>
          <w:cantSplit/>
        </w:trPr>
        <w:tc>
          <w:tcPr>
            <w:tcW w:type="pct" w:w="8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projects</w:t>
            </w:r>
          </w:p>
        </w:tc>
        <w:tc>
          <w:tcPr>
            <w:tcW w:type="pct" w:w="55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full</w:t>
            </w:r>
          </w:p>
        </w:tc>
        <w:tc>
          <w:tcPr>
            <w:tcW w:type="pct" w:w="55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full</w:t>
            </w:r>
          </w:p>
        </w:tc>
        <w:tc>
          <w:tcPr>
            <w:tcW w:type="pct" w:w="5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write</w:t>
            </w:r>
          </w:p>
        </w:tc>
        <w:tc>
          <w:tcPr>
            <w:tcW w:type="pct" w:w="45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t>
            </w:r>
          </w:p>
        </w:tc>
        <w:tc>
          <w:tcPr>
            <w:tcW w:type="pct" w:w="6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write</w:t>
            </w:r>
          </w:p>
        </w:tc>
        <w:tc>
          <w:tcPr>
            <w:tcW w:type="pct" w:w="5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t>
            </w:r>
          </w:p>
        </w:tc>
        <w:tc>
          <w:tcPr>
            <w:tcW w:type="pct" w:w="55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write</w:t>
            </w:r>
          </w:p>
        </w:tc>
        <w:tc>
          <w:tcPr>
            <w:tcW w:type="pct" w:w="5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t>
            </w:r>
          </w:p>
        </w:tc>
      </w:tr>
      <w:tr>
        <w:trPr>
          <w:cantSplit/>
        </w:trPr>
        <w:tc>
          <w:tcPr>
            <w:tcW w:type="pct" w:w="8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portal</w:t>
            </w:r>
          </w:p>
        </w:tc>
        <w:tc>
          <w:tcPr>
            <w:tcW w:type="pct" w:w="55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full</w:t>
            </w:r>
          </w:p>
        </w:tc>
        <w:tc>
          <w:tcPr>
            <w:tcW w:type="pct" w:w="55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full</w:t>
            </w:r>
          </w:p>
        </w:tc>
        <w:tc>
          <w:tcPr>
            <w:tcW w:type="pct" w:w="5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t>
            </w:r>
          </w:p>
        </w:tc>
        <w:tc>
          <w:tcPr>
            <w:tcW w:type="pct" w:w="45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t>
            </w:r>
          </w:p>
        </w:tc>
        <w:tc>
          <w:tcPr>
            <w:tcW w:type="pct" w:w="6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t>
            </w:r>
          </w:p>
        </w:tc>
        <w:tc>
          <w:tcPr>
            <w:tcW w:type="pct" w:w="5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t>
            </w:r>
          </w:p>
        </w:tc>
        <w:tc>
          <w:tcPr>
            <w:tcW w:type="pct" w:w="55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t>
            </w:r>
          </w:p>
        </w:tc>
        <w:tc>
          <w:tcPr>
            <w:tcW w:type="pct" w:w="5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read</w:t>
            </w:r>
          </w:p>
        </w:tc>
      </w:tr>
      <w:tr>
        <w:trPr>
          <w:cantSplit/>
        </w:trPr>
        <w:tc>
          <w:tcPr>
            <w:tcW w:type="pct" w:w="8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channels</w:t>
            </w:r>
          </w:p>
        </w:tc>
        <w:tc>
          <w:tcPr>
            <w:tcW w:type="pct" w:w="55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full</w:t>
            </w:r>
          </w:p>
        </w:tc>
        <w:tc>
          <w:tcPr>
            <w:tcW w:type="pct" w:w="55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full</w:t>
            </w:r>
          </w:p>
        </w:tc>
        <w:tc>
          <w:tcPr>
            <w:tcW w:type="pct" w:w="5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t>
            </w:r>
          </w:p>
        </w:tc>
        <w:tc>
          <w:tcPr>
            <w:tcW w:type="pct" w:w="45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t>
            </w:r>
          </w:p>
        </w:tc>
        <w:tc>
          <w:tcPr>
            <w:tcW w:type="pct" w:w="6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t>
            </w:r>
          </w:p>
        </w:tc>
        <w:tc>
          <w:tcPr>
            <w:tcW w:type="pct" w:w="5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t>
            </w:r>
          </w:p>
        </w:tc>
        <w:tc>
          <w:tcPr>
            <w:tcW w:type="pct" w:w="55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t>
            </w:r>
          </w:p>
        </w:tc>
        <w:tc>
          <w:tcPr>
            <w:tcW w:type="pct" w:w="5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t>
            </w:r>
          </w:p>
        </w:tc>
      </w:tr>
      <w:tr>
        <w:trPr>
          <w:cantSplit/>
        </w:trPr>
        <w:tc>
          <w:tcPr>
            <w:tcW w:type="pct" w:w="8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brands</w:t>
            </w:r>
          </w:p>
        </w:tc>
        <w:tc>
          <w:tcPr>
            <w:tcW w:type="pct" w:w="55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full</w:t>
            </w:r>
          </w:p>
        </w:tc>
        <w:tc>
          <w:tcPr>
            <w:tcW w:type="pct" w:w="55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full</w:t>
            </w:r>
          </w:p>
        </w:tc>
        <w:tc>
          <w:tcPr>
            <w:tcW w:type="pct" w:w="5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t>
            </w:r>
          </w:p>
        </w:tc>
        <w:tc>
          <w:tcPr>
            <w:tcW w:type="pct" w:w="45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t>
            </w:r>
          </w:p>
        </w:tc>
        <w:tc>
          <w:tcPr>
            <w:tcW w:type="pct" w:w="6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t>
            </w:r>
          </w:p>
        </w:tc>
        <w:tc>
          <w:tcPr>
            <w:tcW w:type="pct" w:w="5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t>
            </w:r>
          </w:p>
        </w:tc>
        <w:tc>
          <w:tcPr>
            <w:tcW w:type="pct" w:w="55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t>
            </w:r>
          </w:p>
        </w:tc>
        <w:tc>
          <w:tcPr>
            <w:tcW w:type="pct" w:w="5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t>
            </w:r>
          </w:p>
        </w:tc>
      </w:tr>
      <w:tr>
        <w:trPr>
          <w:cantSplit/>
        </w:trPr>
        <w:tc>
          <w:tcPr>
            <w:tcW w:type="pct" w:w="8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users</w:t>
            </w:r>
          </w:p>
        </w:tc>
        <w:tc>
          <w:tcPr>
            <w:tcW w:type="pct" w:w="55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full</w:t>
            </w:r>
          </w:p>
        </w:tc>
        <w:tc>
          <w:tcPr>
            <w:tcW w:type="pct" w:w="55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full</w:t>
            </w:r>
          </w:p>
        </w:tc>
        <w:tc>
          <w:tcPr>
            <w:tcW w:type="pct" w:w="5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t>
            </w:r>
          </w:p>
        </w:tc>
        <w:tc>
          <w:tcPr>
            <w:tcW w:type="pct" w:w="45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read</w:t>
            </w:r>
          </w:p>
        </w:tc>
        <w:tc>
          <w:tcPr>
            <w:tcW w:type="pct" w:w="6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t>
            </w:r>
          </w:p>
        </w:tc>
        <w:tc>
          <w:tcPr>
            <w:tcW w:type="pct" w:w="5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t>
            </w:r>
          </w:p>
        </w:tc>
        <w:tc>
          <w:tcPr>
            <w:tcW w:type="pct" w:w="55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t>
            </w:r>
          </w:p>
        </w:tc>
        <w:tc>
          <w:tcPr>
            <w:tcW w:type="pct" w:w="5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t>
            </w:r>
          </w:p>
        </w:tc>
      </w:tr>
      <w:tr>
        <w:trPr>
          <w:cantSplit/>
        </w:trPr>
        <w:tc>
          <w:tcPr>
            <w:tcW w:type="pct" w:w="8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audit</w:t>
            </w:r>
          </w:p>
        </w:tc>
        <w:tc>
          <w:tcPr>
            <w:tcW w:type="pct" w:w="55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full</w:t>
            </w:r>
          </w:p>
        </w:tc>
        <w:tc>
          <w:tcPr>
            <w:tcW w:type="pct" w:w="55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full</w:t>
            </w:r>
          </w:p>
        </w:tc>
        <w:tc>
          <w:tcPr>
            <w:tcW w:type="pct" w:w="5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t>
            </w:r>
          </w:p>
        </w:tc>
        <w:tc>
          <w:tcPr>
            <w:tcW w:type="pct" w:w="45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t>
            </w:r>
          </w:p>
        </w:tc>
        <w:tc>
          <w:tcPr>
            <w:tcW w:type="pct" w:w="6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t>
            </w:r>
          </w:p>
        </w:tc>
        <w:tc>
          <w:tcPr>
            <w:tcW w:type="pct" w:w="5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t>
            </w:r>
          </w:p>
        </w:tc>
        <w:tc>
          <w:tcPr>
            <w:tcW w:type="pct" w:w="55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t>
            </w:r>
          </w:p>
        </w:tc>
        <w:tc>
          <w:tcPr>
            <w:tcW w:type="pct" w:w="500"/>
            <w:tcMar>
              <w:top w:type="dxa" w:w="70"/>
              <w:left w:type="dxa" w:w="110"/>
              <w:bottom w:type="dxa" w:w="70"/>
              <w:right w:type="dxa" w:w="110"/>
            </w:tcMar>
            <w:vAlign w:val="top"/>
          </w:tcPr>
          <w:p>
            <w:pPr>
              <w:spacing w:line="264"/>
              <w:jc w:val="left"/>
            </w:pPr>
            <w:r>
              <w:rPr>
                <w:rFonts w:ascii="Calibri" w:eastAsia="Microsoft YaHei"/>
                <w:b w:val="false"/>
                <w:bCs w:val="false"/>
                <w:color w:val="000000"/>
                <w:sz w:val="16"/>
                <w:szCs w:val="16"/>
              </w:rPr>
              <w:t xml:space="preserve">—</w:t>
            </w:r>
          </w:p>
        </w:tc>
      </w:tr>
    </w:tbl>
    <w:p>
      <w:pPr>
        <w:spacing w:after="120" w:line="312"/>
        <w:jc w:val="both"/>
      </w:pPr>
      <w:r>
        <w:rPr>
          <w:rFonts w:ascii="Calibri" w:eastAsia="Microsoft YaHei"/>
          <w:color w:val="000000"/>
          <w:sz w:val="22"/>
          <w:szCs w:val="22"/>
        </w:rPr>
        <w:t xml:space="preserve">Penegakan di UI memakai moduleLevel(), canAccess() (nav/search/guard shell), canWrite(), dan canFull() (menyembunyikan tombol tulis/kritis). Aturan otorisasi penting di level route: opportunity hanya bisa diedit oleh pemilik atau pimpinan (ganti owner/brand/kontak hanya pimpinan; hapus soft delete hanya pimpinan); aksi finance dijaga role super_admin/director/finance plus level modul finance (delete_payment butuh level full); approvals dan keputusan change request hanya director/super_admin; users, brands, channels, permissions, dan audit logs hanya super_admin/director; penghapusan task/deliverable hanya pembuat atau manajemen.</w:t>
      </w:r>
    </w:p>
    <w:p>
      <w:pPr>
        <w:pStyle w:val="Heading2"/>
        <w:spacing w:after="140" w:before="280" w:line="312"/>
      </w:pPr>
      <w:bookmarkStart w:id="100022" w:name="_Toc100022"/>
      <w:r>
        <w:rPr>
          <w:rFonts w:ascii="Calibri" w:eastAsia="Microsoft YaHei"/>
          <w:b/>
          <w:bCs/>
          <w:color w:val="162235"/>
          <w:sz w:val="27"/>
          <w:szCs w:val="27"/>
        </w:rPr>
        <w:t xml:space="preserve">5.7 Audit trail</w:t>
      </w:r>
      <w:bookmarkEnd w:id="100022"/>
    </w:p>
    <w:p>
      <w:pPr>
        <w:spacing w:after="120" w:line="312"/>
        <w:jc w:val="both"/>
      </w:pPr>
      <w:r>
        <w:rPr>
          <w:rFonts w:ascii="Calibri" w:eastAsia="Microsoft YaHei"/>
          <w:color w:val="000000"/>
          <w:sz w:val="22"/>
          <w:szCs w:val="22"/>
        </w:rPr>
        <w:t xml:space="preserve">Hampir semua mutasi memanggil logAudit() yang menulis tabel AuditLog: actorName, actorRole, action, entity, entityId, entityLabel, field, oldValue → newValue, metadata, ip (header x-forwarded-for), dan userAgent. Perubahan per-field dicatat satu per satu; transisi stage memakai action stage_change; aktor sistem memakai nama khusus seperti SLA Bot, Formulir Intake (publik), Sistem (Auto-unify), dan WhatsApp Cloud API dengan role system.</w:t>
      </w:r>
    </w:p>
    <w:p>
      <w:pPr>
        <w:pStyle w:val="Heading1"/>
        <w:pageBreakBefore/>
        <w:spacing w:after="200" w:before="360" w:line="312"/>
      </w:pPr>
      <w:bookmarkStart w:id="100023" w:name="_Toc100023"/>
      <w:r>
        <w:rPr>
          <w:rFonts w:ascii="Calibri" w:eastAsia="Microsoft YaHei"/>
          <w:b/>
          <w:bCs/>
          <w:color w:val="162235"/>
          <w:sz w:val="32"/>
          <w:szCs w:val="32"/>
        </w:rPr>
        <w:t xml:space="preserve">6. Business Logic per Modul</w:t>
      </w:r>
      <w:bookmarkEnd w:id="100023"/>
    </w:p>
    <w:p>
      <w:pPr>
        <w:pStyle w:val="Heading2"/>
        <w:spacing w:after="140" w:before="280" w:line="312"/>
      </w:pPr>
      <w:bookmarkStart w:id="100024" w:name="_Toc100024"/>
      <w:r>
        <w:rPr>
          <w:rFonts w:ascii="Calibri" w:eastAsia="Microsoft YaHei"/>
          <w:b/>
          <w:bCs/>
          <w:color w:val="162235"/>
          <w:sz w:val="27"/>
          <w:szCs w:val="27"/>
        </w:rPr>
        <w:t xml:space="preserve">6.1 Command Center / Dashboard (GET /api/dashboard)</w:t>
      </w:r>
      <w:bookmarkEnd w:id="100024"/>
    </w:p>
    <w:p>
      <w:pPr>
        <w:spacing w:after="120" w:line="312"/>
        <w:jc w:val="both"/>
      </w:pPr>
      <w:r>
        <w:rPr>
          <w:rFonts w:ascii="Calibri" w:eastAsia="Microsoft YaHei"/>
          <w:color w:val="000000"/>
          <w:sz w:val="22"/>
          <w:szCs w:val="22"/>
        </w:rPr>
        <w:t xml:space="preserve">Dashboard menghitung semua KPI on-the-fly tanpa tabel agregat. Data sumber dibatasi (opportunities 2000, interactions 500 terbaru, tasks/invoices/projects 2000). UI mem-polling tiap 60 detik dan setiap request memicu runSlaSweep() dengan throttle 5 menit.</w:t>
      </w:r>
    </w:p>
    <w:p>
      <w:pPr>
        <w:keepNext/>
        <w:spacing w:after="80" w:before="160" w:line="312"/>
      </w:pPr>
      <w:r>
        <w:rPr>
          <w:rFonts w:ascii="Calibri" w:eastAsia="Microsoft YaHei"/>
          <w:b/>
          <w:bCs/>
          <w:color w:val="5B6B7D"/>
          <w:sz w:val="20"/>
          <w:szCs w:val="20"/>
        </w:rPr>
        <w:t xml:space="preserve">Tabel 13 — Rumus KPI utama</w:t>
      </w:r>
    </w:p>
    <w:tbl>
      <w:tblPr>
        <w:tblW w:type="pct" w:w="5000"/>
        <w:tblBorders>
          <w:top w:val="single" w:color="1B6B7A" w:sz="6"/>
          <w:left w:val="none" w:color="FFFFFF" w:sz="0"/>
          <w:bottom w:val="single" w:color="1B6B7A" w:sz="6"/>
          <w:right w:val="none" w:color="FFFFFF" w:sz="0"/>
          <w:insideH w:val="single" w:color="C8DDE2" w:sz="2"/>
          <w:insideV w:val="none" w:color="FFFFFF" w:sz="0"/>
        </w:tblBorders>
        <w:tblLayout w:type="fixed"/>
      </w:tblPr>
      <w:tblGrid>
        <w:gridCol w:w="2285"/>
        <w:gridCol w:w="6503"/>
      </w:tblGrid>
      <w:tr>
        <w:trPr>
          <w:cantSplit/>
          <w:tblHeader/>
        </w:trPr>
        <w:tc>
          <w:tcPr>
            <w:tcW w:type="pct" w:w="13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9"/>
                <w:szCs w:val="19"/>
              </w:rPr>
              <w:t xml:space="preserve">KPI</w:t>
            </w:r>
          </w:p>
        </w:tc>
        <w:tc>
          <w:tcPr>
            <w:tcW w:type="pct" w:w="37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9"/>
                <w:szCs w:val="19"/>
              </w:rPr>
              <w:t xml:space="preserve">Rumus</w:t>
            </w:r>
          </w:p>
        </w:tc>
      </w:tr>
      <w:tr>
        <w:trPr>
          <w:cantSplit/>
        </w:trPr>
        <w:tc>
          <w:tcPr>
            <w:tcW w:type="pct" w:w="1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totalLeads</w:t>
            </w:r>
          </w:p>
        </w:tc>
        <w:tc>
          <w:tcPr>
            <w:tcW w:type="pct" w:w="3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Semua opportunity non-deleted</w:t>
            </w:r>
          </w:p>
        </w:tc>
      </w:tr>
      <w:tr>
        <w:trPr>
          <w:cantSplit/>
        </w:trPr>
        <w:tc>
          <w:tcPr>
            <w:tcW w:type="pct" w:w="1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openLeads</w:t>
            </w:r>
          </w:p>
        </w:tc>
        <w:tc>
          <w:tcPr>
            <w:tcW w:type="pct" w:w="3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Stage termasuk 9 OPEN_STAGES (pra won/lost/nurture)</w:t>
            </w:r>
          </w:p>
        </w:tc>
      </w:tr>
      <w:tr>
        <w:trPr>
          <w:cantSplit/>
        </w:trPr>
        <w:tc>
          <w:tcPr>
            <w:tcW w:type="pct" w:w="1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pipelineValue</w:t>
            </w:r>
          </w:p>
        </w:tc>
        <w:tc>
          <w:tcPr>
            <w:tcW w:type="pct" w:w="3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Σ estimatedValue untuk open deals</w:t>
            </w:r>
          </w:p>
        </w:tc>
      </w:tr>
      <w:tr>
        <w:trPr>
          <w:cantSplit/>
        </w:trPr>
        <w:tc>
          <w:tcPr>
            <w:tcW w:type="pct" w:w="1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weightedPipeline</w:t>
            </w:r>
          </w:p>
        </w:tc>
        <w:tc>
          <w:tcPr>
            <w:tcW w:type="pct" w:w="3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Σ (estimatedValue × probability / 100) untuk open deals</w:t>
            </w:r>
          </w:p>
        </w:tc>
      </w:tr>
      <w:tr>
        <w:trPr>
          <w:cantSplit/>
        </w:trPr>
        <w:tc>
          <w:tcPr>
            <w:tcW w:type="pct" w:w="1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winRate</w:t>
            </w:r>
          </w:p>
        </w:tc>
        <w:tc>
          <w:tcPr>
            <w:tcW w:type="pct" w:w="3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round(100 × won / (won + lost)); 0 bila tidak ada</w:t>
            </w:r>
          </w:p>
        </w:tc>
      </w:tr>
      <w:tr>
        <w:trPr>
          <w:cantSplit/>
        </w:trPr>
        <w:tc>
          <w:tcPr>
            <w:tcW w:type="pct" w:w="1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wonValue</w:t>
            </w:r>
          </w:p>
        </w:tc>
        <w:tc>
          <w:tcPr>
            <w:tcW w:type="pct" w:w="3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Σ estimatedValue stage won</w:t>
            </w:r>
          </w:p>
        </w:tc>
      </w:tr>
      <w:tr>
        <w:trPr>
          <w:cantSplit/>
        </w:trPr>
        <w:tc>
          <w:tcPr>
            <w:tcW w:type="pct" w:w="1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avgResponseHours</w:t>
            </w:r>
          </w:p>
        </w:tc>
        <w:tc>
          <w:tcPr>
            <w:tcW w:type="pct" w:w="3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Per opportunity: pasangkan tiap inbound dengan outbound berikutnya yang punya respondedBy; hanya pasangan dengan durasi &lt; 72 jam yang dihitung; rata-rata 1 desimal</w:t>
            </w:r>
          </w:p>
        </w:tc>
      </w:tr>
      <w:tr>
        <w:trPr>
          <w:cantSplit/>
        </w:trPr>
        <w:tc>
          <w:tcPr>
            <w:tcW w:type="pct" w:w="1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overdueTasks</w:t>
            </w:r>
          </w:p>
        </w:tc>
        <w:tc>
          <w:tcPr>
            <w:tcW w:type="pct" w:w="3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Task open dengan dueDate &lt; sekarang</w:t>
            </w:r>
          </w:p>
        </w:tc>
      </w:tr>
      <w:tr>
        <w:trPr>
          <w:cantSplit/>
        </w:trPr>
        <w:tc>
          <w:tcPr>
            <w:tcW w:type="pct" w:w="1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unassignedLeads</w:t>
            </w:r>
          </w:p>
        </w:tc>
        <w:tc>
          <w:tcPr>
            <w:tcW w:type="pct" w:w="3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Opportunity stage new tanpa ownerName</w:t>
            </w:r>
          </w:p>
        </w:tc>
      </w:tr>
      <w:tr>
        <w:trPr>
          <w:cantSplit/>
        </w:trPr>
        <w:tc>
          <w:tcPr>
            <w:tcW w:type="pct" w:w="1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outstandingInvoices</w:t>
            </w:r>
          </w:p>
        </w:tc>
        <w:tc>
          <w:tcPr>
            <w:tcW w:type="pct" w:w="3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Σ (total − Σ payments) untuk status sent, partial, overdue</w:t>
            </w:r>
          </w:p>
        </w:tc>
      </w:tr>
      <w:tr>
        <w:trPr>
          <w:cantSplit/>
        </w:trPr>
        <w:tc>
          <w:tcPr>
            <w:tcW w:type="pct" w:w="1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slaBreaches</w:t>
            </w:r>
          </w:p>
        </w:tc>
        <w:tc>
          <w:tcPr>
            <w:tcW w:type="pct" w:w="3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Lead inbound belum direspons dan belum terkonversi dengan usia &gt; brand.slaHours</w:t>
            </w:r>
          </w:p>
        </w:tc>
      </w:tr>
    </w:tbl>
    <w:p>
      <w:pPr>
        <w:spacing w:after="120" w:line="312"/>
        <w:jc w:val="both"/>
      </w:pPr>
      <w:r>
        <w:rPr>
          <w:rFonts w:ascii="Calibri" w:eastAsia="Microsoft YaHei"/>
          <w:color w:val="000000"/>
          <w:sz w:val="22"/>
          <w:szCs w:val="22"/>
        </w:rPr>
        <w:t xml:space="preserve">Breakdown yang tersedia: funnel per 12 stage (count + value), byBrand (leads/won/value open), byChannel (group leadSource), byCountry (company.country → contact → Tidak diketahui), forecast tiga bucket berbobot 0-30/31-60/61-90 hari berdasar expectedCloseDate (deal overdue masuk bucket pertama), lostReasons, marketingPerf per owner, pipelineTrend enam minggu (won-date resmi sistem = updatedAt), projectsAtRisk (dueDate &lt; 7 hari, belum completed), productionCapacity (project planning/in_progress), pendingChangeRequests, pendingApprovals, dan recentAudit 8 terakhir.</w:t>
      </w:r>
    </w:p>
    <w:p>
      <w:pPr>
        <w:spacing w:after="120" w:line="312"/>
        <w:jc w:val="both"/>
      </w:pPr>
      <w:r>
        <w:rPr>
          <w:rFonts w:ascii="Calibri" w:eastAsia="Microsoft YaHei"/>
          <w:color w:val="000000"/>
          <w:sz w:val="22"/>
          <w:szCs w:val="22"/>
        </w:rPr>
        <w:t xml:space="preserve">Role View menyediakan data scoping per peran dari sesi: mine (milik ownerName = user: open leads, pipeline value, won, task multi-assignee, topDeals, myTasks, funnel personal), finance (invoice live: outstanding, overdueCount, collected/billed bulan ini, byStatus, overdueList, outstanding per brand), production (project aktif, atRisk, inReview, pendingCRs, deliverablesPending, milestonesDueSoon, queue), dan team (hr/manager: totalUsers/activeUsers, usersByRole, task agregat). KPI global tidak terfilter brand; pemisahan per peran hanya terjadi di lapisan roleView.</w:t>
      </w:r>
    </w:p>
    <w:p>
      <w:pPr>
        <w:pStyle w:val="Heading2"/>
        <w:spacing w:after="140" w:before="280" w:line="312"/>
      </w:pPr>
      <w:bookmarkStart w:id="100025" w:name="_Toc100025"/>
      <w:r>
        <w:rPr>
          <w:rFonts w:ascii="Calibri" w:eastAsia="Microsoft YaHei"/>
          <w:b/>
          <w:bCs/>
          <w:color w:val="162235"/>
          <w:sz w:val="27"/>
          <w:szCs w:val="27"/>
        </w:rPr>
        <w:t xml:space="preserve">6.2 Lead Inbox dan SLA</w:t>
      </w:r>
      <w:bookmarkEnd w:id="100025"/>
    </w:p>
    <w:p>
      <w:pPr>
        <w:pStyle w:val="Heading3"/>
        <w:spacing w:after="110" w:before="220" w:line="312"/>
      </w:pPr>
      <w:bookmarkStart w:id="100026" w:name="_Toc100026"/>
      <w:r>
        <w:rPr>
          <w:rFonts w:ascii="Calibri" w:eastAsia="Microsoft YaHei"/>
          <w:b/>
          <w:bCs/>
          <w:color w:val="1B6B7A"/>
          <w:sz w:val="24"/>
          <w:szCs w:val="24"/>
        </w:rPr>
        <w:t xml:space="preserve">6.2.1 GET /api/inbox</w:t>
      </w:r>
      <w:bookmarkEnd w:id="100026"/>
    </w:p>
    <w:p>
      <w:pPr>
        <w:spacing w:after="120" w:line="312"/>
        <w:jc w:val="both"/>
      </w:pPr>
      <w:r>
        <w:rPr>
          <w:rFonts w:ascii="Calibri" w:eastAsia="Microsoft YaHei"/>
          <w:color w:val="000000"/>
          <w:sz w:val="22"/>
          <w:szCs w:val="22"/>
        </w:rPr>
        <w:t xml:space="preserve">Lead adalah Interaction inbound. Parameter: channel, brandId, view (open default = belum dikonversi, all, archived), contactId (fokus follow-up), dan sweep=1. Setiap lead diperkaya: slaHours (jam tunggu sejak masuk, dibandingkan UI dengan brand.slaHours), candidates (kandidat identitas skor ≥ 40 dari pool 500 kontak yang dimuat sekali per request), thread (riwayat dua arah 120 hari terakhir per threadKey — c:&lt;contactId&gt;, e:&lt;email&gt;, w:&lt;9 digit terakhir&gt;, s:&lt;handle&gt;, n:&lt;nama&gt;, atau raw:&lt;id&gt; — maks 60 pesan), dan replyChannels (kanal yang benar-benar punya alamat tujuan).</w:t>
      </w:r>
    </w:p>
    <w:p>
      <w:pPr>
        <w:spacing w:after="120" w:line="312"/>
        <w:jc w:val="both"/>
      </w:pPr>
      <w:r>
        <w:rPr>
          <w:rFonts w:ascii="Calibri" w:eastAsia="Microsoft YaHei"/>
          <w:color w:val="000000"/>
          <w:sz w:val="22"/>
          <w:szCs w:val="22"/>
        </w:rPr>
        <w:t xml:space="preserve">Efek samping bila sweep=1: (1) SLA sweep (bagian 6.3); (2) auto-unify — lead tanpa contactId dengan kandidat terbaik skor ≥ 80 otomatis tertaut ke contact dengan audit aktor Sistem (Auto-unify); (3) inferensi brand — brandId kosong diisi dari ChannelConfig.accountRef yang cocok dengan penerima/pengirim (kanal disconnected diabaikan); (4) sinkronisasi IMAP di latar belakang via after() dengan throttle 30 detik.</w:t>
      </w:r>
    </w:p>
    <w:p>
      <w:pPr>
        <w:pStyle w:val="Heading3"/>
        <w:spacing w:after="110" w:before="220" w:line="312"/>
      </w:pPr>
      <w:bookmarkStart w:id="100027" w:name="_Toc100027"/>
      <w:r>
        <w:rPr>
          <w:rFonts w:ascii="Calibri" w:eastAsia="Microsoft YaHei"/>
          <w:b/>
          <w:bCs/>
          <w:color w:val="1B6B7A"/>
          <w:sz w:val="24"/>
          <w:szCs w:val="24"/>
        </w:rPr>
        <w:t xml:space="preserve">6.2.2 POST /api/inbox/convert — konversi lead</w:t>
      </w:r>
      <w:bookmarkEnd w:id="100027"/>
    </w:p>
    <w:p>
      <w:pPr>
        <w:spacing w:after="120" w:line="312"/>
        <w:jc w:val="both"/>
      </w:pPr>
      <w:r>
        <w:rPr>
          <w:rFonts w:ascii="Calibri" w:eastAsia="Microsoft YaHei"/>
          <w:color w:val="000000"/>
          <w:sz w:val="22"/>
          <w:szCs w:val="22"/>
        </w:rPr>
        <w:t xml:space="preserve">Konversi lead menjadi contact (+company) dan opportunity dalam transaksi atomik dengan cek-ulang di dalam transaksi (anti race dua konversi bersamaan — tidak ada opportunity ganda; rollback penuh saat gagal). action link memakai contact existing; action new menduplikasi contact berdasarkan WhatsApp atau email yang sama (handle Instagram disimpan ke sosial media, bukan email); company find-or-create; mata uang mengalir: body → contact (turunan negara) → brand → IDR.</w:t>
      </w:r>
    </w:p>
    <w:p>
      <w:pPr>
        <w:spacing w:after="120" w:line="312"/>
        <w:jc w:val="both"/>
      </w:pPr>
      <w:r>
        <w:rPr>
          <w:rFonts w:ascii="Calibri" w:eastAsia="Microsoft YaHei"/>
          <w:color w:val="000000"/>
          <w:sz w:val="22"/>
          <w:szCs w:val="22"/>
        </w:rPr>
        <w:t xml:space="preserve">Opportunity hasil konversi: title default Lead baru dari {channel}, leadSource = kanal lead, brief = isi pesan, owner = user sesi, stage new. Efek samping dalam transaksi: lead tertaut (opportunityId + contactId + companyId), auto task Follow-up 1 dengan due H+24 jam priority high, dan draft ClientBrief kode BRF-{tahun}-{seq} dengan objectives = isi pesan lead. Setelah commit: thread unify — semua pesan inbound lain (120 hari) dengan identitas cocok ikut tertaut ke contact dan opportunity yang sama; audit convert.</w:t>
      </w:r>
    </w:p>
    <w:p>
      <w:pPr>
        <w:pStyle w:val="Heading3"/>
        <w:spacing w:after="110" w:before="220" w:line="312"/>
      </w:pPr>
      <w:bookmarkStart w:id="100028" w:name="_Toc100028"/>
      <w:r>
        <w:rPr>
          <w:rFonts w:ascii="Calibri" w:eastAsia="Microsoft YaHei"/>
          <w:b/>
          <w:bCs/>
          <w:color w:val="1B6B7A"/>
          <w:sz w:val="24"/>
          <w:szCs w:val="24"/>
        </w:rPr>
        <w:t xml:space="preserve">6.2.3 POST /api/inbox/respond — balas lead</w:t>
      </w:r>
      <w:bookmarkEnd w:id="100028"/>
    </w:p>
    <w:p>
      <w:pPr>
        <w:spacing w:after="120" w:line="312"/>
        <w:jc w:val="both"/>
      </w:pPr>
      <w:r>
        <w:rPr>
          <w:rFonts w:ascii="Calibri" w:eastAsia="Microsoft YaHei"/>
          <w:color w:val="000000"/>
          <w:sz w:val="22"/>
          <w:szCs w:val="22"/>
        </w:rPr>
        <w:t xml:space="preserve">Dua mode: membalas lead (interactionId) atau memulai chat ke kontak (contactId). Hanya inbound yang bisa dibalas; thread yang sudah terkonversi tetap boleh dibalas dan balasannya ikut tertaut opportunity sehingga muncul di Timeline pipeline. Kanal balasan hanya whatsapp, email, instagram, phone dan hanya bila reachableAddress tersedia (email → contact.email, WA → nomor, IG → handle, phone → telepon); kanal asal lead diutamakan. Lampiran maksimal 3 per pesan, data URL, ≤ 2 MB per file, MIME/ekstensi berbahaya ditolak. Email dikirim nyata via SMTP sadar-brand dengan status jujur (sent/failed/simulated + note); kanal non-email tercatat di CRM. Efek samping: interaction outbound dibuat, lead ditandai respondedAt (hitung mundur SLA berhenti), audit.</w:t>
      </w:r>
    </w:p>
    <w:p>
      <w:pPr>
        <w:pStyle w:val="Heading3"/>
        <w:spacing w:after="110" w:before="220" w:line="312"/>
      </w:pPr>
      <w:bookmarkStart w:id="100029" w:name="_Toc100029"/>
      <w:r>
        <w:rPr>
          <w:rFonts w:ascii="Calibri" w:eastAsia="Microsoft YaHei"/>
          <w:b/>
          <w:bCs/>
          <w:color w:val="1B6B7A"/>
          <w:sz w:val="24"/>
          <w:szCs w:val="24"/>
        </w:rPr>
        <w:t xml:space="preserve">6.2.4 Link, arsip, dan eskalasi manual</w:t>
      </w:r>
      <w:bookmarkEnd w:id="100029"/>
    </w:p>
    <w:p>
      <w:pPr>
        <w:spacing w:after="120" w:line="312"/>
        <w:jc w:val="both"/>
      </w:pPr>
      <w:r>
        <w:rPr>
          <w:rFonts w:ascii="Calibri" w:eastAsia="Microsoft YaHei"/>
          <w:color w:val="000000"/>
          <w:sz w:val="22"/>
          <w:szCs w:val="22"/>
        </w:rPr>
        <w:t xml:space="preserve">POST /api/inbox/link menggabungkan identitas ke contact tanpa konversi (lead tetap tampil di daftar Perlu Tindakan). DELETE /api/inbox/[id] mendukung mode archive (default, soft delete, dapat dipulihkan via PATCH) dan mode permanent (hanya untuk pesan yang sudah di Arsip — dua langkah). Guard: hanya inbound; pesan tertaut opportunity tidak boleh dihapus demi menjaga riwayat chat deal. POST /api/inbox/escalate membuat task internal/urgent Eskalasi SLA dengan dueDate +2 jam, assignee default Direktur (bisa dioverride), dedupe 409 bila lead sudah punya task eskalasi open, dan task juga ditautkan ke opportunity aktif milik kontak bila ada.</w:t>
      </w:r>
    </w:p>
    <w:p>
      <w:pPr>
        <w:pStyle w:val="Heading2"/>
        <w:spacing w:after="140" w:before="280" w:line="312"/>
      </w:pPr>
      <w:bookmarkStart w:id="100030" w:name="_Toc100030"/>
      <w:r>
        <w:rPr>
          <w:rFonts w:ascii="Calibri" w:eastAsia="Microsoft YaHei"/>
          <w:b/>
          <w:bCs/>
          <w:color w:val="162235"/>
          <w:sz w:val="27"/>
          <w:szCs w:val="27"/>
        </w:rPr>
        <w:t xml:space="preserve">6.3 Lead Scoring dan Identity Matching</w:t>
      </w:r>
      <w:bookmarkEnd w:id="100030"/>
    </w:p>
    <w:p>
      <w:pPr>
        <w:keepNext/>
        <w:spacing w:after="80" w:before="160" w:line="312"/>
      </w:pPr>
      <w:r>
        <w:rPr>
          <w:rFonts w:ascii="Calibri" w:eastAsia="Microsoft YaHei"/>
          <w:b/>
          <w:bCs/>
          <w:color w:val="5B6B7D"/>
          <w:sz w:val="20"/>
          <w:szCs w:val="20"/>
        </w:rPr>
        <w:t xml:space="preserve">Tabel 14 — Bobot computeLeadScore (0–100, dihitung on-the-fly)</w:t>
      </w:r>
    </w:p>
    <w:tbl>
      <w:tblPr>
        <w:tblW w:type="pct" w:w="5000"/>
        <w:tblBorders>
          <w:top w:val="single" w:color="1B6B7A" w:sz="6"/>
          <w:left w:val="none" w:color="FFFFFF" w:sz="0"/>
          <w:bottom w:val="single" w:color="1B6B7A" w:sz="6"/>
          <w:right w:val="none" w:color="FFFFFF" w:sz="0"/>
          <w:insideH w:val="single" w:color="C8DDE2" w:sz="2"/>
          <w:insideV w:val="none" w:color="FFFFFF" w:sz="0"/>
        </w:tblBorders>
        <w:tblLayout w:type="fixed"/>
      </w:tblPr>
      <w:tblGrid>
        <w:gridCol w:w="2988"/>
        <w:gridCol w:w="5800"/>
      </w:tblGrid>
      <w:tr>
        <w:trPr>
          <w:cantSplit/>
          <w:tblHeader/>
        </w:trPr>
        <w:tc>
          <w:tcPr>
            <w:tcW w:type="pct" w:w="17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9"/>
                <w:szCs w:val="19"/>
              </w:rPr>
              <w:t xml:space="preserve">Sinyal</w:t>
            </w:r>
          </w:p>
        </w:tc>
        <w:tc>
          <w:tcPr>
            <w:tcW w:type="pct" w:w="33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9"/>
                <w:szCs w:val="19"/>
              </w:rPr>
              <w:t xml:space="preserve">Bobot</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Basis</w:t>
            </w:r>
          </w:p>
        </w:tc>
        <w:tc>
          <w:tcPr>
            <w:tcW w:type="pct" w:w="3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+30</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Stage terminal</w:t>
            </w:r>
          </w:p>
        </w:tc>
        <w:tc>
          <w:tcPr>
            <w:tcW w:type="pct" w:w="3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won = 100; lost = 0</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Stage new s.d. verbal_agreement</w:t>
            </w:r>
          </w:p>
        </w:tc>
        <w:tc>
          <w:tcPr>
            <w:tcW w:type="pct" w:w="3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+0 / +4 / +8 / +12 / +14 / +16 / +18 / +20 / +25</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Temperatur</w:t>
            </w:r>
          </w:p>
        </w:tc>
        <w:tc>
          <w:tcPr>
            <w:tcW w:type="pct" w:w="3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hot +12; warm +6; cold +0 (cold tanpa interaksi −4)</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Prioritas</w:t>
            </w:r>
          </w:p>
        </w:tc>
        <w:tc>
          <w:tcPr>
            <w:tcW w:type="pct" w:w="3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urgent +8; high +5; medium +2; low 0</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Nilai estimasi</w:t>
            </w:r>
          </w:p>
        </w:tc>
        <w:tc>
          <w:tcPr>
            <w:tcW w:type="pct" w:w="3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≥500 jt +12; ≥200 jt +8; ≥50 jt +5; &gt;0 +2</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Interaksi</w:t>
            </w:r>
          </w:p>
        </w:tc>
        <w:tc>
          <w:tcPr>
            <w:tcW w:type="pct" w:w="3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≥6 +10; 3–5 +6; 1–2 +3; 0 → −6</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Expected close</w:t>
            </w:r>
          </w:p>
        </w:tc>
        <w:tc>
          <w:tcPr>
            <w:tcW w:type="pct" w:w="3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terlewat −5; ≤7 hari +8; ≤30 hari +5</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Aktivitas terakhir</w:t>
            </w:r>
          </w:p>
        </w:tc>
        <w:tc>
          <w:tcPr>
            <w:tcW w:type="pct" w:w="3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&gt;30 hari −8 (stagnan); ≤3 hari +6; ≤7 hari +3</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nextAction terisi</w:t>
            </w:r>
          </w:p>
        </w:tc>
        <w:tc>
          <w:tcPr>
            <w:tcW w:type="pct" w:w="3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+4</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Stage nurture</w:t>
            </w:r>
          </w:p>
        </w:tc>
        <w:tc>
          <w:tcPr>
            <w:tcW w:type="pct" w:w="3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skor di-cap maksimal 40</w:t>
            </w:r>
          </w:p>
        </w:tc>
      </w:tr>
    </w:tbl>
    <w:p>
      <w:pPr>
        <w:spacing w:after="120" w:line="312"/>
        <w:jc w:val="both"/>
      </w:pPr>
      <w:r>
        <w:rPr>
          <w:rFonts w:ascii="Calibri" w:eastAsia="Microsoft YaHei"/>
          <w:color w:val="000000"/>
          <w:sz w:val="22"/>
          <w:szCs w:val="22"/>
        </w:rPr>
        <w:t xml:space="preserve">Tier visual: ≥70 Hot (merah), ≥45 Warm (amber), &lt;45 Cold (cyan). Setiap komponen menghasilkan reasons[] berbahasa Indonesia. Skor tidak disimpan di database melainkan dihitung ulang setiap kali list/detail dirender.</w:t>
      </w:r>
    </w:p>
    <w:p>
      <w:pPr>
        <w:keepNext/>
        <w:spacing w:after="80" w:before="160" w:line="312"/>
      </w:pPr>
      <w:r>
        <w:rPr>
          <w:rFonts w:ascii="Calibri" w:eastAsia="Microsoft YaHei"/>
          <w:b/>
          <w:bCs/>
          <w:color w:val="5B6B7D"/>
          <w:sz w:val="20"/>
          <w:szCs w:val="20"/>
        </w:rPr>
        <w:t xml:space="preserve">Tabel 15 — Bobot identity matching (findMatchCandidates)</w:t>
      </w:r>
    </w:p>
    <w:tbl>
      <w:tblPr>
        <w:tblW w:type="pct" w:w="5000"/>
        <w:tblBorders>
          <w:top w:val="single" w:color="1B6B7A" w:sz="6"/>
          <w:left w:val="none" w:color="FFFFFF" w:sz="0"/>
          <w:bottom w:val="single" w:color="1B6B7A" w:sz="6"/>
          <w:right w:val="none" w:color="FFFFFF" w:sz="0"/>
          <w:insideH w:val="single" w:color="C8DDE2" w:sz="2"/>
          <w:insideV w:val="none" w:color="FFFFFF" w:sz="0"/>
        </w:tblBorders>
        <w:tblLayout w:type="fixed"/>
      </w:tblPr>
      <w:tblGrid>
        <w:gridCol w:w="3867"/>
        <w:gridCol w:w="2285"/>
        <w:gridCol w:w="2636"/>
      </w:tblGrid>
      <w:tr>
        <w:trPr>
          <w:cantSplit/>
          <w:tblHeader/>
        </w:trPr>
        <w:tc>
          <w:tcPr>
            <w:tcW w:type="pct" w:w="22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9"/>
                <w:szCs w:val="19"/>
              </w:rPr>
              <w:t xml:space="preserve">Sinyal kecocokan</w:t>
            </w:r>
          </w:p>
        </w:tc>
        <w:tc>
          <w:tcPr>
            <w:tcW w:type="pct" w:w="13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9"/>
                <w:szCs w:val="19"/>
              </w:rPr>
              <w:t xml:space="preserve">Bobot</w:t>
            </w:r>
          </w:p>
        </w:tc>
        <w:tc>
          <w:tcPr>
            <w:tcW w:type="pct" w:w="15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9"/>
                <w:szCs w:val="19"/>
              </w:rPr>
              <w:t xml:space="preserve">Threshold</w:t>
            </w:r>
          </w:p>
        </w:tc>
      </w:tr>
      <w:tr>
        <w:trPr>
          <w:cantSplit/>
        </w:trPr>
        <w:tc>
          <w:tcPr>
            <w:tcW w:type="pct" w:w="22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Email sama (ternormalisasi)</w:t>
            </w:r>
          </w:p>
        </w:tc>
        <w:tc>
          <w:tcPr>
            <w:tcW w:type="pct" w:w="1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+90</w:t>
            </w:r>
          </w:p>
        </w:tc>
        <w:tc>
          <w:tcPr>
            <w:tcW w:type="pct" w:w="1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persis</w:t>
            </w:r>
          </w:p>
        </w:tc>
      </w:tr>
      <w:tr>
        <w:trPr>
          <w:cantSplit/>
        </w:trPr>
        <w:tc>
          <w:tcPr>
            <w:tcW w:type="pct" w:w="22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WhatsApp sama (E.164)</w:t>
            </w:r>
          </w:p>
        </w:tc>
        <w:tc>
          <w:tcPr>
            <w:tcW w:type="pct" w:w="1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+85</w:t>
            </w:r>
          </w:p>
        </w:tc>
        <w:tc>
          <w:tcPr>
            <w:tcW w:type="pct" w:w="1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persis</w:t>
            </w:r>
          </w:p>
        </w:tc>
      </w:tr>
      <w:tr>
        <w:trPr>
          <w:cantSplit/>
        </w:trPr>
        <w:tc>
          <w:tcPr>
            <w:tcW w:type="pct" w:w="22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Telepon sama</w:t>
            </w:r>
          </w:p>
        </w:tc>
        <w:tc>
          <w:tcPr>
            <w:tcW w:type="pct" w:w="1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+70</w:t>
            </w:r>
          </w:p>
        </w:tc>
        <w:tc>
          <w:tcPr>
            <w:tcW w:type="pct" w:w="1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persis</w:t>
            </w:r>
          </w:p>
        </w:tc>
      </w:tr>
      <w:tr>
        <w:trPr>
          <w:cantSplit/>
        </w:trPr>
        <w:tc>
          <w:tcPr>
            <w:tcW w:type="pct" w:w="22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Domain perusahaan sama</w:t>
            </w:r>
          </w:p>
        </w:tc>
        <w:tc>
          <w:tcPr>
            <w:tcW w:type="pct" w:w="1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+60</w:t>
            </w:r>
          </w:p>
        </w:tc>
        <w:tc>
          <w:tcPr>
            <w:tcW w:type="pct" w:w="1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domain email/website persis</w:t>
            </w:r>
          </w:p>
        </w:tc>
      </w:tr>
      <w:tr>
        <w:trPr>
          <w:cantSplit/>
        </w:trPr>
        <w:tc>
          <w:tcPr>
            <w:tcW w:type="pct" w:w="22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Nama perusahaan mirip</w:t>
            </w:r>
          </w:p>
        </w:tc>
        <w:tc>
          <w:tcPr>
            <w:tcW w:type="pct" w:w="1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 round(sim × 0,4)</w:t>
            </w:r>
          </w:p>
        </w:tc>
        <w:tc>
          <w:tcPr>
            <w:tcW w:type="pct" w:w="1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sim ≥ 60% (Jaccard + stopword)</w:t>
            </w:r>
          </w:p>
        </w:tc>
      </w:tr>
      <w:tr>
        <w:trPr>
          <w:cantSplit/>
        </w:trPr>
        <w:tc>
          <w:tcPr>
            <w:tcW w:type="pct" w:w="22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Nama kontak mirip</w:t>
            </w:r>
          </w:p>
        </w:tc>
        <w:tc>
          <w:tcPr>
            <w:tcW w:type="pct" w:w="1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 round(sim × 0,3)</w:t>
            </w:r>
          </w:p>
        </w:tc>
        <w:tc>
          <w:tcPr>
            <w:tcW w:type="pct" w:w="15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sim ≥ 70%</w:t>
            </w:r>
          </w:p>
        </w:tc>
      </w:tr>
    </w:tbl>
    <w:p>
      <w:pPr>
        <w:spacing w:after="120" w:line="312"/>
        <w:jc w:val="both"/>
      </w:pPr>
      <w:r>
        <w:rPr>
          <w:rFonts w:ascii="Calibri" w:eastAsia="Microsoft YaHei"/>
          <w:color w:val="000000"/>
          <w:sz w:val="22"/>
          <w:szCs w:val="22"/>
        </w:rPr>
        <w:t xml:space="preserve">Skor di-cap 99 dengan maksimal 5 kandidat teratas; tiap kandidat membawa reasons[]. Ambang konsumen: Inbox menampilkan kandidat ≥ 40; auto-unify menautkan otomatis ≥ 80; scanner duplikat kontak menyebut pasangan kuat ≥ 75; saran link pada import CSV ≥ 85. Scanner duplikat (GET /api/contacts/duplicates) membandingkan semua pasangan kontak aktif (maks 500) dengan bobot tambahan: sosial media sama +80, domain perusahaan max(score, 60), nama mirip ≥ 80 (dengan sinyal lain) atau ≥ 95 mandiri; primaryId = kontak lebih tua.</w:t>
      </w:r>
    </w:p>
    <w:p>
      <w:pPr>
        <w:pStyle w:val="Heading2"/>
        <w:spacing w:after="140" w:before="280" w:line="312"/>
      </w:pPr>
      <w:bookmarkStart w:id="100031" w:name="_Toc100031"/>
      <w:r>
        <w:rPr>
          <w:rFonts w:ascii="Calibri" w:eastAsia="Microsoft YaHei"/>
          <w:b/>
          <w:bCs/>
          <w:color w:val="162235"/>
          <w:sz w:val="27"/>
          <w:szCs w:val="27"/>
        </w:rPr>
        <w:t xml:space="preserve">6.4 SLA Sweep dan Eskalasi Otomatis</w:t>
      </w:r>
      <w:bookmarkEnd w:id="100031"/>
    </w:p>
    <w:p>
      <w:pPr>
        <w:spacing w:after="120" w:line="312"/>
        <w:jc w:val="both"/>
      </w:pPr>
      <w:r>
        <w:rPr>
          <w:rFonts w:ascii="Calibri" w:eastAsia="Microsoft YaHei"/>
          <w:color w:val="000000"/>
          <w:sz w:val="22"/>
          <w:szCs w:val="22"/>
        </w:rPr>
        <w:t xml:space="preserve">Yang dipantau: Interaction inbound tanpa opportunity, belum direspons (respondedAt null), dengan usia lebih dari SLA brand ditambah grace 4 jam. Pemicu adalah GET /api/dashboard dan GET /api/inbox?sweep=1 dengan throttle in-memory 5 menit per proses (tidak ada cron eksternal). Aksi: maksimal 10 task per sweep (anti-ledakan backlog) berupa task internal/urgent berjudul Eskalasi Otomatis: respons {pengirim} dengan deskripsi ber-marker [lead:&lt;interactionId&gt;] untuk dedupe, assignee = direktur aktif pertama dari database (bukan hardcode), dueDate +2 jam, dan audit aktor SLA Bot dengan role system.</w:t>
      </w:r>
    </w:p>
    <w:p>
      <w:pPr>
        <w:pStyle w:val="Heading2"/>
        <w:spacing w:after="140" w:before="280" w:line="312"/>
      </w:pPr>
      <w:bookmarkStart w:id="100032" w:name="_Toc100032"/>
      <w:r>
        <w:rPr>
          <w:rFonts w:ascii="Calibri" w:eastAsia="Microsoft YaHei"/>
          <w:b/>
          <w:bCs/>
          <w:color w:val="162235"/>
          <w:sz w:val="27"/>
          <w:szCs w:val="27"/>
        </w:rPr>
        <w:t xml:space="preserve">6.5 Sales Pipeline — Opportunity</w:t>
      </w:r>
      <w:bookmarkEnd w:id="100032"/>
    </w:p>
    <w:p>
      <w:pPr>
        <w:spacing w:after="120" w:line="312"/>
        <w:jc w:val="both"/>
      </w:pPr>
      <w:r>
        <w:rPr>
          <w:rFonts w:ascii="Calibri" w:eastAsia="Microsoft YaHei"/>
          <w:color w:val="000000"/>
          <w:sz w:val="22"/>
          <w:szCs w:val="22"/>
        </w:rPr>
        <w:t xml:space="preserve">GET list mendukung filter stage/brandId/q/owner; pencarian q menyentuh title, serviceName, nama contact, dan nama company; include brand + contact(+company) + company + counts; sort updatedAt desc dengan batas 300 baris; tiap baris diperkaya score dan scoreReasons. POST create mewajibkan title, brandId, contactId (400/404); probability default 20, stage new, temperatur warm, prioritas medium; mata uang body → contact → brand → IDR. Efek samping: satu transaksi — create opportunity dan, bila stage new, auto task Follow-up 1 H+24 jam priority high; audit.</w:t>
      </w:r>
    </w:p>
    <w:p>
      <w:pPr>
        <w:spacing w:after="120" w:line="312"/>
        <w:jc w:val="both"/>
      </w:pPr>
      <w:r>
        <w:rPr>
          <w:rFonts w:ascii="Calibri" w:eastAsia="Microsoft YaHei"/>
          <w:color w:val="000000"/>
          <w:sz w:val="22"/>
          <w:szCs w:val="22"/>
        </w:rPr>
        <w:t xml:space="preserve">GET detail menyertakan interaksi (asc), task, notes, projects dengan milestones, invoices dengan payments, estimation, quotations, pendingApprovals (take 5), dan related opportunities (same company, take 10, diperkaya skor).</w:t>
      </w:r>
    </w:p>
    <w:p>
      <w:pPr>
        <w:spacing w:after="60" w:line="312"/>
        <w:jc w:val="both"/>
      </w:pPr>
      <w:r>
        <w:rPr>
          <w:rFonts w:ascii="Calibri" w:eastAsia="Microsoft YaHei"/>
          <w:b/>
          <w:bCs/>
          <w:color w:val="162235"/>
          <w:sz w:val="22"/>
          <w:szCs w:val="22"/>
        </w:rPr>
        <w:t xml:space="preserve">Aturan PATCH (transisi stage) — divalidasi server-side:</w:t>
      </w:r>
    </w:p>
    <w:p>
      <w:pPr>
        <w:pStyle w:val="ListParagraph"/>
        <w:numPr>
          <w:ilvl w:val="0"/>
          <w:numId w:val="1"/>
        </w:numPr>
        <w:spacing w:after="60" w:line="312"/>
        <w:jc w:val="both"/>
      </w:pPr>
      <w:r>
        <w:rPr>
          <w:rFonts w:ascii="Calibri" w:eastAsia="Microsoft YaHei"/>
          <w:color w:val="000000"/>
          <w:sz w:val="22"/>
          <w:szCs w:val="22"/>
        </w:rPr>
        <w:t xml:space="preserve">Edit hanya pemilik (ownerName = actor.name) atau pimpinan (super_admin/director); ganti ownerName/brandId/contactId hanya pimpinan; ganti brand membuat mata uang mengikuti brand baru bila masih default; ganti kontak membuat companyId ikut.</w:t>
      </w:r>
    </w:p>
    <w:p>
      <w:pPr>
        <w:pStyle w:val="ListParagraph"/>
        <w:numPr>
          <w:ilvl w:val="0"/>
          <w:numId w:val="1"/>
        </w:numPr>
        <w:spacing w:after="60" w:line="312"/>
        <w:jc w:val="both"/>
      </w:pPr>
      <w:r>
        <w:rPr>
          <w:rFonts w:ascii="Calibri" w:eastAsia="Microsoft YaHei"/>
          <w:color w:val="000000"/>
          <w:sz w:val="22"/>
          <w:szCs w:val="22"/>
        </w:rPr>
        <w:t xml:space="preserve">Allowlist stage — di luar 12 stage standar ditolak 400 (Stage tidak dikenal — gunakan standar pipeline perusahaan).</w:t>
      </w:r>
    </w:p>
    <w:p>
      <w:pPr>
        <w:pStyle w:val="ListParagraph"/>
        <w:numPr>
          <w:ilvl w:val="0"/>
          <w:numId w:val="1"/>
        </w:numPr>
        <w:spacing w:after="60" w:line="312"/>
        <w:jc w:val="both"/>
      </w:pPr>
      <w:r>
        <w:rPr>
          <w:rFonts w:ascii="Calibri" w:eastAsia="Microsoft YaHei"/>
          <w:color w:val="000000"/>
          <w:sz w:val="22"/>
          <w:szCs w:val="22"/>
        </w:rPr>
        <w:t xml:space="preserve">Menuju lost: lostReason wajib (400 bila kosong). Menuju nurture: nurtureSegment wajib.</w:t>
      </w:r>
    </w:p>
    <w:p>
      <w:pPr>
        <w:pStyle w:val="ListParagraph"/>
        <w:numPr>
          <w:ilvl w:val="0"/>
          <w:numId w:val="1"/>
        </w:numPr>
        <w:spacing w:after="60" w:line="312"/>
        <w:jc w:val="both"/>
      </w:pPr>
      <w:r>
        <w:rPr>
          <w:rFonts w:ascii="Calibri" w:eastAsia="Microsoft YaHei"/>
          <w:color w:val="000000"/>
          <w:sz w:val="22"/>
          <w:szCs w:val="22"/>
        </w:rPr>
        <w:t xml:space="preserve">Dari lost/nurture ke stage lain → reactivation = true otomatis.</w:t>
      </w:r>
    </w:p>
    <w:p>
      <w:pPr>
        <w:pStyle w:val="ListParagraph"/>
        <w:numPr>
          <w:ilvl w:val="0"/>
          <w:numId w:val="1"/>
        </w:numPr>
        <w:spacing w:after="60" w:line="312"/>
        <w:jc w:val="both"/>
      </w:pPr>
      <w:r>
        <w:rPr>
          <w:rFonts w:ascii="Calibri" w:eastAsia="Microsoft YaHei"/>
          <w:color w:val="000000"/>
          <w:sz w:val="22"/>
          <w:szCs w:val="22"/>
        </w:rPr>
        <w:t xml:space="preserve">Audit: stage_change khusus stage; update per-field lainnya dengan oldValue → newValue.</w:t>
      </w:r>
    </w:p>
    <w:p>
      <w:pPr>
        <w:spacing w:after="120" w:line="312"/>
        <w:jc w:val="both"/>
      </w:pPr>
      <w:r>
        <w:rPr>
          <w:rFonts w:ascii="Calibri" w:eastAsia="Microsoft YaHei"/>
          <w:color w:val="000000"/>
          <w:sz w:val="22"/>
          <w:szCs w:val="22"/>
        </w:rPr>
        <w:t xml:space="preserve">DELETE hanya pimpinan dan berupa soft delete (deletedAt) dengan audit.</w:t>
      </w:r>
    </w:p>
    <w:p>
      <w:pPr>
        <w:pStyle w:val="Heading2"/>
        <w:spacing w:after="140" w:before="280" w:line="312"/>
      </w:pPr>
      <w:bookmarkStart w:id="100033" w:name="_Toc100033"/>
      <w:r>
        <w:rPr>
          <w:rFonts w:ascii="Calibri" w:eastAsia="Microsoft YaHei"/>
          <w:b/>
          <w:bCs/>
          <w:color w:val="162235"/>
          <w:sz w:val="27"/>
          <w:szCs w:val="27"/>
        </w:rPr>
        <w:t xml:space="preserve">6.6 Transisi WON — handleWonTransition()</w:t>
      </w:r>
      <w:bookmarkEnd w:id="100033"/>
    </w:p>
    <w:p>
      <w:pPr>
        <w:spacing w:after="120" w:line="312"/>
        <w:jc w:val="both"/>
      </w:pPr>
      <w:r>
        <w:rPr>
          <w:rFonts w:ascii="Calibri" w:eastAsia="Microsoft YaHei"/>
          <w:color w:val="000000"/>
          <w:sz w:val="22"/>
          <w:szCs w:val="22"/>
        </w:rPr>
        <w:t xml:space="preserve">Dipicu oleh tiga pemicu: PATCH opportunity stage = won; tanda tangan quotation via secure link; dan pencatatan purchaseNumber (PO klien) pada invoice (maybeWinByPO). Semua penulisan terjadi dalam satu transaksi dengan guard idempoten — project dengan opportunityId yang sama diperiksa ulang di dalam transaksi sehingga dua konversi Won bersamaan tidak menghasilkan duplikat. Urutan orkestrasi:</w:t>
      </w:r>
    </w:p>
    <w:p>
      <w:pPr>
        <w:keepLines/>
        <w:shd w:fill="EDF3F5" w:val="clear"/>
        <w:spacing w:after="0" w:before="80" w:line="276"/>
        <w:ind w:left="360" w:right="360"/>
      </w:pPr>
      <w:r>
        <w:rPr>
          <w:rFonts w:ascii="Courier New" w:eastAsia="Microsoft YaHei"/>
          <w:color w:val="1F3A46"/>
          <w:sz w:val="19"/>
          <w:szCs w:val="19"/>
        </w:rPr>
        <w:t xml:space="preserve">1. Nomor invoice DP dibuat SEBELUM transaksi (nextDocumentNumber —</w:t>
      </w:r>
    </w:p>
    <w:p>
      <w:pPr>
        <w:keepLines/>
        <w:shd w:fill="EDF3F5" w:val="clear"/>
        <w:spacing w:after="0" w:before="0" w:line="276"/>
        <w:ind w:left="360" w:right="360"/>
      </w:pPr>
      <w:r>
        <w:rPr>
          <w:rFonts w:ascii="Courier New" w:eastAsia="Microsoft YaHei"/>
          <w:color w:val="1F3A46"/>
          <w:sz w:val="19"/>
          <w:szCs w:val="19"/>
        </w:rPr>
        <w:t xml:space="preserve">   counter di koneksi lain agar tidak ikut rollback; gagal → fallback).</w:t>
      </w:r>
    </w:p>
    <w:p>
      <w:pPr>
        <w:keepLines/>
        <w:shd w:fill="EDF3F5" w:val="clear"/>
        <w:spacing w:after="0" w:before="0" w:line="276"/>
        <w:ind w:left="360" w:right="360"/>
      </w:pPr>
      <w:r>
        <w:rPr>
          <w:rFonts w:ascii="Courier New" w:eastAsia="Microsoft YaHei"/>
          <w:color w:val="1F3A46"/>
          <w:sz w:val="19"/>
          <w:szCs w:val="19"/>
        </w:rPr>
        <w:t xml:space="preserve">2. Precedence nilai kontrak: (a) Quotation accepted (total &gt; 0),</w:t>
      </w:r>
    </w:p>
    <w:p>
      <w:pPr>
        <w:keepLines/>
        <w:shd w:fill="EDF3F5" w:val="clear"/>
        <w:spacing w:after="0" w:before="0" w:line="276"/>
        <w:ind w:left="360" w:right="360"/>
      </w:pPr>
      <w:r>
        <w:rPr>
          <w:rFonts w:ascii="Courier New" w:eastAsia="Microsoft YaHei"/>
          <w:color w:val="1F3A46"/>
          <w:sz w:val="19"/>
          <w:szCs w:val="19"/>
        </w:rPr>
        <w:t xml:space="preserve">   (b) Estimation approved (grandTotal), (c) estimatedValue, (d) 0.</w:t>
      </w:r>
    </w:p>
    <w:p>
      <w:pPr>
        <w:keepLines/>
        <w:shd w:fill="EDF3F5" w:val="clear"/>
        <w:spacing w:after="0" w:before="0" w:line="276"/>
        <w:ind w:left="360" w:right="360"/>
      </w:pPr>
      <w:r>
        <w:rPr>
          <w:rFonts w:ascii="Courier New" w:eastAsia="Microsoft YaHei"/>
          <w:color w:val="1F3A46"/>
          <w:sz w:val="19"/>
          <w:szCs w:val="19"/>
        </w:rPr>
        <w:t xml:space="preserve">   Sumber nilai dicatat (valueSource) untuk deskripsi invoice &amp; audit.</w:t>
      </w:r>
    </w:p>
    <w:p>
      <w:pPr>
        <w:keepLines/>
        <w:shd w:fill="EDF3F5" w:val="clear"/>
        <w:spacing w:after="0" w:before="0" w:line="276"/>
        <w:ind w:left="360" w:right="360"/>
      </w:pPr>
      <w:r>
        <w:rPr>
          <w:rFonts w:ascii="Courier New" w:eastAsia="Microsoft YaHei"/>
          <w:color w:val="1F3A46"/>
          <w:sz w:val="19"/>
          <w:szCs w:val="19"/>
        </w:rPr>
        <w:t xml:space="preserve">3. Project baru: kode {3 huruf slug brand}-{tahun}-{counter pad3}</w:t>
      </w:r>
    </w:p>
    <w:p>
      <w:pPr>
        <w:keepLines/>
        <w:shd w:fill="EDF3F5" w:val="clear"/>
        <w:spacing w:after="0" w:before="0" w:line="276"/>
        <w:ind w:left="360" w:right="360"/>
      </w:pPr>
      <w:r>
        <w:rPr>
          <w:rFonts w:ascii="Courier New" w:eastAsia="Microsoft YaHei"/>
          <w:color w:val="1F3A46"/>
          <w:sz w:val="19"/>
          <w:szCs w:val="19"/>
        </w:rPr>
        <w:t xml:space="preserve">   (loop anti-tabrakan); status planning; pmName = manajer aktif</w:t>
      </w:r>
    </w:p>
    <w:p>
      <w:pPr>
        <w:keepLines/>
        <w:shd w:fill="EDF3F5" w:val="clear"/>
        <w:spacing w:after="0" w:before="0" w:line="276"/>
        <w:ind w:left="360" w:right="360"/>
      </w:pPr>
      <w:r>
        <w:rPr>
          <w:rFonts w:ascii="Courier New" w:eastAsia="Microsoft YaHei"/>
          <w:color w:val="1F3A46"/>
          <w:sz w:val="19"/>
          <w:szCs w:val="19"/>
        </w:rPr>
        <w:t xml:space="preserve">   pertama dari DB (fallback direktur); startDate = now;</w:t>
      </w:r>
    </w:p>
    <w:p>
      <w:pPr>
        <w:keepLines/>
        <w:shd w:fill="EDF3F5" w:val="clear"/>
        <w:spacing w:after="0" w:before="0" w:line="276"/>
        <w:ind w:left="360" w:right="360"/>
      </w:pPr>
      <w:r>
        <w:rPr>
          <w:rFonts w:ascii="Courier New" w:eastAsia="Microsoft YaHei"/>
          <w:color w:val="1F3A46"/>
          <w:sz w:val="19"/>
          <w:szCs w:val="19"/>
        </w:rPr>
        <w:t xml:space="preserve">   dueDate = targetDeadline ?? +60 hari; budgetInternal = 62% ×</w:t>
      </w:r>
    </w:p>
    <w:p>
      <w:pPr>
        <w:keepLines/>
        <w:shd w:fill="EDF3F5" w:val="clear"/>
        <w:spacing w:after="0" w:before="0" w:line="276"/>
        <w:ind w:left="360" w:right="360"/>
      </w:pPr>
      <w:r>
        <w:rPr>
          <w:rFonts w:ascii="Courier New" w:eastAsia="Microsoft YaHei"/>
          <w:color w:val="1F3A46"/>
          <w:sz w:val="19"/>
          <w:szCs w:val="19"/>
        </w:rPr>
        <w:t xml:space="preserve">   contractValue.</w:t>
      </w:r>
    </w:p>
    <w:p>
      <w:pPr>
        <w:keepLines/>
        <w:shd w:fill="EDF3F5" w:val="clear"/>
        <w:spacing w:after="0" w:before="0" w:line="276"/>
        <w:ind w:left="360" w:right="360"/>
      </w:pPr>
      <w:r>
        <w:rPr>
          <w:rFonts w:ascii="Courier New" w:eastAsia="Microsoft YaHei"/>
          <w:color w:val="1F3A46"/>
          <w:sz w:val="19"/>
          <w:szCs w:val="19"/>
        </w:rPr>
        <w:t xml:space="preserve">4. Milestones otomatis: bila Estimation punya costCategories (RAB)</w:t>
      </w:r>
    </w:p>
    <w:p>
      <w:pPr>
        <w:keepLines/>
        <w:shd w:fill="EDF3F5" w:val="clear"/>
        <w:spacing w:after="0" w:before="0" w:line="276"/>
        <w:ind w:left="360" w:right="360"/>
      </w:pPr>
      <w:r>
        <w:rPr>
          <w:rFonts w:ascii="Courier New" w:eastAsia="Microsoft YaHei"/>
          <w:color w:val="1F3A46"/>
          <w:sz w:val="19"/>
          <w:szCs w:val="19"/>
        </w:rPr>
        <w:t xml:space="preserve">   → satu milestone per kategori RAB; selain itu → template</w:t>
      </w:r>
    </w:p>
    <w:p>
      <w:pPr>
        <w:keepLines/>
        <w:shd w:fill="EDF3F5" w:val="clear"/>
        <w:spacing w:after="0" w:before="0" w:line="276"/>
        <w:ind w:left="360" w:right="360"/>
      </w:pPr>
      <w:r>
        <w:rPr>
          <w:rFonts w:ascii="Courier New" w:eastAsia="Microsoft YaHei"/>
          <w:color w:val="1F3A46"/>
          <w:sz w:val="19"/>
          <w:szCs w:val="19"/>
        </w:rPr>
        <w:t xml:space="preserve">   workflowFor(serviceCategory); milestone pertama in_progress;</w:t>
      </w:r>
    </w:p>
    <w:p>
      <w:pPr>
        <w:keepLines/>
        <w:shd w:fill="EDF3F5" w:val="clear"/>
        <w:spacing w:after="0" w:before="0" w:line="276"/>
        <w:ind w:left="360" w:right="360"/>
      </w:pPr>
      <w:r>
        <w:rPr>
          <w:rFonts w:ascii="Courier New" w:eastAsia="Microsoft YaHei"/>
          <w:color w:val="1F3A46"/>
          <w:sz w:val="19"/>
          <w:szCs w:val="19"/>
        </w:rPr>
        <w:t xml:space="preserve">   dueDate dibagi rata sepanjang span.</w:t>
      </w:r>
    </w:p>
    <w:p>
      <w:pPr>
        <w:keepLines/>
        <w:shd w:fill="EDF3F5" w:val="clear"/>
        <w:spacing w:after="0" w:before="0" w:line="276"/>
        <w:ind w:left="360" w:right="360"/>
      </w:pPr>
      <w:r>
        <w:rPr>
          <w:rFonts w:ascii="Courier New" w:eastAsia="Microsoft YaHei"/>
          <w:color w:val="1F3A46"/>
          <w:sz w:val="19"/>
          <w:szCs w:val="19"/>
        </w:rPr>
        <w:t xml:space="preserve">5. Task produksi yang masih menempel opportunity dipindah ke project.</w:t>
      </w:r>
    </w:p>
    <w:p>
      <w:pPr>
        <w:keepLines/>
        <w:shd w:fill="EDF3F5" w:val="clear"/>
        <w:spacing w:after="0" w:before="0" w:line="276"/>
        <w:ind w:left="360" w:right="360"/>
      </w:pPr>
      <w:r>
        <w:rPr>
          <w:rFonts w:ascii="Courier New" w:eastAsia="Microsoft YaHei"/>
          <w:color w:val="1F3A46"/>
          <w:sz w:val="19"/>
          <w:szCs w:val="19"/>
        </w:rPr>
        <w:t xml:space="preserve">6. ClientBrief ter-link ke project (projectId).</w:t>
      </w:r>
    </w:p>
    <w:p>
      <w:pPr>
        <w:keepLines/>
        <w:shd w:fill="EDF3F5" w:val="clear"/>
        <w:spacing w:after="0" w:before="0" w:line="276"/>
        <w:ind w:left="360" w:right="360"/>
      </w:pPr>
      <w:r>
        <w:rPr>
          <w:rFonts w:ascii="Courier New" w:eastAsia="Microsoft YaHei"/>
          <w:color w:val="1F3A46"/>
          <w:sz w:val="19"/>
          <w:szCs w:val="19"/>
        </w:rPr>
        <w:t xml:space="preserve">7. Portal token klien auto-create bila perusahaan belum punya token</w:t>
      </w:r>
    </w:p>
    <w:p>
      <w:pPr>
        <w:keepLines/>
        <w:shd w:fill="EDF3F5" w:val="clear"/>
        <w:spacing w:after="0" w:before="0" w:line="276"/>
        <w:ind w:left="360" w:right="360"/>
      </w:pPr>
      <w:r>
        <w:rPr>
          <w:rFonts w:ascii="Courier New" w:eastAsia="Microsoft YaHei"/>
          <w:color w:val="1F3A46"/>
          <w:sz w:val="19"/>
          <w:szCs w:val="19"/>
        </w:rPr>
        <w:t xml:space="preserve">   aktif (48-hex, label Portal {code}).</w:t>
      </w:r>
    </w:p>
    <w:p>
      <w:pPr>
        <w:keepLines/>
        <w:shd w:fill="EDF3F5" w:val="clear"/>
        <w:spacing w:after="0" w:before="0" w:line="276"/>
        <w:ind w:left="360" w:right="360"/>
      </w:pPr>
      <w:r>
        <w:rPr>
          <w:rFonts w:ascii="Courier New" w:eastAsia="Microsoft YaHei"/>
          <w:color w:val="1F3A46"/>
          <w:sz w:val="19"/>
          <w:szCs w:val="19"/>
        </w:rPr>
        <w:t xml:space="preserve">8. Draft Invoice DP 50% (representasi Unicam): amount = nilai kontrak</w:t>
      </w:r>
    </w:p>
    <w:p>
      <w:pPr>
        <w:keepLines/>
        <w:shd w:fill="EDF3F5" w:val="clear"/>
        <w:spacing w:after="0" w:before="0" w:line="276"/>
        <w:ind w:left="360" w:right="360"/>
      </w:pPr>
      <w:r>
        <w:rPr>
          <w:rFonts w:ascii="Courier New" w:eastAsia="Microsoft YaHei"/>
          <w:color w:val="1F3A46"/>
          <w:sz w:val="19"/>
          <w:szCs w:val="19"/>
        </w:rPr>
        <w:t xml:space="preserve">   PENUH, downPaymentPct = 50, taxMode add, PPN 11% dari dasar DP,</w:t>
      </w:r>
    </w:p>
    <w:p>
      <w:pPr>
        <w:keepLines/>
        <w:shd w:fill="EDF3F5" w:val="clear"/>
        <w:spacing w:after="0" w:before="0" w:line="276"/>
        <w:ind w:left="360" w:right="360"/>
      </w:pPr>
      <w:r>
        <w:rPr>
          <w:rFonts w:ascii="Courier New" w:eastAsia="Microsoft YaHei"/>
          <w:color w:val="1F3A46"/>
          <w:sz w:val="19"/>
          <w:szCs w:val="19"/>
        </w:rPr>
        <w:t xml:space="preserve">   total = DP + PPN, status draft, jatuh tempo +14 hari.</w:t>
      </w:r>
    </w:p>
    <w:p>
      <w:pPr>
        <w:keepLines/>
        <w:shd w:fill="EDF3F5" w:val="clear"/>
        <w:spacing w:after="0" w:before="0" w:line="276"/>
        <w:ind w:left="360" w:right="360"/>
      </w:pPr>
      <w:r>
        <w:rPr>
          <w:rFonts w:ascii="Courier New" w:eastAsia="Microsoft YaHei"/>
          <w:color w:val="1F3A46"/>
          <w:sz w:val="19"/>
          <w:szCs w:val="19"/>
        </w:rPr>
        <w:t xml:space="preserve">9. Setelah transaksi: audit create entity project + Web Push ke role</w:t>
      </w:r>
    </w:p>
    <w:p>
      <w:pPr>
        <w:keepLines/>
        <w:shd w:fill="EDF3F5" w:val="clear"/>
        <w:spacing w:after="0" w:before="0" w:line="276"/>
        <w:ind w:left="360" w:right="360"/>
      </w:pPr>
      <w:r>
        <w:rPr>
          <w:rFonts w:ascii="Courier New" w:eastAsia="Microsoft YaHei"/>
          <w:color w:val="1F3A46"/>
          <w:sz w:val="19"/>
          <w:szCs w:val="19"/>
        </w:rPr>
        <w:t xml:space="preserve">   director, super_admin, manager, production, finance (exclude aktor):</w:t>
      </w:r>
    </w:p>
    <w:p>
      <w:pPr>
        <w:keepLines/>
        <w:shd w:fill="EDF3F5" w:val="clear"/>
        <w:spacing w:after="160" w:before="0" w:line="276"/>
        <w:ind w:left="360" w:right="360"/>
      </w:pPr>
      <w:r>
        <w:rPr>
          <w:rFonts w:ascii="Courier New" w:eastAsia="Microsoft YaHei"/>
          <w:color w:val="1F3A46"/>
          <w:sz w:val="19"/>
          <w:szCs w:val="19"/>
        </w:rPr>
        <w:t xml:space="preserve">   Deal Won + project code, url /?modul=projects.</w:t>
      </w:r>
    </w:p>
    <w:p>
      <w:pPr>
        <w:pStyle w:val="Heading2"/>
        <w:spacing w:after="140" w:before="280" w:line="312"/>
      </w:pPr>
      <w:bookmarkStart w:id="100034" w:name="_Toc100034"/>
      <w:r>
        <w:rPr>
          <w:rFonts w:ascii="Calibri" w:eastAsia="Microsoft YaHei"/>
          <w:b/>
          <w:bCs/>
          <w:color w:val="162235"/>
          <w:sz w:val="27"/>
          <w:szCs w:val="27"/>
        </w:rPr>
        <w:t xml:space="preserve">6.7 Workflow Brief → Estimasi → Quotation</w:t>
      </w:r>
      <w:bookmarkEnd w:id="100034"/>
    </w:p>
    <w:p>
      <w:pPr>
        <w:pStyle w:val="Heading3"/>
        <w:spacing w:after="110" w:before="220" w:line="312"/>
      </w:pPr>
      <w:bookmarkStart w:id="100035" w:name="_Toc100035"/>
      <w:r>
        <w:rPr>
          <w:rFonts w:ascii="Calibri" w:eastAsia="Microsoft YaHei"/>
          <w:b/>
          <w:bCs/>
          <w:color w:val="1B6B7A"/>
          <w:sz w:val="24"/>
          <w:szCs w:val="24"/>
        </w:rPr>
        <w:t xml:space="preserve">6.7.1 ClientBrief (/api/briefs)</w:t>
      </w:r>
      <w:bookmarkEnd w:id="100035"/>
    </w:p>
    <w:p>
      <w:pPr>
        <w:spacing w:after="120" w:line="312"/>
        <w:jc w:val="both"/>
      </w:pPr>
      <w:r>
        <w:rPr>
          <w:rFonts w:ascii="Calibri" w:eastAsia="Microsoft YaHei"/>
          <w:color w:val="000000"/>
          <w:sz w:val="22"/>
          <w:szCs w:val="22"/>
        </w:rPr>
        <w:t xml:space="preserve">Satu brief per opportunity (sudah ada → 409) dengan kode BRF-YYYY-#### (retry 5×). Transisi status whitelist: draft → in_review; revision → in_review atau draft; in_review → approved atau revision; approved → draft. Transisi ilegal ditolak 422. Aksi: submit (push ke director/super_admin/finance), approve (push ke pembuat — lanjut ke penawaran), request_revision (revisionNote wajib), reopen (mengosongkan approval fields). Save ditolak bila status approved; hapus hanya draft. Kelengkapan brief dihitung atas 9 bagian (Judul, Layanan, Tujuan, Audiens, Pesan kunci, Deliverables, Timeline, Budget, Referensi). Setiap transisi men-bump opportunity.updatedAt agar urutan aktivitas pipeline tetap segar.</w:t>
      </w:r>
    </w:p>
    <w:p>
      <w:pPr>
        <w:pStyle w:val="Heading3"/>
        <w:spacing w:after="110" w:before="220" w:line="312"/>
      </w:pPr>
      <w:bookmarkStart w:id="100036" w:name="_Toc100036"/>
      <w:r>
        <w:rPr>
          <w:rFonts w:ascii="Calibri" w:eastAsia="Microsoft YaHei"/>
          <w:b/>
          <w:bCs/>
          <w:color w:val="1B6B7A"/>
          <w:sz w:val="24"/>
          <w:szCs w:val="24"/>
        </w:rPr>
        <w:t xml:space="preserve">6.7.2 Estimation / RAB</w:t>
      </w:r>
      <w:bookmarkEnd w:id="100036"/>
    </w:p>
    <w:p>
      <w:pPr>
        <w:spacing w:after="120" w:line="312"/>
        <w:jc w:val="both"/>
      </w:pPr>
      <w:r>
        <w:rPr>
          <w:rFonts w:ascii="Calibri" w:eastAsia="Microsoft YaHei"/>
          <w:color w:val="000000"/>
          <w:sz w:val="22"/>
          <w:szCs w:val="22"/>
        </w:rPr>
        <w:t xml:space="preserve">GET bila belum ada akan auto-create draft kosong (revenue = estimatedValue ?? null). PUT menolak perubahan bila status bukan draft/rejected (terkunci setelah diajukan/disetujui). RAB bertingkat (costCategories) dibatasi maks 30 kategori × 50 item dengan nama kategori unik; subtotal dihitung ulang server; bila aktif, sembilan kolom biaya legacy dinolkan untuk mencegah dobel hitung. Pajak: taxName null berarti tanpa pajak (taxPct dipaksa 0); currency dari allowlist 9 kode; fxRate hanya untuk non-IDR. submit = true menuntut revenue &gt; 0 (400), lalu status menjadi pending_approval dan ApprovalRequest dibuat (amount = grandTotal, note Margin X% · Cost Y). Bila revenue &gt; 0, opportunity.estimatedValue disinkronkan; audit mencatat Revenue dan Margin.</w:t>
      </w:r>
    </w:p>
    <w:p>
      <w:pPr>
        <w:keepLines/>
        <w:shd w:fill="EDF3F5" w:val="clear"/>
        <w:spacing w:after="0" w:before="80" w:line="276"/>
        <w:ind w:left="360" w:right="360"/>
      </w:pPr>
      <w:r>
        <w:rPr>
          <w:rFonts w:ascii="Courier New" w:eastAsia="Microsoft YaHei"/>
          <w:color w:val="1F3A46"/>
          <w:sz w:val="19"/>
          <w:szCs w:val="19"/>
        </w:rPr>
        <w:t xml:space="preserve">totalCost      = categoriesTotal | itemsTotal | Σ 9 kolom legacy</w:t>
      </w:r>
    </w:p>
    <w:p>
      <w:pPr>
        <w:keepLines/>
        <w:shd w:fill="EDF3F5" w:val="clear"/>
        <w:spacing w:after="0" w:before="0" w:line="276"/>
        <w:ind w:left="360" w:right="360"/>
      </w:pPr>
      <w:r>
        <w:rPr>
          <w:rFonts w:ascii="Courier New" w:eastAsia="Microsoft YaHei"/>
          <w:color w:val="1F3A46"/>
          <w:sz w:val="19"/>
          <w:szCs w:val="19"/>
        </w:rPr>
        <w:t xml:space="preserve">                 (pilihan pertama yang &gt; 0)</w:t>
      </w:r>
    </w:p>
    <w:p>
      <w:pPr>
        <w:keepLines/>
        <w:shd w:fill="EDF3F5" w:val="clear"/>
        <w:spacing w:after="0" w:before="0" w:line="276"/>
        <w:ind w:left="360" w:right="360"/>
      </w:pPr>
      <w:r>
        <w:rPr>
          <w:rFonts w:ascii="Courier New" w:eastAsia="Microsoft YaHei"/>
          <w:color w:val="1F3A46"/>
          <w:sz w:val="19"/>
          <w:szCs w:val="19"/>
        </w:rPr>
        <w:t xml:space="preserve">contingency    = round(totalCost × contingencyPct/100)   (default 5%)</w:t>
      </w:r>
    </w:p>
    <w:p>
      <w:pPr>
        <w:keepLines/>
        <w:shd w:fill="EDF3F5" w:val="clear"/>
        <w:spacing w:after="0" w:before="0" w:line="276"/>
        <w:ind w:left="360" w:right="360"/>
      </w:pPr>
      <w:r>
        <w:rPr>
          <w:rFonts w:ascii="Courier New" w:eastAsia="Microsoft YaHei"/>
          <w:color w:val="1F3A46"/>
          <w:sz w:val="19"/>
          <w:szCs w:val="19"/>
        </w:rPr>
        <w:t xml:space="preserve">managementFee  = round(totalCost × managementFeePct/100) (default 5%)</w:t>
      </w:r>
    </w:p>
    <w:p>
      <w:pPr>
        <w:keepLines/>
        <w:shd w:fill="EDF3F5" w:val="clear"/>
        <w:spacing w:after="0" w:before="0" w:line="276"/>
        <w:ind w:left="360" w:right="360"/>
      </w:pPr>
      <w:r>
        <w:rPr>
          <w:rFonts w:ascii="Courier New" w:eastAsia="Microsoft YaHei"/>
          <w:color w:val="1F3A46"/>
          <w:sz w:val="19"/>
          <w:szCs w:val="19"/>
        </w:rPr>
        <w:t xml:space="preserve">costWithFees   = totalCost + contingency + managementFee</w:t>
      </w:r>
    </w:p>
    <w:p>
      <w:pPr>
        <w:keepLines/>
        <w:shd w:fill="EDF3F5" w:val="clear"/>
        <w:spacing w:after="0" w:before="0" w:line="276"/>
        <w:ind w:left="360" w:right="360"/>
      </w:pPr>
      <w:r>
        <w:rPr>
          <w:rFonts w:ascii="Courier New" w:eastAsia="Microsoft YaHei"/>
          <w:color w:val="1F3A46"/>
          <w:sz w:val="19"/>
          <w:szCs w:val="19"/>
        </w:rPr>
        <w:t xml:space="preserve">netRevenue     = revenue − round(revenue × discountPct/100)</w:t>
      </w:r>
    </w:p>
    <w:p>
      <w:pPr>
        <w:keepLines/>
        <w:shd w:fill="EDF3F5" w:val="clear"/>
        <w:spacing w:after="0" w:before="0" w:line="276"/>
        <w:ind w:left="360" w:right="360"/>
      </w:pPr>
      <w:r>
        <w:rPr>
          <w:rFonts w:ascii="Courier New" w:eastAsia="Microsoft YaHei"/>
          <w:color w:val="1F3A46"/>
          <w:sz w:val="19"/>
          <w:szCs w:val="19"/>
        </w:rPr>
        <w:t xml:space="preserve">taxAmount      = round(netRevenue × taxPct/100)</w:t>
      </w:r>
    </w:p>
    <w:p>
      <w:pPr>
        <w:keepLines/>
        <w:shd w:fill="EDF3F5" w:val="clear"/>
        <w:spacing w:after="0" w:before="0" w:line="276"/>
        <w:ind w:left="360" w:right="360"/>
      </w:pPr>
      <w:r>
        <w:rPr>
          <w:rFonts w:ascii="Courier New" w:eastAsia="Microsoft YaHei"/>
          <w:color w:val="1F3A46"/>
          <w:sz w:val="19"/>
          <w:szCs w:val="19"/>
        </w:rPr>
        <w:t xml:space="preserve">grandTotal     = netRevenue + taxAmount</w:t>
      </w:r>
    </w:p>
    <w:p>
      <w:pPr>
        <w:keepLines/>
        <w:shd w:fill="EDF3F5" w:val="clear"/>
        <w:spacing w:after="0" w:before="0" w:line="276"/>
        <w:ind w:left="360" w:right="360"/>
      </w:pPr>
      <w:r>
        <w:rPr>
          <w:rFonts w:ascii="Courier New" w:eastAsia="Microsoft YaHei"/>
          <w:color w:val="1F3A46"/>
          <w:sz w:val="19"/>
          <w:szCs w:val="19"/>
        </w:rPr>
        <w:t xml:space="preserve">margin         = netRevenue − costWithFees</w:t>
      </w:r>
    </w:p>
    <w:p>
      <w:pPr>
        <w:keepLines/>
        <w:shd w:fill="EDF3F5" w:val="clear"/>
        <w:spacing w:after="160" w:before="0" w:line="276"/>
        <w:ind w:left="360" w:right="360"/>
      </w:pPr>
      <w:r>
        <w:rPr>
          <w:rFonts w:ascii="Courier New" w:eastAsia="Microsoft YaHei"/>
          <w:color w:val="1F3A46"/>
          <w:sz w:val="19"/>
          <w:szCs w:val="19"/>
        </w:rPr>
        <w:t xml:space="preserve">marginPct      = round(margin/netRevenue × 1000)/10</w:t>
      </w:r>
    </w:p>
    <w:p>
      <w:pPr>
        <w:spacing w:after="120" w:line="312"/>
        <w:jc w:val="both"/>
      </w:pPr>
      <w:r>
        <w:rPr>
          <w:rFonts w:ascii="Calibri" w:eastAsia="Microsoft YaHei"/>
          <w:color w:val="000000"/>
          <w:sz w:val="22"/>
          <w:szCs w:val="22"/>
        </w:rPr>
        <w:t xml:space="preserve">Endpoint autocomplete RAB (GET /api/estimations/suggestions) memindai maksimal 1000 estimasi dan mengembalikan 100 kategori / 200 item / 60 satuan terpopuler berdasar frekuensi.</w:t>
      </w:r>
    </w:p>
    <w:p>
      <w:pPr>
        <w:pStyle w:val="Heading3"/>
        <w:spacing w:after="110" w:before="220" w:line="312"/>
      </w:pPr>
      <w:bookmarkStart w:id="100037" w:name="_Toc100037"/>
      <w:r>
        <w:rPr>
          <w:rFonts w:ascii="Calibri" w:eastAsia="Microsoft YaHei"/>
          <w:b/>
          <w:bCs/>
          <w:color w:val="1B6B7A"/>
          <w:sz w:val="24"/>
          <w:szCs w:val="24"/>
        </w:rPr>
        <w:t xml:space="preserve">6.7.3 Approval (/api/approvals)</w:t>
      </w:r>
      <w:bookmarkEnd w:id="100037"/>
    </w:p>
    <w:p>
      <w:pPr>
        <w:spacing w:after="120" w:line="312"/>
        <w:jc w:val="both"/>
      </w:pPr>
      <w:r>
        <w:rPr>
          <w:rFonts w:ascii="Calibri" w:eastAsia="Microsoft YaHei"/>
          <w:color w:val="000000"/>
          <w:sz w:val="22"/>
          <w:szCs w:val="22"/>
        </w:rPr>
        <w:t xml:space="preserve">Keputusan hanya oleh director/super_admin dan hanya atas status pending. Untuk entityType estimation dengan keputusan approve: estimation menjadi approved dan quotation dibuat otomatis (autoCreateQuotationFromEstimation) — idempoten via marker auto-est:&lt;id&gt; di quotation.notes; item berupa harga per kategori RAB (rincian item disembunyikan dari klien), diskalakan proporsional agar total kategori = revenue (pembulatan IDR ke puluhan; kategori terakhir menyerap sisa); discountPct/tax mengikuti estimasi; total = grandTotal estimasi; validUntil +14 hari; penomoran via rule brand. Pipeline ikut bergerak: opportunity pada 6 stage awal (new s.d. estimation) otomatis menjadi negotiation dengan audit. Reject membuat estimation rejected.</w:t>
      </w:r>
    </w:p>
    <w:p>
      <w:pPr>
        <w:pStyle w:val="Heading3"/>
        <w:spacing w:after="110" w:before="220" w:line="312"/>
      </w:pPr>
      <w:bookmarkStart w:id="100038" w:name="_Toc100038"/>
      <w:r>
        <w:rPr>
          <w:rFonts w:ascii="Calibri" w:eastAsia="Microsoft YaHei"/>
          <w:b/>
          <w:bCs/>
          <w:color w:val="1B6B7A"/>
          <w:sz w:val="24"/>
          <w:szCs w:val="24"/>
        </w:rPr>
        <w:t xml:space="preserve">6.7.4 Quotation — lifecycle</w:t>
      </w:r>
      <w:bookmarkEnd w:id="100038"/>
    </w:p>
    <w:p>
      <w:pPr>
        <w:keepLines/>
        <w:shd w:fill="EDF3F5" w:val="clear"/>
        <w:spacing w:after="0" w:before="80" w:line="276"/>
        <w:ind w:left="360" w:right="360"/>
      </w:pPr>
      <w:r>
        <w:rPr>
          <w:rFonts w:ascii="Courier New" w:eastAsia="Microsoft YaHei"/>
          <w:color w:val="1F3A46"/>
          <w:sz w:val="19"/>
          <w:szCs w:val="19"/>
        </w:rPr>
        <w:t xml:space="preserve">draft ──send──► sent ──accept/e-sign──► accepted ──convert_invoice──► Invoice draft</w:t>
      </w:r>
    </w:p>
    <w:p>
      <w:pPr>
        <w:keepLines/>
        <w:shd w:fill="EDF3F5" w:val="clear"/>
        <w:spacing w:after="0" w:before="0" w:line="276"/>
        <w:ind w:left="360" w:right="360"/>
      </w:pPr>
      <w:r>
        <w:rPr>
          <w:rFonts w:ascii="Courier New" w:eastAsia="Microsoft YaHei"/>
          <w:color w:val="1F3A46"/>
          <w:sz w:val="19"/>
          <w:szCs w:val="19"/>
        </w:rPr>
        <w:t xml:space="preserve">                     └──reject──► rejected   (revisi: POST dengan revisionOfId</w:t>
      </w:r>
    </w:p>
    <w:p>
      <w:pPr>
        <w:keepLines/>
        <w:shd w:fill="EDF3F5" w:val="clear"/>
        <w:spacing w:after="160" w:before="0" w:line="276"/>
        <w:ind w:left="360" w:right="360"/>
      </w:pPr>
      <w:r>
        <w:rPr>
          <w:rFonts w:ascii="Courier New" w:eastAsia="Microsoft YaHei"/>
          <w:color w:val="1F3A46"/>
          <w:sz w:val="19"/>
          <w:szCs w:val="19"/>
        </w:rPr>
        <w:t xml:space="preserve">                                              → sufiks nomor 012-1)</w:t>
      </w:r>
    </w:p>
    <w:p>
      <w:pPr>
        <w:spacing w:after="120" w:line="312"/>
        <w:jc w:val="both"/>
      </w:pPr>
      <w:r>
        <w:rPr>
          <w:rFonts w:ascii="Calibri" w:eastAsia="Microsoft YaHei"/>
          <w:color w:val="000000"/>
          <w:sz w:val="22"/>
          <w:szCs w:val="22"/>
        </w:rPr>
        <w:t xml:space="preserve">Struktur: minimal 1 item; discountPct di-clamp 0–100; pajak bebas (taxName null = tanpa pajak); total = afterDiscount + taxAmount; field surat gaya Unicam; terms = jadwal TOP terstruktur — bila terisi, teks termOfPayment auto-generate format EN standar.</w:t>
      </w:r>
    </w:p>
    <w:p>
      <w:pPr>
        <w:spacing w:after="120" w:line="312"/>
        <w:jc w:val="both"/>
      </w:pPr>
      <w:r>
        <w:rPr>
          <w:rFonts w:ascii="Calibri" w:eastAsia="Microsoft YaHei"/>
          <w:color w:val="000000"/>
          <w:sz w:val="22"/>
          <w:szCs w:val="22"/>
        </w:rPr>
        <w:t xml:space="preserve">Action send (email): penerima dari body.email atau email kontak opportunity; tanpa penerima → 422; confirmLegal wajib (pengakuan kirim dokumen resmi) → 422. Membuat QuotationShareToken (magic key; keySha = SHA-256; maxOpens 3), membangun PDF (EN, kop brand), mengirim via SMTP brand disertai secure link. Gagal kirim → 502 dan tetap draft. Sukses → sent, dan opportunity stage estimation → proposal_sent, plus push. Action send non-email (whatsapp/instagram) langsung sent dengan interaction outbound tercatat. Action create_share mencabut semua token lama, membuat token + magicKey baru, password opsional (passwordSha), maxOpens 3. Action accept mengubah opportunity menjadi verbal_agreement; reject menjadi sinyal revisi. Action convert_invoice hanya untuk accepted; dedupe invoice berdasarkan description yang memuat nomor quotation ditambah cek-ulang dalam transaksi (aman double-click); invoice mewarisi subtotal/diskon/pajak/total yang identik dan terms (TOP) secara penuh; dueDate = sekarang + dueDays termin pertama dueEvent invoice (fallback +14 hari); status draft. Revisi memakai revisionOfId dengan revisionNo + 1 dan nomor bergaya 012-1/QT-UDP/I/26.</w:t>
      </w:r>
    </w:p>
    <w:p>
      <w:pPr>
        <w:pStyle w:val="Heading3"/>
        <w:spacing w:after="110" w:before="220" w:line="312"/>
      </w:pPr>
      <w:bookmarkStart w:id="100039" w:name="_Toc100039"/>
      <w:r>
        <w:rPr>
          <w:rFonts w:ascii="Calibri" w:eastAsia="Microsoft YaHei"/>
          <w:b/>
          <w:bCs/>
          <w:color w:val="1B6B7A"/>
          <w:sz w:val="24"/>
          <w:szCs w:val="24"/>
        </w:rPr>
        <w:t xml:space="preserve">6.7.5 Approval publik + e-sign (/api/public/quotation/[token])</w:t>
      </w:r>
      <w:bookmarkEnd w:id="100039"/>
    </w:p>
    <w:p>
      <w:pPr>
        <w:spacing w:after="120" w:line="312"/>
        <w:jc w:val="both"/>
      </w:pPr>
      <w:r>
        <w:rPr>
          <w:rFonts w:ascii="Calibri" w:eastAsia="Microsoft YaHei"/>
          <w:color w:val="000000"/>
          <w:sz w:val="22"/>
          <w:szCs w:val="22"/>
        </w:rPr>
        <w:t xml:space="preserve">Tanpa login. GET mengautentikasi dengan magic key ATAU password (SHA-256, timing-safe); kuota buka opens &lt; maxOpens (3), habis → 403 needsNewCode dan klien dapat meminta kode baru; ?pdf=1 mengunduh PDF tanpa menambah counter buka; payload publik memuat data quotation, brand, company, dan status tanda tangan. POST action sign: sudah ditandatangani → 409; name wajib; signature wajib PNG base64 ≤ ±650 KB (422); efeknya — quotation accepted, e-sign tersimpan, opportunity otomatis stage won (ketentuan: dokumen ditandatangani berarti WON), interaction inbound tercatat, dan audit quotation_sign dengan role client. POST action request_new_code: rate limit 3 permintaan/jam per quotation; email tujuan divalidasi ke kontak opportunity (bukan bebas); token lama dicabut lalu magic link baru dikirim.</w:t>
      </w:r>
    </w:p>
    <w:p>
      <w:pPr>
        <w:pStyle w:val="Heading2"/>
        <w:spacing w:after="140" w:before="280" w:line="312"/>
      </w:pPr>
      <w:bookmarkStart w:id="100040" w:name="_Toc100040"/>
      <w:r>
        <w:rPr>
          <w:rFonts w:ascii="Calibri" w:eastAsia="Microsoft YaHei"/>
          <w:b/>
          <w:bCs/>
          <w:color w:val="162235"/>
          <w:sz w:val="27"/>
          <w:szCs w:val="27"/>
        </w:rPr>
        <w:t xml:space="preserve">6.8 Invoice dan Pembayaran (8 action)</w:t>
      </w:r>
      <w:bookmarkEnd w:id="100040"/>
    </w:p>
    <w:p>
      <w:pPr>
        <w:spacing w:after="120" w:line="312"/>
        <w:jc w:val="both"/>
      </w:pPr>
      <w:r>
        <w:rPr>
          <w:rFonts w:ascii="Calibri" w:eastAsia="Microsoft YaHei"/>
          <w:color w:val="000000"/>
          <w:sz w:val="22"/>
          <w:szCs w:val="22"/>
        </w:rPr>
        <w:t xml:space="preserve">GET menyediakan filter status/brand/company, melakukan sweep overdue otomatis (status sent dengan dueDate lewat → overdue, idempoten tiap load), dan menghitung aging hanya untuk sent/partial/overdue: remaining = total − paid; overdueDays = floor((now − dueDate)/hari); bucket current (≤0), d30, d60, d90+ (count + amount). Include brand + payments + project + company.contacts (3 kontak untuk aksi Hubungi Klien).</w:t>
      </w:r>
    </w:p>
    <w:p>
      <w:pPr>
        <w:keepLines/>
        <w:shd w:fill="EDF3F5" w:val="clear"/>
        <w:spacing w:after="0" w:before="80" w:line="276"/>
        <w:ind w:left="360" w:right="360"/>
      </w:pPr>
      <w:r>
        <w:rPr>
          <w:rFonts w:ascii="Courier New" w:eastAsia="Microsoft YaHei"/>
          <w:color w:val="1F3A46"/>
          <w:sz w:val="19"/>
          <w:szCs w:val="19"/>
        </w:rPr>
        <w:t xml:space="preserve">discount      = min(amount, discountAmount)      → afterDiscount = amount − discount</w:t>
      </w:r>
    </w:p>
    <w:p>
      <w:pPr>
        <w:keepLines/>
        <w:shd w:fill="EDF3F5" w:val="clear"/>
        <w:spacing w:after="0" w:before="0" w:line="276"/>
        <w:ind w:left="360" w:right="360"/>
      </w:pPr>
      <w:r>
        <w:rPr>
          <w:rFonts w:ascii="Courier New" w:eastAsia="Microsoft YaHei"/>
          <w:color w:val="1F3A46"/>
          <w:sz w:val="19"/>
          <w:szCs w:val="19"/>
        </w:rPr>
        <w:t xml:space="preserve">dpAmount      = afterDiscount × downPaymentPct%  (dasar tagihan; 0% = penuh)</w:t>
      </w:r>
    </w:p>
    <w:p>
      <w:pPr>
        <w:keepLines/>
        <w:shd w:fill="EDF3F5" w:val="clear"/>
        <w:spacing w:after="0" w:before="0" w:line="276"/>
        <w:ind w:left="360" w:right="360"/>
      </w:pPr>
      <w:r>
        <w:rPr>
          <w:rFonts w:ascii="Courier New" w:eastAsia="Microsoft YaHei"/>
          <w:color w:val="1F3A46"/>
          <w:sz w:val="19"/>
          <w:szCs w:val="19"/>
        </w:rPr>
        <w:t xml:space="preserve">taxAmount     = taxName ? dpAmount × taxRate% : 0</w:t>
      </w:r>
    </w:p>
    <w:p>
      <w:pPr>
        <w:keepLines/>
        <w:shd w:fill="EDF3F5" w:val="clear"/>
        <w:spacing w:after="0" w:before="0" w:line="276"/>
        <w:ind w:left="360" w:right="360"/>
      </w:pPr>
      <w:r>
        <w:rPr>
          <w:rFonts w:ascii="Courier New" w:eastAsia="Microsoft YaHei"/>
          <w:color w:val="1F3A46"/>
          <w:sz w:val="19"/>
          <w:szCs w:val="19"/>
        </w:rPr>
        <w:t xml:space="preserve">taxMode add      → total = dpAmount + taxAmount   (PPN ditambah)</w:t>
      </w:r>
    </w:p>
    <w:p>
      <w:pPr>
        <w:keepLines/>
        <w:shd w:fill="EDF3F5" w:val="clear"/>
        <w:spacing w:after="0" w:before="0" w:line="276"/>
        <w:ind w:left="360" w:right="360"/>
      </w:pPr>
      <w:r>
        <w:rPr>
          <w:rFonts w:ascii="Courier New" w:eastAsia="Microsoft YaHei"/>
          <w:color w:val="1F3A46"/>
          <w:sz w:val="19"/>
          <w:szCs w:val="19"/>
        </w:rPr>
        <w:t xml:space="preserve">taxMode withhold → total = dpAmount − taxAmount   (PPh dipotong)</w:t>
      </w:r>
    </w:p>
    <w:p>
      <w:pPr>
        <w:keepLines/>
        <w:shd w:fill="EDF3F5" w:val="clear"/>
        <w:spacing w:after="160" w:before="0" w:line="276"/>
        <w:ind w:left="360" w:right="360"/>
      </w:pPr>
      <w:r>
        <w:rPr>
          <w:rFonts w:ascii="Courier New" w:eastAsia="Microsoft YaHei"/>
          <w:color w:val="1F3A46"/>
          <w:sz w:val="19"/>
          <w:szCs w:val="19"/>
        </w:rPr>
        <w:t xml:space="preserve">taxMode grossup  → pajak tampil Gross-Up … Less …, Total Payment = dpAmount</w:t>
      </w:r>
    </w:p>
    <w:p>
      <w:pPr>
        <w:keepNext/>
        <w:spacing w:after="80" w:before="160" w:line="312"/>
      </w:pPr>
      <w:r>
        <w:rPr>
          <w:rFonts w:ascii="Calibri" w:eastAsia="Microsoft YaHei"/>
          <w:b/>
          <w:bCs/>
          <w:color w:val="5B6B7D"/>
          <w:sz w:val="20"/>
          <w:szCs w:val="20"/>
        </w:rPr>
        <w:t xml:space="preserve">Tabel 16 — Delapan action POST /api/invoices</w:t>
      </w:r>
    </w:p>
    <w:tbl>
      <w:tblPr>
        <w:tblW w:type="pct" w:w="5000"/>
        <w:tblBorders>
          <w:top w:val="single" w:color="1B6B7A" w:sz="6"/>
          <w:left w:val="none" w:color="FFFFFF" w:sz="0"/>
          <w:bottom w:val="single" w:color="1B6B7A" w:sz="6"/>
          <w:right w:val="none" w:color="FFFFFF" w:sz="0"/>
          <w:insideH w:val="single" w:color="C8DDE2" w:sz="2"/>
          <w:insideV w:val="none" w:color="FFFFFF" w:sz="0"/>
        </w:tblBorders>
        <w:tblLayout w:type="fixed"/>
      </w:tblPr>
      <w:tblGrid>
        <w:gridCol w:w="2109"/>
        <w:gridCol w:w="6679"/>
      </w:tblGrid>
      <w:tr>
        <w:trPr>
          <w:cantSplit/>
          <w:tblHeader/>
        </w:trPr>
        <w:tc>
          <w:tcPr>
            <w:tcW w:type="pct" w:w="12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9"/>
                <w:szCs w:val="19"/>
              </w:rPr>
              <w:t xml:space="preserve">Action</w:t>
            </w:r>
          </w:p>
        </w:tc>
        <w:tc>
          <w:tcPr>
            <w:tcW w:type="pct" w:w="38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9"/>
                <w:szCs w:val="19"/>
              </w:rPr>
              <w:t xml:space="preserve">Aturan bisnis</w:t>
            </w:r>
          </w:p>
        </w:tc>
      </w:tr>
      <w:tr>
        <w:trPr>
          <w:cantSplit/>
        </w:trPr>
        <w:tc>
          <w:tcPr>
            <w:tcW w:type="pct" w:w="12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add_payment</w:t>
            </w:r>
          </w:p>
        </w:tc>
        <w:tc>
          <w:tcPr>
            <w:tcW w:type="pct" w:w="38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amount &gt; 0; invoice cancelled/paid ditolak; satu transaksi: create Payment → recompute Σ → paid bila paid ≥ total, partial bila &gt; 0; audit. (Catatan: tidak ada validasi amount ≤ sisa — overpay langsung menjadi paid.)</w:t>
            </w:r>
          </w:p>
        </w:tc>
      </w:tr>
      <w:tr>
        <w:trPr>
          <w:cantSplit/>
        </w:trPr>
        <w:tc>
          <w:tcPr>
            <w:tcW w:type="pct" w:w="12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send_invoice</w:t>
            </w:r>
          </w:p>
        </w:tc>
        <w:tc>
          <w:tcPr>
            <w:tcW w:type="pct" w:w="38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hanya draft; email wajib; confirmLegal wajib; build PDF invoice (EN) → kirim SMTP brand; gagal → 502 tetap draft; sukses → sent, issueDate = now, dueDate default +14 hari; push director/super_admin/finance; interaction + audit email_document</w:t>
            </w:r>
          </w:p>
        </w:tc>
      </w:tr>
      <w:tr>
        <w:trPr>
          <w:cantSplit/>
        </w:trPr>
        <w:tc>
          <w:tcPr>
            <w:tcW w:type="pct" w:w="12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cancel_invoice</w:t>
            </w:r>
          </w:p>
        </w:tc>
        <w:tc>
          <w:tcPr>
            <w:tcW w:type="pct" w:w="38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ditolak bila paid/partial atau sudah cancelled</w:t>
            </w:r>
          </w:p>
        </w:tc>
      </w:tr>
      <w:tr>
        <w:trPr>
          <w:cantSplit/>
        </w:trPr>
        <w:tc>
          <w:tcPr>
            <w:tcW w:type="pct" w:w="12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update_invoice</w:t>
            </w:r>
          </w:p>
        </w:tc>
        <w:tc>
          <w:tcPr>
            <w:tcW w:type="pct" w:w="38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hanya draft; recompute total; maybeWinByPO — bila terhubung opportunity dan purchaseNumber terisi → opportunity otomatis won + audit (Otomatis WON — nomor PO klien diterima) + push</w:t>
            </w:r>
          </w:p>
        </w:tc>
      </w:tr>
      <w:tr>
        <w:trPr>
          <w:cantSplit/>
        </w:trPr>
        <w:tc>
          <w:tcPr>
            <w:tcW w:type="pct" w:w="12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delete_payment</w:t>
            </w:r>
          </w:p>
        </w:tc>
        <w:tc>
          <w:tcPr>
            <w:tcW w:type="pct" w:w="38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butuh modul finance level full; recompute status (bisa kembali ke overdue bila dueDate lewat)</w:t>
            </w:r>
          </w:p>
        </w:tc>
      </w:tr>
      <w:tr>
        <w:trPr>
          <w:cantSplit/>
        </w:trPr>
        <w:tc>
          <w:tcPr>
            <w:tcW w:type="pct" w:w="12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create_standalone_invoice</w:t>
            </w:r>
          </w:p>
        </w:tc>
        <w:tc>
          <w:tcPr>
            <w:tcW w:type="pct" w:w="38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invoice manual tanpa project; brand+company wajib; penomoran rule brand (retry 3× → 409); currency brand</w:t>
            </w:r>
          </w:p>
        </w:tc>
      </w:tr>
      <w:tr>
        <w:trPr>
          <w:cantSplit/>
        </w:trPr>
        <w:tc>
          <w:tcPr>
            <w:tcW w:type="pct" w:w="12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create_invoice</w:t>
            </w:r>
          </w:p>
        </w:tc>
        <w:tc>
          <w:tcPr>
            <w:tcW w:type="pct" w:w="38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dari project/termin; taxRate default 11; ter-link projectId + opportunityId</w:t>
            </w:r>
          </w:p>
        </w:tc>
      </w:tr>
      <w:tr>
        <w:trPr>
          <w:cantSplit/>
        </w:trPr>
        <w:tc>
          <w:tcPr>
            <w:tcW w:type="pct" w:w="12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revise_invoice</w:t>
            </w:r>
          </w:p>
        </w:tc>
        <w:tc>
          <w:tcPr>
            <w:tcW w:type="pct" w:w="38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salin semua field dari sumber (yang tidak dikirim); nomor revisi via revisionDocumentNumber (004-1/…); revisionOfId/No/Reason; status revisi draft; sumber tidak berubah</w:t>
            </w:r>
          </w:p>
        </w:tc>
      </w:tr>
    </w:tbl>
    <w:p>
      <w:pPr>
        <w:pStyle w:val="Heading2"/>
        <w:spacing w:after="140" w:before="280" w:line="312"/>
      </w:pPr>
      <w:bookmarkStart w:id="100041" w:name="_Toc100041"/>
      <w:r>
        <w:rPr>
          <w:rFonts w:ascii="Calibri" w:eastAsia="Microsoft YaHei"/>
          <w:b/>
          <w:bCs/>
          <w:color w:val="162235"/>
          <w:sz w:val="27"/>
          <w:szCs w:val="27"/>
        </w:rPr>
        <w:t xml:space="preserve">6.9 Payment Terms / TOP</w:t>
      </w:r>
      <w:bookmarkEnd w:id="100041"/>
    </w:p>
    <w:p>
      <w:pPr>
        <w:spacing w:after="120" w:line="312"/>
        <w:jc w:val="both"/>
      </w:pPr>
      <w:r>
        <w:rPr>
          <w:rFonts w:ascii="Calibri" w:eastAsia="Microsoft YaHei"/>
          <w:color w:val="000000"/>
          <w:sz w:val="22"/>
          <w:szCs w:val="22"/>
        </w:rPr>
        <w:t xml:space="preserve">PaymentTerm {label, pct, dueDays, dueEvent} adalah jadwal TOP terstruktur yang dipakai bersama Quotation dan Invoice (JSON pada kolom terms) agar jatuh tempo selalu sinkron: sales mengisi di quotation, teks termOfPayment otomatis digenerate, dan konversi quotation → invoice mewarisi jadwal penuh tanpa input ulang. dueEvent yang sah: invoice, down_payment, bastp (setelah BASTP ditandatangani — serah terima), handover, delivery. Sanitasi: maksimal 6 baris; pct 0–100; dueDays 0–365; dueEvent whitelist; termPctSum() untuk validasi total 100% di UI. describeDueEn(event, days) menghasilkan deskripsi EN dokumen seperti upon invoice issuance atau 3 days after BASTP signed — project handover. Preset default: DP 50% upon invoice + Final 50% H+3 after BASTP.</w:t>
      </w:r>
    </w:p>
    <w:p>
      <w:pPr>
        <w:pStyle w:val="Heading2"/>
        <w:spacing w:after="140" w:before="280" w:line="312"/>
      </w:pPr>
      <w:bookmarkStart w:id="100042" w:name="_Toc100042"/>
      <w:r>
        <w:rPr>
          <w:rFonts w:ascii="Calibri" w:eastAsia="Microsoft YaHei"/>
          <w:b/>
          <w:bCs/>
          <w:color w:val="162235"/>
          <w:sz w:val="27"/>
          <w:szCs w:val="27"/>
        </w:rPr>
        <w:t xml:space="preserve">6.10 Laporan (GET /api/reports)</w:t>
      </w:r>
      <w:bookmarkEnd w:id="100042"/>
    </w:p>
    <w:p>
      <w:pPr>
        <w:spacing w:after="120" w:line="312"/>
        <w:jc w:val="both"/>
      </w:pPr>
      <w:r>
        <w:rPr>
          <w:rFonts w:ascii="Calibri" w:eastAsia="Microsoft YaHei"/>
          <w:color w:val="000000"/>
          <w:sz w:val="22"/>
          <w:szCs w:val="22"/>
        </w:rPr>
        <w:t xml:space="preserve">Parameter brandId dan days yang hanya menerima 30, 90, atau 365 (selain itu 400). Query dibatasi take 500. Enam laporan: revenuePerBrand (opportunity won dalam periode; won-date = updatedAt; count + Σ estimatedValue per brand); winRatePerService (kohort opportunity yang dibuat dalam periode, per serviceCategory: created/won/lost/winRatePct); slaCompliance (per brand: total lead, responded%, avgResponseHours, breachPct = terlambat dari SLA atau belum direspons melewati SLA, dibagi total); invoiceAging (hanya invoice jatuh tempo lewat → bucket 0-30/31-60/61-90/90+ hari); pipelinePerOwner (count, value, weighted = Σ value × probability/100); dan totals (wonValue/wonCount/lostCount/winRatePct/outstanding/avgResponseHours).</w:t>
      </w:r>
    </w:p>
    <w:p>
      <w:pPr>
        <w:pStyle w:val="Heading2"/>
        <w:spacing w:after="140" w:before="280" w:line="312"/>
      </w:pPr>
      <w:bookmarkStart w:id="100043" w:name="_Toc100043"/>
      <w:r>
        <w:rPr>
          <w:rFonts w:ascii="Calibri" w:eastAsia="Microsoft YaHei"/>
          <w:b/>
          <w:bCs/>
          <w:color w:val="162235"/>
          <w:sz w:val="27"/>
          <w:szCs w:val="27"/>
        </w:rPr>
        <w:t xml:space="preserve">6.11 Projects, Milestones, Deliverables, Change Request</w:t>
      </w:r>
      <w:bookmarkEnd w:id="100043"/>
    </w:p>
    <w:p>
      <w:pPr>
        <w:spacing w:after="120" w:line="312"/>
        <w:jc w:val="both"/>
      </w:pPr>
      <w:r>
        <w:rPr>
          <w:rFonts w:ascii="Calibri" w:eastAsia="Microsoft YaHei"/>
          <w:color w:val="000000"/>
          <w:sz w:val="22"/>
          <w:szCs w:val="22"/>
        </w:rPr>
        <w:t xml:space="preserve">POST /api/projects (pembuatan manual) mewajibkan name/brandId/companyId; kode PREFIX-YYYY-### dengan counter dan anti-tabrakan; dari opportunity berlaku aturan satu opportunity satu project (409). Milestone breakdown: body milestones[] maksimal 30 dengan durationDays/parallel/picName — due date dihitung berantai (tahap paralel mulai di posisi kursor; non-paralel menggeser kursor); tanpa breakdown dipakai template workflowFor(serviceCategory); semuanya (project + milestones + pemindahan task opportunity → project) dalam satu transaksi.</w:t>
      </w:r>
    </w:p>
    <w:p>
      <w:pPr>
        <w:spacing w:after="120" w:line="312"/>
        <w:jc w:val="both"/>
      </w:pPr>
      <w:r>
        <w:rPr>
          <w:rFonts w:ascii="Calibri" w:eastAsia="Microsoft YaHei"/>
          <w:color w:val="000000"/>
          <w:sz w:val="22"/>
          <w:szCs w:val="22"/>
        </w:rPr>
        <w:t xml:space="preserve">PATCH /api/projects: progress di-clamp 0–100; perubahan dueDate diaudit eksplisit (old → new ISO); milestoneId di body men-set status milestone (default done) lalu progress project dihitung ulang = round(done/total × 100); progress 100 mengubah status project menjadi review; push Milestone selesai. Deliverables: kind link atau file (file data URL ≤1,2 MB, dihitung dari base64 nyata, berbahaya diblokir); milestoneId wajib milik project yang sama; status pending → approved atau revision (review internal dengan reviewedBy dari sesi; review klien via portal dengan reviewedRole client); penghapusan hanya oleh pembuat atau manajemen.</w:t>
      </w:r>
    </w:p>
    <w:p>
      <w:pPr>
        <w:spacing w:after="120" w:line="312"/>
        <w:jc w:val="both"/>
      </w:pPr>
      <w:r>
        <w:rPr>
          <w:rFonts w:ascii="Calibri" w:eastAsia="Microsoft YaHei"/>
          <w:color w:val="000000"/>
          <w:sz w:val="22"/>
          <w:szCs w:val="22"/>
        </w:rPr>
        <w:t xml:space="preserve">Change Request: POST mewajibkan projectId/title/description/additionalCost; project completed/cancelled ditolak; nomor CR-YYYY-####; push ke director/super_admin. PATCH: approve/reject hanya director/super_admin; cancel boleh siapa pun yang terautentikasi; approve memakai guard race (updateMany where status pending; count 0 → 409 — mencegah dua direktur memberi efek dobel). Efek approve: project.contractValue += additionalCost, project.dueDate += additionalDays, dan bila additionalCost &gt; 0 dibuat otomatis invoice tambahan draft (PPN 11%, total = cost + PPN, dueDate +14 hari) yang di-link ke CR (unik — 1 CR maksimal 1 invoice).</w:t>
      </w:r>
    </w:p>
    <w:p>
      <w:pPr>
        <w:pStyle w:val="Heading2"/>
        <w:spacing w:after="140" w:before="280" w:line="312"/>
      </w:pPr>
      <w:bookmarkStart w:id="100044" w:name="_Toc100044"/>
      <w:r>
        <w:rPr>
          <w:rFonts w:ascii="Calibri" w:eastAsia="Microsoft YaHei"/>
          <w:b/>
          <w:bCs/>
          <w:color w:val="162235"/>
          <w:sz w:val="27"/>
          <w:szCs w:val="27"/>
        </w:rPr>
        <w:t xml:space="preserve">6.12 Client Portal dan Dokumen</w:t>
      </w:r>
      <w:bookmarkEnd w:id="100044"/>
    </w:p>
    <w:p>
      <w:pPr>
        <w:spacing w:after="120" w:line="312"/>
        <w:jc w:val="both"/>
      </w:pPr>
      <w:r>
        <w:rPr>
          <w:rFonts w:ascii="Calibri" w:eastAsia="Microsoft YaHei"/>
          <w:color w:val="000000"/>
          <w:sz w:val="22"/>
          <w:szCs w:val="22"/>
        </w:rPr>
        <w:t xml:space="preserve">Portal tokens (super_admin/director/finance untuk GET; super_admin/director untuk mutasi): token 48-hex per perusahaan; URL klien /?portal=&lt;token&gt;; PATCH active untuk mencabut, DELETE menghapus permanen (URL mati seketika). GET /api/portal/[token] bersifat publik dengan guard active dan expiresAt; accessCount bertambah; payload publik tanpa field internal memuat company, seluruh ClientDocument (termasuk fileData untuk unduh), seluruh project + deliverables + milestones (termasuk achievement), dan invoices hanya status non-draft/non-cancelled dengan ringkasan diperkaya (items, terms, taxName/Rate/Mode, DP, diskon, totalInWords EN). POST /api/portal/[token]/review menerima decision approved atau revision dengan reviewerName wajib; deliverable wajib milik perusahaan yang sama dengan tautan (403 di luar cakupan tautan); efeknya status terubah dengan reviewedRole client, audit, dan push ke production/director/super_admin. Dokumen portal (kind mou/meeting_note/document) dibatasi file data URL ≤1,2 MB dengan blokir MIME berbahaya dan audit.</w:t>
      </w:r>
    </w:p>
    <w:p>
      <w:pPr>
        <w:pStyle w:val="Heading2"/>
        <w:spacing w:after="140" w:before="280" w:line="312"/>
      </w:pPr>
      <w:bookmarkStart w:id="100045" w:name="_Toc100045"/>
      <w:r>
        <w:rPr>
          <w:rFonts w:ascii="Calibri" w:eastAsia="Microsoft YaHei"/>
          <w:b/>
          <w:bCs/>
          <w:color w:val="162235"/>
          <w:sz w:val="27"/>
          <w:szCs w:val="27"/>
        </w:rPr>
        <w:t xml:space="preserve">6.13 Kontak dan Perusahaan</w:t>
      </w:r>
      <w:bookmarkEnd w:id="100045"/>
    </w:p>
    <w:p>
      <w:pPr>
        <w:spacing w:after="120" w:line="312"/>
        <w:jc w:val="both"/>
      </w:pPr>
      <w:r>
        <w:rPr>
          <w:rFonts w:ascii="Calibri" w:eastAsia="Microsoft YaHei"/>
          <w:color w:val="000000"/>
          <w:sz w:val="22"/>
          <w:szCs w:val="22"/>
        </w:rPr>
        <w:t xml:space="preserve">Contact create/patch menormalisasi email/WA/telepon, melakukan company find-or-create, dan mengembalikan duplicateCandidates (skor ≥ 50) sebagai dedupe proaktif. Import CSV (maksimal 200 baris) berjalan dua fase: commit=false preview — deteksi duplikat intra-batch dengan prioritas email &gt; WA &gt; telepon, kandidat ≥ 50 top 3, status per baris invalid/review/auto_create, saran skip/link:&lt;id&gt; (skor teratas ≥ 85)/create; commit=true mengeksekusi keputusan — link memperkaya contact existing hanya pada field kosong (tidak menimpa data lama), create menandai tags import-csv, dengan audit batch ringkasan. Merge berjalan dalam satu transaksi: opportunity dan interaction dipindahkan dari dup ke primary, primary diperkaya field dup yang lebih lengkap (hanya bila primary kosong), lalu dup di-soft-delete. Company PATCH menegakkan nama unik case-insensitive dan menghitung ulang websiteDomain saat website berubah, dengan audit per-field.</w:t>
      </w:r>
    </w:p>
    <w:p>
      <w:pPr>
        <w:pStyle w:val="Heading2"/>
        <w:spacing w:after="140" w:before="280" w:line="312"/>
      </w:pPr>
      <w:bookmarkStart w:id="100046" w:name="_Toc100046"/>
      <w:r>
        <w:rPr>
          <w:rFonts w:ascii="Calibri" w:eastAsia="Microsoft YaHei"/>
          <w:b/>
          <w:bCs/>
          <w:color w:val="162235"/>
          <w:sz w:val="27"/>
          <w:szCs w:val="27"/>
        </w:rPr>
        <w:t xml:space="preserve">6.14 Global Search dan Notifikasi In-App</w:t>
      </w:r>
      <w:bookmarkEnd w:id="100046"/>
    </w:p>
    <w:p>
      <w:pPr>
        <w:spacing w:after="120" w:line="312"/>
        <w:jc w:val="both"/>
      </w:pPr>
      <w:r>
        <w:rPr>
          <w:rFonts w:ascii="Calibri" w:eastAsia="Microsoft YaHei"/>
          <w:color w:val="000000"/>
          <w:sz w:val="22"/>
          <w:szCs w:val="22"/>
        </w:rPr>
        <w:t xml:space="preserve">GET /api/search (q minimal 2 karakter, limit 5–10) mencari 7 entitas — Contact, Company, Opportunity, Project, Invoice, Quotation, dan lead inbox belum terkonversi — tiap item membawa module tujuan untuk lompatan command-K.</w:t>
      </w:r>
    </w:p>
    <w:p>
      <w:pPr>
        <w:spacing w:after="120" w:line="312"/>
        <w:jc w:val="both"/>
      </w:pPr>
      <w:r>
        <w:rPr>
          <w:rFonts w:ascii="Calibri" w:eastAsia="Microsoft YaHei"/>
          <w:color w:val="000000"/>
          <w:sz w:val="22"/>
          <w:szCs w:val="22"/>
        </w:rPr>
        <w:t xml:space="preserve">GET /api/notifications?user=&lt;email&gt; mengkomputasi notifikasi on-the-fly dari data operasional (maksimal 60 item, sort severity lalu waktu; state baca di NotificationState). Sembilan tipe: sla (lead inbound menunggu &gt; SLA brand — danger), message (pesan inbound belum direspons ≤ 24 jam), approval (ApprovalRequest pending), cr (ChangeRequest pending), task (task open overdue milik sendiri; ≥ 3 hari = danger), meeting (task meeting mulai ≤ 60 menit atau baru lewat ≤ 30 menit), deadline (project aktif due ≤ 7 hari / terlewat), invoice (invoice lewat due; ≥ 14 hari = danger), dan activity (AuditLog 24 jam — aksi orang lain, noise login/logout disaring). POST /api/notifications menerima action read/unread/dismiss (maksimal 200 keys). Perubahan state mengubah hash yang dipoll notif-service sehingga memicu notif:changed ke perangkat lain. Preferensi (GET/PUT /api/notif-prefs → UserPreference) menyimpan muted[] dan hideRead; offline-first: localStorage instan, PUT debounced 400 ms, sinkron antar-tab via event storage dan antar-perangkat via socket.</w:t>
      </w:r>
    </w:p>
    <w:p>
      <w:pPr>
        <w:pStyle w:val="Heading2"/>
        <w:spacing w:after="140" w:before="280" w:line="312"/>
      </w:pPr>
      <w:bookmarkStart w:id="100047" w:name="_Toc100047"/>
      <w:r>
        <w:rPr>
          <w:rFonts w:ascii="Calibri" w:eastAsia="Microsoft YaHei"/>
          <w:b/>
          <w:bCs/>
          <w:color w:val="162235"/>
          <w:sz w:val="27"/>
          <w:szCs w:val="27"/>
        </w:rPr>
        <w:t xml:space="preserve">6.15 Tasks dan Follow-up Templates</w:t>
      </w:r>
      <w:bookmarkEnd w:id="100047"/>
    </w:p>
    <w:p>
      <w:pPr>
        <w:spacing w:after="120" w:line="312"/>
        <w:jc w:val="both"/>
      </w:pPr>
      <w:r>
        <w:rPr>
          <w:rFonts w:ascii="Calibri" w:eastAsia="Microsoft YaHei"/>
          <w:color w:val="000000"/>
          <w:sz w:val="22"/>
          <w:szCs w:val="22"/>
        </w:rPr>
        <w:t xml:space="preserve">Task mendukung multi-assignee (maksimal 10, dedupe; assignee utama = assignees[0]), lampiran maksimal 5 (link wajib http(s); file data URL ≤ 5 MB; berbahaya ditolak), milestone wajib milik project yang sama, dan push VAPID ke semua assignee (kecuali pembuat) saat dibuat. Task otomatis dibuat dari empat jalur: opportunity baru stage new (Follow-up 1 H+24), konversi lead (task yang sama), SLA sweep (Eskalasi Otomatis urgent), dan eskalasi manual; saat Won, task opportunity dipindah ke project. Follow-up Template mewajibkan channel whatsapp/instagram/email, delayDays 0–30, version otomatis naik saat body berubah, diurut delayDays asc, dan dipakai frontend untuk mengisi balasan inbox.</w:t>
      </w:r>
    </w:p>
    <w:p>
      <w:pPr>
        <w:pStyle w:val="Heading2"/>
        <w:spacing w:after="140" w:before="280" w:line="312"/>
      </w:pPr>
      <w:bookmarkStart w:id="100048" w:name="_Toc100048"/>
      <w:r>
        <w:rPr>
          <w:rFonts w:ascii="Calibri" w:eastAsia="Microsoft YaHei"/>
          <w:b/>
          <w:bCs/>
          <w:color w:val="162235"/>
          <w:sz w:val="27"/>
          <w:szCs w:val="27"/>
        </w:rPr>
        <w:t xml:space="preserve">6.16 Brand Configuration dan Katalog Layanan</w:t>
      </w:r>
      <w:bookmarkEnd w:id="100048"/>
    </w:p>
    <w:p>
      <w:pPr>
        <w:spacing w:after="120" w:line="312"/>
        <w:jc w:val="both"/>
      </w:pPr>
      <w:r>
        <w:rPr>
          <w:rFonts w:ascii="Calibri" w:eastAsia="Microsoft YaHei"/>
          <w:color w:val="000000"/>
          <w:sz w:val="22"/>
          <w:szCs w:val="22"/>
        </w:rPr>
        <w:t xml:space="preserve">CRUD brand (super_admin/director) memvalidasi ketat: hex warna, slaHours 1–72, logo data URL ≤ ±3,5 MB, palette 4 warna, shortCode [A-Z0-9-] maksimal 10 (token {BRAND} penomoran), bankAccounts maksimal 6, docAssets header/footer per dokumen, npwp, signerName/Closing. Nonaktifkan via active:false (tanpa DELETE). Katalog (/api/brands/[id]/services) berupa tree kategori → layanan → workflow stages; tiap layanan memiliki costTotal dan suggestedPrice = round(costTotal × (1 + margin%), pembulatan 100.000 terdekat) dengan margin default 30%; migrasi lazy costItems legacy menjadi costCategories kategori Biaya Umum; mekanisme anti dobel hitung diterapkan.</w:t>
      </w:r>
    </w:p>
    <w:p>
      <w:pPr>
        <w:pStyle w:val="Heading2"/>
        <w:spacing w:after="140" w:before="280" w:line="312"/>
      </w:pPr>
      <w:bookmarkStart w:id="100049" w:name="_Toc100049"/>
      <w:r>
        <w:rPr>
          <w:rFonts w:ascii="Calibri" w:eastAsia="Microsoft YaHei"/>
          <w:b/>
          <w:bCs/>
          <w:color w:val="162235"/>
          <w:sz w:val="27"/>
          <w:szCs w:val="27"/>
        </w:rPr>
        <w:t xml:space="preserve">6.17 Penomoran Dokumen</w:t>
      </w:r>
      <w:bookmarkEnd w:id="100049"/>
    </w:p>
    <w:p>
      <w:pPr>
        <w:spacing w:after="120" w:line="312"/>
        <w:jc w:val="both"/>
      </w:pPr>
      <w:r>
        <w:rPr>
          <w:rFonts w:ascii="Calibri" w:eastAsia="Microsoft YaHei"/>
          <w:color w:val="000000"/>
          <w:sz w:val="22"/>
          <w:szCs w:val="22"/>
        </w:rPr>
        <w:t xml:space="preserve">Template token yang di-whitelist: {SEQ:n} (zero-pad; revisi menjadi 012-1), {SEQ}, {DOC} (kode jenis, default QT/INV), {BRAND} (shortCode brand), {ROMAN}/{roman} (bulan Romawi), {MM}, {YY}, {YYYY}. Contoh resmi: template {SEQ:3}/{DOC}-{BRAND}/{ROMAN}/{YY} menghasilkan 002/QT-UDP/I/26; revisi pertama dari seq 12 menjadi 012-1/QT-UDP/I/26.</w:t>
      </w:r>
    </w:p>
    <w:p>
      <w:pPr>
        <w:spacing w:after="120" w:line="312"/>
        <w:jc w:val="both"/>
      </w:pPr>
      <w:r>
        <w:rPr>
          <w:rFonts w:ascii="Calibri" w:eastAsia="Microsoft YaHei"/>
          <w:color w:val="000000"/>
          <w:sz w:val="22"/>
          <w:szCs w:val="22"/>
        </w:rPr>
        <w:t xml:space="preserve">nextDocumentNumber(brandId, docType) mengambil rule unik per brand+docType; tanpa rule dipakai fallback legacy (quotation {quotePrefix}-{YYYY}-{SEQ:4}; invoice {invoicePrefix}-{YYYY}-INV-{SEQ:3}); counter seq di-increment dan disimpan dengan resetKey (never, yearly 2026, monthly 2026-01); kandidat dicek unik ke tabel dokumen dan bila tabrakan seq naik (maksimal 10 percobaan). Nomor dibuat di luar transaksi utama agar counter tidak ikut rollback — pola konsisten di transisi Won dan convert_invoice. Kode lain: Project PREFIX-YYYY-NNN, ClientBrief BRF-YYYY-####, ChangeRequest CR-YYYY-####.</w:t>
      </w:r>
    </w:p>
    <w:p>
      <w:pPr>
        <w:pStyle w:val="Heading2"/>
        <w:spacing w:after="140" w:before="280" w:line="312"/>
      </w:pPr>
      <w:bookmarkStart w:id="100050" w:name="_Toc100050"/>
      <w:r>
        <w:rPr>
          <w:rFonts w:ascii="Calibri" w:eastAsia="Microsoft YaHei"/>
          <w:b/>
          <w:bCs/>
          <w:color w:val="162235"/>
          <w:sz w:val="27"/>
          <w:szCs w:val="27"/>
        </w:rPr>
        <w:t xml:space="preserve">6.18 Users dan Access</w:t>
      </w:r>
      <w:bookmarkEnd w:id="100050"/>
    </w:p>
    <w:p>
      <w:pPr>
        <w:spacing w:after="120" w:line="312"/>
        <w:jc w:val="both"/>
      </w:pPr>
      <w:r>
        <w:rPr>
          <w:rFonts w:ascii="Calibri" w:eastAsia="Microsoft YaHei"/>
          <w:color w:val="000000"/>
          <w:sz w:val="22"/>
          <w:szCs w:val="22"/>
        </w:rPr>
        <w:t xml:space="preserve">GET /api/users tanpa sesi hanya mengembalikan persona aktif minimal untuk layar login; dengan sesi mengembalikan lengkap termasuk hasPassword dan legacyPin — hash tidak pernah dikirim. POST/PATCH dijaga super_admin/director: password minimal 8 karakter, PIN 4–8 digit, keduanya scrypt; proteksi diri sendiri — tidak bisa menurunkan role sendiri atau menonaktifkan akun sendiri; efek deaktivasi langsung karena resolveActor dan session selalu memeriksa active dari database; audit berisi daftar perubahan.</w:t>
      </w:r>
    </w:p>
    <w:p>
      <w:pPr>
        <w:pStyle w:val="Heading2"/>
        <w:spacing w:after="140" w:before="280" w:line="312"/>
      </w:pPr>
      <w:bookmarkStart w:id="100051" w:name="_Toc100051"/>
      <w:r>
        <w:rPr>
          <w:rFonts w:ascii="Calibri" w:eastAsia="Microsoft YaHei"/>
          <w:b/>
          <w:bCs/>
          <w:color w:val="162235"/>
          <w:sz w:val="27"/>
          <w:szCs w:val="27"/>
        </w:rPr>
        <w:t xml:space="preserve">6.19 Public Intake Form (/api/public/intake/[token])</w:t>
      </w:r>
      <w:bookmarkEnd w:id="100051"/>
    </w:p>
    <w:p>
      <w:pPr>
        <w:spacing w:after="120" w:line="312"/>
        <w:jc w:val="both"/>
      </w:pPr>
      <w:r>
        <w:rPr>
          <w:rFonts w:ascii="Calibri" w:eastAsia="Microsoft YaHei"/>
          <w:color w:val="000000"/>
          <w:sz w:val="22"/>
          <w:szCs w:val="22"/>
        </w:rPr>
        <w:t xml:space="preserve">Form lead publik tanpa login di /?intake=&lt;token&gt;. GET meta mengembalikan brand (logo, warna, tagline), label, expiry (link mati → 410), industries (konstanta digabung nilai unik DB), knowFrom (12 opsi; other hanya tampil bila pernah dipakai), dan submissionCount. POST submit menerapkan anti-spam rate limit 10 submit/5 menit per token (429) dan validasi wajib: fullName, email valid, WhatsApp (dinormalisasi E.164, 8–15 digit), companyName, companyAddress (dipakai untuk surat), city, country, projectTitle, deadline, dan knowFrom (menjadi leadSource). Parameter lang en/id menentukan bahasa email tindak lanjut.</w:t>
      </w:r>
    </w:p>
    <w:p>
      <w:pPr>
        <w:spacing w:after="120" w:line="312"/>
        <w:jc w:val="both"/>
      </w:pPr>
      <w:r>
        <w:rPr>
          <w:rFonts w:ascii="Calibri" w:eastAsia="Microsoft YaHei"/>
          <w:color w:val="000000"/>
          <w:sz w:val="22"/>
          <w:szCs w:val="22"/>
        </w:rPr>
        <w:t xml:space="preserve">Estimasi close otomatis: deadline ≥ 3 minggu lagi → expectedCloseDate = deadline − 21 hari; mepet → besok (H+1); timelineEnd brief = deadline − 1 hari. Satu transaksi membuat/memakai: Company (reuse by domain → nama → buat baru; alamat lama yang kosong diisi), Contact (reuse by email/WA), Opportunity stage new dengan ownerName = link.createdByName (pemilik link bertanggung jawab atas lead), draft ClientBrief (deliverables maksimal 20, budget, references), Interaction timeline kanal website, penambahan submissionCount, dan audit aktor Formulir Intake (publik) role system. Email otomatis (best-effort) mengirim PDF Initial Brief (kop brand) plus link portal klien (token existing atau auto-create) secara bilingual; kegagalan SMTP tidak menggagalkan submit. Berbeda dari convert dan create opportunity, submit intake tidak membuat task follow-up otomatis.</w:t>
      </w:r>
    </w:p>
    <w:p>
      <w:pPr>
        <w:pStyle w:val="Heading2"/>
        <w:spacing w:after="140" w:before="280" w:line="312"/>
      </w:pPr>
      <w:bookmarkStart w:id="100052" w:name="_Toc100052"/>
      <w:r>
        <w:rPr>
          <w:rFonts w:ascii="Calibri" w:eastAsia="Microsoft YaHei"/>
          <w:b/>
          <w:bCs/>
          <w:color w:val="162235"/>
          <w:sz w:val="27"/>
          <w:szCs w:val="27"/>
        </w:rPr>
        <w:t xml:space="preserve">6.20 Integrasi AI</w:t>
      </w:r>
      <w:bookmarkEnd w:id="100052"/>
    </w:p>
    <w:p>
      <w:pPr>
        <w:spacing w:after="120" w:line="312"/>
        <w:jc w:val="both"/>
      </w:pPr>
      <w:r>
        <w:rPr>
          <w:rFonts w:ascii="Calibri" w:eastAsia="Microsoft YaHei"/>
          <w:color w:val="000000"/>
          <w:sz w:val="22"/>
          <w:szCs w:val="22"/>
        </w:rPr>
        <w:t xml:space="preserve">Satu-satunya pemakaian AI adalah POST /api/opportunities/[id]/summary dengan z-ai-web-dev-sdk (backend-only). Konteks mencakup opportunity, brand, contact/company, 40 interaksi terakhir, dan 10 notes terakhir. Prompt Bahasa Indonesia dengan output terstruktur empat bagian: RINGKASAN, SENTIMEN, NEXT-BEST-ACTION, dan RISIKO. Parameter model: temperature 0.4, max_tokens 600. Error menghasilkan 500. Tidak ada penyimpanan — hasil hanya dikembalikan sebagai respons.</w:t>
      </w:r>
    </w:p>
    <w:p>
      <w:pPr>
        <w:pStyle w:val="Heading2"/>
        <w:spacing w:after="140" w:before="280" w:line="312"/>
      </w:pPr>
      <w:bookmarkStart w:id="100053" w:name="_Toc100053"/>
      <w:r>
        <w:rPr>
          <w:rFonts w:ascii="Calibri" w:eastAsia="Microsoft YaHei"/>
          <w:b/>
          <w:bCs/>
          <w:color w:val="162235"/>
          <w:sz w:val="27"/>
          <w:szCs w:val="27"/>
        </w:rPr>
        <w:t xml:space="preserve">6.21 Health dan Bootstrap</w:t>
      </w:r>
      <w:bookmarkEnd w:id="100053"/>
    </w:p>
    <w:p>
      <w:pPr>
        <w:spacing w:after="120" w:line="312"/>
        <w:jc w:val="both"/>
      </w:pPr>
      <w:r>
        <w:rPr>
          <w:rFonts w:ascii="Calibri" w:eastAsia="Microsoft YaHei"/>
          <w:color w:val="000000"/>
          <w:sz w:val="22"/>
          <w:szCs w:val="22"/>
        </w:rPr>
        <w:t xml:space="preserve">GET /api/health (tanpa auth, dipakai Docker HEALTHCHECK) mem-probe database (SELECT 1 + latensi) dan notif-service (localhost:3005, timeout 2 detik); status ok atau degraded (DB down, latensi &gt; 500 ms, atau notif-service down); pemanggil anonim hanya melihat {status} — detail hanya untuk sesi sah (anti-recon). GET /api/bootstrap menjalankan seedDatabase() bila brand.count() = 0 (idempoten dengan guard anti seed ganda) lalu membalas {ready:true}. POST force reseed membutuhkan dua gerbang: sesi Super Admin aktif dan env gate (NODE_ENV !== production atau ALLOW_RESEED=1) — wipe dan reseed penuh.</w:t>
      </w:r>
    </w:p>
    <w:p>
      <w:pPr>
        <w:pStyle w:val="Heading1"/>
        <w:pageBreakBefore/>
        <w:spacing w:after="200" w:before="360" w:line="312"/>
      </w:pPr>
      <w:bookmarkStart w:id="100054" w:name="_Toc100054"/>
      <w:r>
        <w:rPr>
          <w:rFonts w:ascii="Calibri" w:eastAsia="Microsoft YaHei"/>
          <w:b/>
          <w:bCs/>
          <w:color w:val="162235"/>
          <w:sz w:val="32"/>
          <w:szCs w:val="32"/>
        </w:rPr>
        <w:t xml:space="preserve">7. Generator Dokumen PDF dan Kop Surat</w:t>
      </w:r>
      <w:bookmarkEnd w:id="100054"/>
    </w:p>
    <w:p>
      <w:pPr>
        <w:spacing w:after="120" w:line="312"/>
        <w:jc w:val="both"/>
      </w:pPr>
      <w:r>
        <w:rPr>
          <w:rFonts w:ascii="Calibri" w:eastAsia="Microsoft YaHei"/>
          <w:color w:val="000000"/>
          <w:sz w:val="22"/>
          <w:szCs w:val="22"/>
        </w:rPr>
        <w:t xml:space="preserve">src/lib/crm/doc-pdf.ts (±1021 baris) membangun PDF server-side dengan jsPDF, ukuran A4, berbahasa Inggris (untuk klien internasional) dengan nilai mata uang lokal. Kop surat: bila brand.docAssets[docType].header atau letterheadHeader berisi PNG/JPEG, gambar dirender full-bleed di atas dan footer di dasar halaman; ukuran gambar diukur dari header bytes tanpa dependency tambahan. Tanpa gambar, kop tersusun dari logo, nama brand dengan warna aksen, alamat/kota/telepon/email, dan garis aksen.</w:t>
      </w:r>
    </w:p>
    <w:p>
      <w:pPr>
        <w:keepNext/>
        <w:spacing w:after="80" w:before="160" w:line="312"/>
      </w:pPr>
      <w:r>
        <w:rPr>
          <w:rFonts w:ascii="Calibri" w:eastAsia="Microsoft YaHei"/>
          <w:b/>
          <w:bCs/>
          <w:color w:val="5B6B7D"/>
          <w:sz w:val="20"/>
          <w:szCs w:val="20"/>
        </w:rPr>
        <w:t xml:space="preserve">Tabel 17 — Tiga builder PDF</w:t>
      </w:r>
    </w:p>
    <w:tbl>
      <w:tblPr>
        <w:tblW w:type="pct" w:w="5000"/>
        <w:tblBorders>
          <w:top w:val="single" w:color="1B6B7A" w:sz="6"/>
          <w:left w:val="none" w:color="FFFFFF" w:sz="0"/>
          <w:bottom w:val="single" w:color="1B6B7A" w:sz="6"/>
          <w:right w:val="none" w:color="FFFFFF" w:sz="0"/>
          <w:insideH w:val="single" w:color="C8DDE2" w:sz="2"/>
          <w:insideV w:val="none" w:color="FFFFFF" w:sz="0"/>
        </w:tblBorders>
        <w:tblLayout w:type="fixed"/>
      </w:tblPr>
      <w:tblGrid>
        <w:gridCol w:w="1933"/>
        <w:gridCol w:w="6855"/>
      </w:tblGrid>
      <w:tr>
        <w:trPr>
          <w:cantSplit/>
          <w:tblHeader/>
        </w:trPr>
        <w:tc>
          <w:tcPr>
            <w:tcW w:type="pct" w:w="11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9"/>
                <w:szCs w:val="19"/>
              </w:rPr>
              <w:t xml:space="preserve">Builder</w:t>
            </w:r>
          </w:p>
        </w:tc>
        <w:tc>
          <w:tcPr>
            <w:tcW w:type="pct" w:w="39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9"/>
                <w:szCs w:val="19"/>
              </w:rPr>
              <w:t xml:space="preserve">Isi</w:t>
            </w:r>
          </w:p>
        </w:tc>
      </w:tr>
      <w:tr>
        <w:trPr>
          <w:cantSplit/>
        </w:trPr>
        <w:tc>
          <w:tcPr>
            <w:tcW w:type="pct" w:w="11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buildQuotationPdf</w:t>
            </w:r>
          </w:p>
        </w:tc>
        <w:tc>
          <w:tcPr>
            <w:tcW w:type="pct" w:w="39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Meta Number/Date/Attachment/Regarding → blok To/Attn./Address → paragraf pembuka → tabel item (header berwarna aksen brand) → blok total → 3 kolom gaya Unimasi (Timeline | Revision | Term of Payment) → valid-until → tanda tangan: e-sign klien bila ada (Electronically signed via secure link), else signer brand</w:t>
            </w:r>
          </w:p>
        </w:tc>
      </w:tr>
      <w:tr>
        <w:trPr>
          <w:cantSplit/>
        </w:trPr>
        <w:tc>
          <w:tcPr>
            <w:tcW w:type="pct" w:w="11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buildInvoicePdf</w:t>
            </w:r>
          </w:p>
        </w:tc>
        <w:tc>
          <w:tcPr>
            <w:tcW w:type="pct" w:w="39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Judul INVOICE + kotak No./Date → blok Project/Purchase Number + klien → tabel item → matematika gaya Unicam (discount → sub total → gross-up/less sesuai taxMode → Total Payment) → blok terbilang dua baris (Terbilang: … ID dan Amount in Words: … EN) → Term of Payment (jadwal termin + % nominal + due EN) → Payment Method (rekening bank brand, maks 3) → ttd For and on behalf of {brand}</w:t>
            </w:r>
          </w:p>
        </w:tc>
      </w:tr>
      <w:tr>
        <w:trPr>
          <w:cantSplit/>
        </w:trPr>
        <w:tc>
          <w:tcPr>
            <w:tcW w:type="pct" w:w="11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buildBriefPdf</w:t>
            </w:r>
          </w:p>
        </w:tc>
        <w:tc>
          <w:tcPr>
            <w:tcW w:type="pct" w:w="39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INITIAL PROJECT BRIEF: kop → kotak Ref/Date → blok klien → meta project → TARGET AUDIENCE / KEY MESSAGE / PROJECT GOALS → tabel DELIVERABLES → BUDGET RANGE → REFERENCES → penutup. Dilampirkan pada email konfirmasi form intake publik</w:t>
            </w:r>
          </w:p>
        </w:tc>
      </w:tr>
    </w:tbl>
    <w:p>
      <w:pPr>
        <w:spacing w:after="120" w:line="312"/>
        <w:jc w:val="both"/>
      </w:pPr>
      <w:r>
        <w:rPr>
          <w:rFonts w:ascii="Calibri" w:eastAsia="Microsoft YaHei"/>
          <w:color w:val="000000"/>
          <w:sz w:val="22"/>
          <w:szCs w:val="22"/>
        </w:rPr>
        <w:t xml:space="preserve">Terbilang (terbilang.ts + amountInWords internal) mendukung Bahasa Indonesia (contoh: Lima Belas Juta Empat Ratus Tiga Puluh Lima Ribu Rupiah) dan Inggris untuk 10 mata uang (IDR, USD, SGD, MYR, EUR, GBP, JPY, AUD, CNY, HKD). Pengiriman dokumen (doc-send.ts) menjalankan alur: kirim SMTP via kanal email brand → selalu membuat Interaction outbound yang terlink opportunity/contact/company sehingga tampil di timeline dan thread Inbox → audit email_document. Status jujur: sent, failed, atau simulated — dokumen hanya ditandai sent bila benar-benar terkirim (atau mode demo). Selain PDF server-side, tersedia print CSS A4 (#print-area) untuk mencetak quotation/invoice dari browser.</w:t>
      </w:r>
    </w:p>
    <w:p>
      <w:pPr>
        <w:pStyle w:val="Heading1"/>
        <w:pageBreakBefore/>
        <w:spacing w:after="200" w:before="360" w:line="312"/>
      </w:pPr>
      <w:bookmarkStart w:id="100055" w:name="_Toc100055"/>
      <w:r>
        <w:rPr>
          <w:rFonts w:ascii="Calibri" w:eastAsia="Microsoft YaHei"/>
          <w:b/>
          <w:bCs/>
          <w:color w:val="162235"/>
          <w:sz w:val="32"/>
          <w:szCs w:val="32"/>
        </w:rPr>
        <w:t xml:space="preserve">8. Kanal Komunikasi dan Integrasi Eksternal</w:t>
      </w:r>
      <w:bookmarkEnd w:id="100055"/>
    </w:p>
    <w:p>
      <w:pPr>
        <w:pStyle w:val="Heading2"/>
        <w:spacing w:after="140" w:before="280" w:line="312"/>
      </w:pPr>
      <w:bookmarkStart w:id="100056" w:name="_Toc100056"/>
      <w:r>
        <w:rPr>
          <w:rFonts w:ascii="Calibri" w:eastAsia="Microsoft YaHei"/>
          <w:b/>
          <w:bCs/>
          <w:color w:val="162235"/>
          <w:sz w:val="27"/>
          <w:szCs w:val="27"/>
        </w:rPr>
        <w:t xml:space="preserve">8.1 ChannelConfig per kanal</w:t>
      </w:r>
      <w:bookmarkEnd w:id="100056"/>
    </w:p>
    <w:p>
      <w:pPr>
        <w:keepNext/>
        <w:spacing w:after="80" w:before="160" w:line="312"/>
      </w:pPr>
      <w:r>
        <w:rPr>
          <w:rFonts w:ascii="Calibri" w:eastAsia="Microsoft YaHei"/>
          <w:b/>
          <w:bCs/>
          <w:color w:val="5B6B7D"/>
          <w:sz w:val="20"/>
          <w:szCs w:val="20"/>
        </w:rPr>
        <w:t xml:space="preserve">Tabel 18 — Kredensial dan verifikasi per kanal</w:t>
      </w:r>
    </w:p>
    <w:tbl>
      <w:tblPr>
        <w:tblW w:type="pct" w:w="5000"/>
        <w:tblBorders>
          <w:top w:val="single" w:color="1B6B7A" w:sz="6"/>
          <w:left w:val="none" w:color="FFFFFF" w:sz="0"/>
          <w:bottom w:val="single" w:color="1B6B7A" w:sz="6"/>
          <w:right w:val="none" w:color="FFFFFF" w:sz="0"/>
          <w:insideH w:val="single" w:color="C8DDE2" w:sz="2"/>
          <w:insideV w:val="none" w:color="FFFFFF" w:sz="0"/>
        </w:tblBorders>
        <w:tblLayout w:type="fixed"/>
      </w:tblPr>
      <w:tblGrid>
        <w:gridCol w:w="1933"/>
        <w:gridCol w:w="3515"/>
        <w:gridCol w:w="3339"/>
      </w:tblGrid>
      <w:tr>
        <w:trPr>
          <w:cantSplit/>
          <w:tblHeader/>
        </w:trPr>
        <w:tc>
          <w:tcPr>
            <w:tcW w:type="pct" w:w="11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9"/>
                <w:szCs w:val="19"/>
              </w:rPr>
              <w:t xml:space="preserve">Kanal</w:t>
            </w:r>
          </w:p>
        </w:tc>
        <w:tc>
          <w:tcPr>
            <w:tcW w:type="pct" w:w="20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9"/>
                <w:szCs w:val="19"/>
              </w:rPr>
              <w:t xml:space="preserve">Kredensial wajib</w:t>
            </w:r>
          </w:p>
        </w:tc>
        <w:tc>
          <w:tcPr>
            <w:tcW w:type="pct" w:w="19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9"/>
                <w:szCs w:val="19"/>
              </w:rPr>
              <w:t xml:space="preserve">Verifikasi nyata</w:t>
            </w:r>
          </w:p>
        </w:tc>
      </w:tr>
      <w:tr>
        <w:trPr>
          <w:cantSplit/>
        </w:trPr>
        <w:tc>
          <w:tcPr>
            <w:tcW w:type="pct" w:w="11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WhatsApp Cloud API</w:t>
            </w:r>
          </w:p>
        </w:tc>
        <w:tc>
          <w:tcPr>
            <w:tcW w:type="pct" w:w="20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phoneNumberId, accessToken, verifyToken (+appSecret opsional)</w:t>
            </w:r>
          </w:p>
        </w:tc>
        <w:tc>
          <w:tcPr>
            <w:tcW w:type="pct" w:w="19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Graph API v21.0 GET /{phoneNumberId} (verified_name, quality_rating)</w:t>
            </w:r>
          </w:p>
        </w:tc>
      </w:tr>
      <w:tr>
        <w:trPr>
          <w:cantSplit/>
        </w:trPr>
        <w:tc>
          <w:tcPr>
            <w:tcW w:type="pct" w:w="11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Instagram</w:t>
            </w:r>
          </w:p>
        </w:tc>
        <w:tc>
          <w:tcPr>
            <w:tcW w:type="pct" w:w="20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accountId, accessToken</w:t>
            </w:r>
          </w:p>
        </w:tc>
        <w:tc>
          <w:tcPr>
            <w:tcW w:type="pct" w:w="19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Graph API GET /{igUserId}</w:t>
            </w:r>
          </w:p>
        </w:tc>
      </w:tr>
      <w:tr>
        <w:trPr>
          <w:cantSplit/>
        </w:trPr>
        <w:tc>
          <w:tcPr>
            <w:tcW w:type="pct" w:w="11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Threads</w:t>
            </w:r>
          </w:p>
        </w:tc>
        <w:tc>
          <w:tcPr>
            <w:tcW w:type="pct" w:w="20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accountId, accessToken</w:t>
            </w:r>
          </w:p>
        </w:tc>
        <w:tc>
          <w:tcPr>
            <w:tcW w:type="pct" w:w="19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 (belum ada verifier; hanya mode demo/skip)</w:t>
            </w:r>
          </w:p>
        </w:tc>
      </w:tr>
      <w:tr>
        <w:trPr>
          <w:cantSplit/>
        </w:trPr>
        <w:tc>
          <w:tcPr>
            <w:tcW w:type="pct" w:w="11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Email</w:t>
            </w:r>
          </w:p>
        </w:tc>
        <w:tc>
          <w:tcPr>
            <w:tcW w:type="pct" w:w="20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provider, smtpHost, smtpUser, smtpPassword (+IMAP opsional)</w:t>
            </w:r>
          </w:p>
        </w:tc>
        <w:tc>
          <w:tcPr>
            <w:tcW w:type="pct" w:w="19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SMTP handshake+auth (nodemailer verify; 465 implicit TLS / 587 STARTTLS) + IMAP login bila diisi</w:t>
            </w:r>
          </w:p>
        </w:tc>
      </w:tr>
    </w:tbl>
    <w:p>
      <w:pPr>
        <w:spacing w:after="120" w:line="312"/>
        <w:jc w:val="both"/>
      </w:pPr>
      <w:r>
        <w:rPr>
          <w:rFonts w:ascii="Calibri" w:eastAsia="Microsoft YaHei"/>
          <w:color w:val="000000"/>
          <w:sz w:val="22"/>
          <w:szCs w:val="22"/>
        </w:rPr>
        <w:t xml:space="preserve">Kredensial selalu dimasking di respons API (••••1234); secret kosong saat update tidak menimpa nilai lama; satu koneksi per kanal+brand (409). Verifikasi nyata dilakukan sebelum status connected (kecuali skipVerification → mode demo); isDemo dipaksa false bila kredensial diganti. Demo satu-klik (POST /api/channels/demo) menyediakan preset akun asli brand dengan kredensial buatan sehingga alur penuh bisa didemokan tanpa kredensial nyata; pengiriman berstatus simulated. Wizard setup memberi panduan langkah per kanal dengan callback URL dan verify token yang dapat disalin serta preset Zoho/Gmail/Mailgun.</w:t>
      </w:r>
    </w:p>
    <w:p>
      <w:pPr>
        <w:pStyle w:val="Heading2"/>
        <w:spacing w:after="140" w:before="280" w:line="312"/>
      </w:pPr>
      <w:bookmarkStart w:id="100057" w:name="_Toc100057"/>
      <w:r>
        <w:rPr>
          <w:rFonts w:ascii="Calibri" w:eastAsia="Microsoft YaHei"/>
          <w:b/>
          <w:bCs/>
          <w:color w:val="162235"/>
          <w:sz w:val="27"/>
          <w:szCs w:val="27"/>
        </w:rPr>
        <w:t xml:space="preserve">8.2 Email keluar (SMTP) dan masuk (IMAP)</w:t>
      </w:r>
      <w:bookmarkEnd w:id="100057"/>
    </w:p>
    <w:p>
      <w:pPr>
        <w:spacing w:after="120" w:line="312"/>
        <w:jc w:val="both"/>
      </w:pPr>
      <w:r>
        <w:rPr>
          <w:rFonts w:ascii="Calibri" w:eastAsia="Microsoft YaHei"/>
          <w:color w:val="000000"/>
          <w:sz w:val="22"/>
          <w:szCs w:val="22"/>
        </w:rPr>
        <w:t xml:space="preserve">Email keluar (email-delivery.ts) memilih kanal sadar-brand: kanal email connected non-demo milik brand interaksi → non-demo lain → demo → tanpa kanal (simulated). Lampiran data URL diubah menjadi attachment SMTP (maksimal 5 file, ±10 MB). Status jujur disimpan ke Interaction.deliveryStatus/deliveryNote — tidak ada tick palsu.</w:t>
      </w:r>
    </w:p>
    <w:p>
      <w:pPr>
        <w:spacing w:after="120" w:line="312"/>
        <w:jc w:val="both"/>
      </w:pPr>
      <w:r>
        <w:rPr>
          <w:rFonts w:ascii="Calibri" w:eastAsia="Microsoft YaHei"/>
          <w:color w:val="000000"/>
          <w:sz w:val="22"/>
          <w:szCs w:val="22"/>
        </w:rPr>
        <w:t xml:space="preserve">Email masuk (email-sync.ts) hanya untuk kanal email non-demo dengan throttle 30 detik berbasis lastEmailSyncAt (tombol manual tanpa throttle) dan sinkronisasi latar belakang fire-and-forget via after() dengan guard anti-paralel. Per email baru (dedupe externalId = Message-ID): konten text/plain (fallback HTML → teks), lampiran diunduh menjadi data URL (maksimal 5 × 2 MB; berbahaya diblokir; catatan [Lampiran: …] / [Blokir lampiran: …]). Auto-link: bila pengirim adalah contact existing dengan opportunity terbuka (bukan won/lost), interaction langsung tertaut ke contact/company/opportunity; selain itu menjadi lead mentah di Inbox. Trigger manual: POST /api/channels/email-sync (super_admin/director); audit email_sync.</w:t>
      </w:r>
    </w:p>
    <w:p>
      <w:pPr>
        <w:pStyle w:val="Heading2"/>
        <w:spacing w:after="140" w:before="280" w:line="312"/>
      </w:pPr>
      <w:bookmarkStart w:id="100058" w:name="_Toc100058"/>
      <w:r>
        <w:rPr>
          <w:rFonts w:ascii="Calibri" w:eastAsia="Microsoft YaHei"/>
          <w:b/>
          <w:bCs/>
          <w:color w:val="162235"/>
          <w:sz w:val="27"/>
          <w:szCs w:val="27"/>
        </w:rPr>
        <w:t xml:space="preserve">8.3 WhatsApp Cloud API webhook</w:t>
      </w:r>
      <w:bookmarkEnd w:id="100058"/>
    </w:p>
    <w:p>
      <w:pPr>
        <w:spacing w:after="120" w:line="312"/>
        <w:jc w:val="both"/>
      </w:pPr>
      <w:r>
        <w:rPr>
          <w:rFonts w:ascii="Calibri" w:eastAsia="Microsoft YaHei"/>
          <w:color w:val="000000"/>
          <w:sz w:val="22"/>
          <w:szCs w:val="22"/>
        </w:rPr>
        <w:t xml:space="preserve">GET handshake Meta memverifikasi hub.verify_token dengan prioritas: env WHATSAPP_VERIFY_TOKEN → verifyToken ChannelConfig → token demo (hanya dev); server meng-echo hub.challenge. POST status kirim memverifikasi HMAC X-Hub-Signature-256 (env WHATSAPP_APP_SECRET → appSecret ChannelConfig; produksi tanpa secret apa pun ditolak 401 fail-closed). Payload statuses (sent/delivered/read/failed) memperbarui deliveryStatus Interaction outbound yang cocok berdasar externalId; server selalu membalas 200 sesuai konvensi retry Meta; audit batch dengan aktor WhatsApp Cloud API. SMTP sink dev-only (scripts/dev-smtp-sink.ts) adalah listener 127.0.0.1:3465 untuk QA pengiriman di sandbox — bukan bagian aplikasi. Tidak ada env SMTP global: seluruh kredensial email dikelola per-kanal melalui UI (tabel ChannelConfig).</w:t>
      </w:r>
    </w:p>
    <w:p>
      <w:pPr>
        <w:pStyle w:val="Heading1"/>
        <w:pageBreakBefore/>
        <w:spacing w:after="200" w:before="360" w:line="312"/>
      </w:pPr>
      <w:bookmarkStart w:id="100059" w:name="_Toc100059"/>
      <w:r>
        <w:rPr>
          <w:rFonts w:ascii="Calibri" w:eastAsia="Microsoft YaHei"/>
          <w:b/>
          <w:bCs/>
          <w:color w:val="162235"/>
          <w:sz w:val="32"/>
          <w:szCs w:val="32"/>
        </w:rPr>
        <w:t xml:space="preserve">9. Notifikasi, Real-time, dan Web Push</w:t>
      </w:r>
      <w:bookmarkEnd w:id="100059"/>
    </w:p>
    <w:p>
      <w:pPr>
        <w:pStyle w:val="Heading2"/>
        <w:spacing w:after="140" w:before="280" w:line="312"/>
      </w:pPr>
      <w:bookmarkStart w:id="100060" w:name="_Toc100060"/>
      <w:r>
        <w:rPr>
          <w:rFonts w:ascii="Calibri" w:eastAsia="Microsoft YaHei"/>
          <w:b/>
          <w:bCs/>
          <w:color w:val="162235"/>
          <w:sz w:val="27"/>
          <w:szCs w:val="27"/>
        </w:rPr>
        <w:t xml:space="preserve">9.1 Mini-service notif-service (socket.io, port 3005)</w:t>
      </w:r>
      <w:bookmarkEnd w:id="100060"/>
    </w:p>
    <w:p>
      <w:pPr>
        <w:spacing w:after="120" w:line="312"/>
        <w:jc w:val="both"/>
      </w:pPr>
      <w:r>
        <w:rPr>
          <w:rFonts w:ascii="Calibri" w:eastAsia="Microsoft YaHei"/>
          <w:color w:val="000000"/>
          <w:sz w:val="22"/>
          <w:szCs w:val="22"/>
        </w:rPr>
        <w:t xml:space="preserve">Proses Bun terpisah (mini-services/notif-service dengan package.json sendiri) pada path socket / (konvensi gateway Caddy ?XTransformPort=3005). Room dibentuk dari subscribe {email, brandId?} → join {email}::{brandId atau all}. Poll loop 15 detik per room memanggil GET /api/notifications dan GET /api/notif-prefs, menghitung hash SHA-1 dari (unread, daftar key, prefsUpdatedAt), dan bila berubah meng-emit notif:changed ke room; observasi pertama menjadi baseline tanpa emit. Event stats menyediakan uptime, activeRooms, totalEmits, dan pollCount untuk monitoring. Catatan: service ini tidak ikut image Docker CRM (dijalankan di sandbox/dev); /api/health akan melaporkan notifService down (status degraded) bila tidak jalan — perlu diputuskan apakah dideploy sebagai container terpisah di Coolify.</w:t>
      </w:r>
    </w:p>
    <w:p>
      <w:pPr>
        <w:pStyle w:val="Heading2"/>
        <w:spacing w:after="140" w:before="280" w:line="312"/>
      </w:pPr>
      <w:bookmarkStart w:id="100061" w:name="_Toc100061"/>
      <w:r>
        <w:rPr>
          <w:rFonts w:ascii="Calibri" w:eastAsia="Microsoft YaHei"/>
          <w:b/>
          <w:bCs/>
          <w:color w:val="162235"/>
          <w:sz w:val="27"/>
          <w:szCs w:val="27"/>
        </w:rPr>
        <w:t xml:space="preserve">9.2 Web Push VAPID</w:t>
      </w:r>
      <w:bookmarkEnd w:id="100061"/>
    </w:p>
    <w:p>
      <w:pPr>
        <w:spacing w:after="120" w:line="312"/>
        <w:jc w:val="both"/>
      </w:pPr>
      <w:r>
        <w:rPr>
          <w:rFonts w:ascii="Calibri" w:eastAsia="Microsoft YaHei"/>
          <w:color w:val="000000"/>
          <w:sz w:val="22"/>
          <w:szCs w:val="22"/>
        </w:rPr>
        <w:t xml:space="preserve">Env VAPID_PUBLIC_KEY / VAPID_PRIVATE_KEY / VAPID_SUBJECT; tanpa key push nonaktif diam-diam (fail-closed, tidak error). sendPushToRoles(roles, payload, excludeUserKey?) men-resolve email dari tabel User aktif; sendPushToUserKeys(emails, payload) mengirim per email. TTL 3600; subscription 404/410 dihapus otomatis. Subscription disimpan di PushSubscription (upsert by endpoint; email diambil dari sesi, bukan body) dan di-exempt dari blok 423 lock screen. Service worker public/sw.js menampilkan notifikasi (icon, tag), menangani notificationclick untuk fokus/navigasi ke data.url, dan memakai strategi fetch network-first dengan halaman offline (syarat installability PWA). Push dipakai di: Deal Won, task baru (per assignee), invoice terbit/kirim/bayar, approval pending/decided, CR pending/decided, milestone done, portal review klien, quotation sent/signed, dan approval brief.</w:t>
      </w:r>
    </w:p>
    <w:p>
      <w:pPr>
        <w:pStyle w:val="Heading1"/>
        <w:pageBreakBefore/>
        <w:spacing w:after="200" w:before="360" w:line="312"/>
      </w:pPr>
      <w:bookmarkStart w:id="100062" w:name="_Toc100062"/>
      <w:r>
        <w:rPr>
          <w:rFonts w:ascii="Calibri" w:eastAsia="Microsoft YaHei"/>
          <w:b/>
          <w:bCs/>
          <w:color w:val="162235"/>
          <w:sz w:val="32"/>
          <w:szCs w:val="32"/>
        </w:rPr>
        <w:t xml:space="preserve">10. Deployment dan Infrastruktur</w:t>
      </w:r>
      <w:bookmarkEnd w:id="100062"/>
    </w:p>
    <w:p>
      <w:pPr>
        <w:pStyle w:val="Heading2"/>
        <w:spacing w:after="140" w:before="280" w:line="312"/>
      </w:pPr>
      <w:bookmarkStart w:id="100063" w:name="_Toc100063"/>
      <w:r>
        <w:rPr>
          <w:rFonts w:ascii="Calibri" w:eastAsia="Microsoft YaHei"/>
          <w:b/>
          <w:bCs/>
          <w:color w:val="162235"/>
          <w:sz w:val="27"/>
          <w:szCs w:val="27"/>
        </w:rPr>
        <w:t xml:space="preserve">10.1 Dockerfile — 3 stage (base oven/bun:1)</w:t>
      </w:r>
      <w:bookmarkEnd w:id="100063"/>
    </w:p>
    <w:p>
      <w:pPr>
        <w:keepNext/>
        <w:spacing w:after="80" w:before="160" w:line="312"/>
      </w:pPr>
      <w:r>
        <w:rPr>
          <w:rFonts w:ascii="Calibri" w:eastAsia="Microsoft YaHei"/>
          <w:b/>
          <w:bCs/>
          <w:color w:val="5B6B7D"/>
          <w:sz w:val="20"/>
          <w:szCs w:val="20"/>
        </w:rPr>
        <w:t xml:space="preserve">Tabel 19 — Tahapan build Docker</w:t>
      </w:r>
    </w:p>
    <w:tbl>
      <w:tblPr>
        <w:tblW w:type="pct" w:w="5000"/>
        <w:tblBorders>
          <w:top w:val="single" w:color="1B6B7A" w:sz="6"/>
          <w:left w:val="none" w:color="FFFFFF" w:sz="0"/>
          <w:bottom w:val="single" w:color="1B6B7A" w:sz="6"/>
          <w:right w:val="none" w:color="FFFFFF" w:sz="0"/>
          <w:insideH w:val="single" w:color="C8DDE2" w:sz="2"/>
          <w:insideV w:val="none" w:color="FFFFFF" w:sz="0"/>
        </w:tblBorders>
        <w:tblLayout w:type="fixed"/>
      </w:tblPr>
      <w:tblGrid>
        <w:gridCol w:w="1230"/>
        <w:gridCol w:w="7558"/>
      </w:tblGrid>
      <w:tr>
        <w:trPr>
          <w:cantSplit/>
          <w:tblHeader/>
        </w:trPr>
        <w:tc>
          <w:tcPr>
            <w:tcW w:type="pct" w:w="7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9"/>
                <w:szCs w:val="19"/>
              </w:rPr>
              <w:t xml:space="preserve">Stage</w:t>
            </w:r>
          </w:p>
        </w:tc>
        <w:tc>
          <w:tcPr>
            <w:tcW w:type="pct" w:w="43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9"/>
                <w:szCs w:val="19"/>
              </w:rPr>
              <w:t xml:space="preserve">Isi</w:t>
            </w:r>
          </w:p>
        </w:tc>
      </w:tr>
      <w:tr>
        <w:trPr>
          <w:cantSplit/>
        </w:trPr>
        <w:tc>
          <w:tcPr>
            <w:tcW w:type="pct" w:w="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1. deps</w:t>
            </w:r>
          </w:p>
        </w:tc>
        <w:tc>
          <w:tcPr>
            <w:tcW w:type="pct" w:w="4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COPY package.json, bun.lock, prisma/ → bun install → bunx prisma generate</w:t>
            </w:r>
          </w:p>
        </w:tc>
      </w:tr>
      <w:tr>
        <w:trPr>
          <w:cantSplit/>
        </w:trPr>
        <w:tc>
          <w:tcPr>
            <w:tcW w:type="pct" w:w="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2. builder</w:t>
            </w:r>
          </w:p>
        </w:tc>
        <w:tc>
          <w:tcPr>
            <w:tcW w:type="pct" w:w="4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COPY source + node_modules; ENV dummy DATABASE_URL dan SESSION_SECRET build-time (guard fail-closed dievaluasi saat build — tanpa ini build gagal); bun run build; validasi schema: prisma db push ke db buangan /tmp/schema-check.db — schema rusak berarti build gagal</w:t>
            </w:r>
          </w:p>
        </w:tc>
      </w:tr>
      <w:tr>
        <w:trPr>
          <w:cantSplit/>
        </w:trPr>
        <w:tc>
          <w:tcPr>
            <w:tcW w:type="pct" w:w="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3. runner</w:t>
            </w:r>
          </w:p>
        </w:tc>
        <w:tc>
          <w:tcPr>
            <w:tcW w:type="pct" w:w="4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COPY --from=builder /app/.next/standalone ./ → diratakan ke /app (server di /app/server.js); salin node_modules .prisma + @prisma + prisma CLI + 27 package closure (effect, c12, chokidar, dst.); salin prisma/, db/ (seed), docker-migrate.sh; VOLUME /app/data; EXPOSE 3000</w:t>
            </w:r>
          </w:p>
        </w:tc>
      </w:tr>
    </w:tbl>
    <w:p>
      <w:pPr>
        <w:spacing w:after="120" w:line="312"/>
        <w:jc w:val="both"/>
      </w:pPr>
      <w:r>
        <w:rPr>
          <w:rFonts w:ascii="Calibri" w:eastAsia="Microsoft YaHei"/>
          <w:color w:val="000000"/>
          <w:sz w:val="22"/>
          <w:szCs w:val="22"/>
        </w:rPr>
        <w:t xml:space="preserve">HEALTHCHECK: tiap 30 detik, timeout 5 detik, start-period 20 detik, retries 3, memanggil fetch http://127.0.0.1:3000/api/health. CMD: bun --env-file=/app/data/.session-secret server.js — runtime murni tanpa entrypoint/shell (redesign Task 69; docker-entrypoint.sh dihapus dari repo). Flag --env-file mengabaikan file yang hilang secara diam, tidak menimpa env platform (Coolify), dan memastikan secret tersedia sebelum modul apa pun dievaluasi termasuk proxy.</w:t>
      </w:r>
    </w:p>
    <w:p>
      <w:pPr>
        <w:pStyle w:val="Heading2"/>
        <w:spacing w:after="140" w:before="280" w:line="312"/>
      </w:pPr>
      <w:bookmarkStart w:id="100064" w:name="_Toc100064"/>
      <w:r>
        <w:rPr>
          <w:rFonts w:ascii="Calibri" w:eastAsia="Microsoft YaHei"/>
          <w:b/>
          <w:bCs/>
          <w:color w:val="162235"/>
          <w:sz w:val="27"/>
          <w:szCs w:val="27"/>
        </w:rPr>
        <w:t xml:space="preserve">10.2 Provisioning one-shot: docker-migrate.sh + docker-compose.yml</w:t>
      </w:r>
      <w:bookmarkEnd w:id="100064"/>
    </w:p>
    <w:p>
      <w:pPr>
        <w:spacing w:after="120" w:line="312"/>
        <w:jc w:val="both"/>
      </w:pPr>
      <w:r>
        <w:rPr>
          <w:rFonts w:ascii="Calibri" w:eastAsia="Microsoft YaHei"/>
          <w:color w:val="000000"/>
          <w:sz w:val="22"/>
          <w:szCs w:val="22"/>
        </w:rPr>
        <w:t xml:space="preserve">Compose mendefinisikan service migrate (one-shot, restart: no, command sh /app/docker-migrate.sh) dan service app (depends_on: migrate condition service_completed_successfully — gagal migrasi berarti deploy gagal jelas di log). Urutan docker-migrate.sh yang idempoten dieksekusi tiap deploy: (1) SESSION_SECRET dengan prioritas env platform → file /app/data/.session-secret (format dotenv, chmod 600) → generate random 32-byte; persisten antar deploy sehingga sesi user tidak gugur saat redeploy; (2) first-boot seed — bila /app/data/custom.db tidak ada atau 0 byte, salin /app/db/custom.db.seed; (3) prisma db push --accept-data-loss --skip-generate via CLI lokal terkunci /app/node_modules/prisma/build/index.js (penting: bunx prisma di container mengunduh Prisma v7 dari npm dan gagal UNKNOWN_COMMAND). Service app berjalan tanpa ports: — hanya expose 3000 dengan env SERVICE_FQDN_APP_3000 (pola Coolify Generated Stack Values: domain otomatis + proxy internal); volume db-data ke /app/data (database SQLite + file secret); restart unless-stopped; healthcheck sama dengan Dockerfile.</w:t>
      </w:r>
    </w:p>
    <w:p>
      <w:pPr>
        <w:pStyle w:val="Heading2"/>
        <w:spacing w:after="140" w:before="280" w:line="312"/>
      </w:pPr>
      <w:bookmarkStart w:id="100065" w:name="_Toc100065"/>
      <w:r>
        <w:rPr>
          <w:rFonts w:ascii="Calibri" w:eastAsia="Microsoft YaHei"/>
          <w:b/>
          <w:bCs/>
          <w:color w:val="162235"/>
          <w:sz w:val="27"/>
          <w:szCs w:val="27"/>
        </w:rPr>
        <w:t xml:space="preserve">10.3 Environment variables</w:t>
      </w:r>
      <w:bookmarkEnd w:id="100065"/>
    </w:p>
    <w:p>
      <w:pPr>
        <w:keepNext/>
        <w:spacing w:after="80" w:before="160" w:line="312"/>
      </w:pPr>
      <w:r>
        <w:rPr>
          <w:rFonts w:ascii="Calibri" w:eastAsia="Microsoft YaHei"/>
          <w:b/>
          <w:bCs/>
          <w:color w:val="5B6B7D"/>
          <w:sz w:val="20"/>
          <w:szCs w:val="20"/>
        </w:rPr>
        <w:t xml:space="preserve">Tabel 20 — Variabel lingkungan</w:t>
      </w:r>
    </w:p>
    <w:tbl>
      <w:tblPr>
        <w:tblW w:type="pct" w:w="5000"/>
        <w:tblBorders>
          <w:top w:val="single" w:color="1B6B7A" w:sz="6"/>
          <w:left w:val="none" w:color="FFFFFF" w:sz="0"/>
          <w:bottom w:val="single" w:color="1B6B7A" w:sz="6"/>
          <w:right w:val="none" w:color="FFFFFF" w:sz="0"/>
          <w:insideH w:val="single" w:color="C8DDE2" w:sz="2"/>
          <w:insideV w:val="none" w:color="FFFFFF" w:sz="0"/>
        </w:tblBorders>
        <w:tblLayout w:type="fixed"/>
      </w:tblPr>
      <w:tblGrid>
        <w:gridCol w:w="2988"/>
        <w:gridCol w:w="5800"/>
      </w:tblGrid>
      <w:tr>
        <w:trPr>
          <w:cantSplit/>
          <w:tblHeader/>
        </w:trPr>
        <w:tc>
          <w:tcPr>
            <w:tcW w:type="pct" w:w="17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9"/>
                <w:szCs w:val="19"/>
              </w:rPr>
              <w:t xml:space="preserve">Variabel</w:t>
            </w:r>
          </w:p>
        </w:tc>
        <w:tc>
          <w:tcPr>
            <w:tcW w:type="pct" w:w="33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9"/>
                <w:szCs w:val="19"/>
              </w:rPr>
              <w:t xml:space="preserve">Fungsi</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DATABASE_URL</w:t>
            </w:r>
          </w:p>
        </w:tc>
        <w:tc>
          <w:tcPr>
            <w:tcW w:type="pct" w:w="3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Lokasi file SQLite (file:/app/data/custom.db di produksi)</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SESSION_SECRET</w:t>
            </w:r>
          </w:p>
        </w:tc>
        <w:tc>
          <w:tcPr>
            <w:tcW w:type="pct" w:w="3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Kunci HMAC cookie sesi dan lock; fail-closed di produksi</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SESSION_SECRET_FILE</w:t>
            </w:r>
          </w:p>
        </w:tc>
        <w:tc>
          <w:tcPr>
            <w:tcW w:type="pct" w:w="3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Override path file secret (default /app/data/.session-secret)</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VAPID_PUBLIC_KEY / VAPID_PRIVATE_KEY / VAPID_SUBJECT</w:t>
            </w:r>
          </w:p>
        </w:tc>
        <w:tc>
          <w:tcPr>
            <w:tcW w:type="pct" w:w="3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Web Push; kosong = push nonaktif diam-diam</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WHATSAPP_VERIFY_TOKEN / WHATSAPP_APP_SECRET</w:t>
            </w:r>
          </w:p>
        </w:tc>
        <w:tc>
          <w:tcPr>
            <w:tcW w:type="pct" w:w="3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Verifikasi webhook Meta (fallback ke ChannelConfig)</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ZAI_API_KEY / Z_AI_API_KEY</w:t>
            </w:r>
          </w:p>
        </w:tc>
        <w:tc>
          <w:tcPr>
            <w:tcW w:type="pct" w:w="3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Kunci layanan AI (opsional)</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ALLOW_RESEED</w:t>
            </w:r>
          </w:p>
        </w:tc>
        <w:tc>
          <w:tcPr>
            <w:tcW w:type="pct" w:w="3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=1 mengizinkan POST bootstrap force di produksi (tetap wajib sesi Super Admin)</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NODE_ENV, PORT, HOSTNAME, NEXT_TELEMETRY_DISABLED</w:t>
            </w:r>
          </w:p>
        </w:tc>
        <w:tc>
          <w:tcPr>
            <w:tcW w:type="pct" w:w="3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Runtime standar</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SERVICE_FQDN_APP_3000</w:t>
            </w:r>
          </w:p>
        </w:tc>
        <w:tc>
          <w:tcPr>
            <w:tcW w:type="pct" w:w="3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Generated value Coolify (tidak dibaca kode aplikasi)</w:t>
            </w:r>
          </w:p>
        </w:tc>
      </w:tr>
    </w:tbl>
    <w:p>
      <w:pPr>
        <w:pStyle w:val="Heading2"/>
        <w:spacing w:after="140" w:before="280" w:line="312"/>
      </w:pPr>
      <w:bookmarkStart w:id="100066" w:name="_Toc100066"/>
      <w:r>
        <w:rPr>
          <w:rFonts w:ascii="Calibri" w:eastAsia="Microsoft YaHei"/>
          <w:b/>
          <w:bCs/>
          <w:color w:val="162235"/>
          <w:sz w:val="27"/>
          <w:szCs w:val="27"/>
        </w:rPr>
        <w:t xml:space="preserve">10.4 Caddyfile dan .dockerignore</w:t>
      </w:r>
      <w:bookmarkEnd w:id="100066"/>
    </w:p>
    <w:p>
      <w:pPr>
        <w:spacing w:after="120" w:line="312"/>
        <w:jc w:val="both"/>
      </w:pPr>
      <w:r>
        <w:rPr>
          <w:rFonts w:ascii="Calibri" w:eastAsia="Microsoft YaHei"/>
          <w:color w:val="000000"/>
          <w:sz w:val="22"/>
          <w:szCs w:val="22"/>
        </w:rPr>
        <w:t xml:space="preserve">Caddyfile gateway sandbox mendengarkan :81 dan meneruskan query ?XTransformPort=&lt;n&gt; ke localhost:&lt;n&gt;; default ke localhost:3000. Header X-Forwarded-For/Proto/Real-IP diteruskan — menjadi dasar deteksi HTTPS untuk cookie Secure adaptif. .dockerignore mengecualikan node_modules, .next, .git, .env*, qa*.png, worklog.md, folder non-runtime (skills/examples), dan db/custom.db + journal (data user asli tidak boleh masuk image; db/custom.db.seed tetap ikut untuk first-boot).</w:t>
      </w:r>
    </w:p>
    <w:p>
      <w:pPr>
        <w:pStyle w:val="Heading1"/>
        <w:pageBreakBefore/>
        <w:spacing w:after="200" w:before="360" w:line="312"/>
      </w:pPr>
      <w:bookmarkStart w:id="100067" w:name="_Toc100067"/>
      <w:r>
        <w:rPr>
          <w:rFonts w:ascii="Calibri" w:eastAsia="Microsoft YaHei"/>
          <w:b/>
          <w:bCs/>
          <w:color w:val="162235"/>
          <w:sz w:val="32"/>
          <w:szCs w:val="32"/>
        </w:rPr>
        <w:t xml:space="preserve">11. Keputusan Arsitektur dan Trade-off</w:t>
      </w:r>
      <w:bookmarkEnd w:id="100067"/>
    </w:p>
    <w:p>
      <w:pPr>
        <w:keepNext/>
        <w:spacing w:after="80" w:before="160" w:line="312"/>
      </w:pPr>
      <w:r>
        <w:rPr>
          <w:rFonts w:ascii="Calibri" w:eastAsia="Microsoft YaHei"/>
          <w:b/>
          <w:bCs/>
          <w:color w:val="5B6B7D"/>
          <w:sz w:val="20"/>
          <w:szCs w:val="20"/>
        </w:rPr>
        <w:t xml:space="preserve">Tabel 21 — Keputusan arsitektur utama</w:t>
      </w:r>
    </w:p>
    <w:tbl>
      <w:tblPr>
        <w:tblW w:type="pct" w:w="5000"/>
        <w:tblBorders>
          <w:top w:val="single" w:color="1B6B7A" w:sz="6"/>
          <w:left w:val="none" w:color="FFFFFF" w:sz="0"/>
          <w:bottom w:val="single" w:color="1B6B7A" w:sz="6"/>
          <w:right w:val="none" w:color="FFFFFF" w:sz="0"/>
          <w:insideH w:val="single" w:color="C8DDE2" w:sz="2"/>
          <w:insideV w:val="none" w:color="FFFFFF" w:sz="0"/>
        </w:tblBorders>
        <w:tblLayout w:type="fixed"/>
      </w:tblPr>
      <w:tblGrid>
        <w:gridCol w:w="2636"/>
        <w:gridCol w:w="3164"/>
        <w:gridCol w:w="2988"/>
      </w:tblGrid>
      <w:tr>
        <w:trPr>
          <w:cantSplit/>
          <w:tblHeader/>
        </w:trPr>
        <w:tc>
          <w:tcPr>
            <w:tcW w:type="pct" w:w="15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8"/>
                <w:szCs w:val="18"/>
              </w:rPr>
              <w:t xml:space="preserve">Keputusan</w:t>
            </w:r>
          </w:p>
        </w:tc>
        <w:tc>
          <w:tcPr>
            <w:tcW w:type="pct" w:w="18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8"/>
                <w:szCs w:val="18"/>
              </w:rPr>
              <w:t xml:space="preserve">Alasan</w:t>
            </w:r>
          </w:p>
        </w:tc>
        <w:tc>
          <w:tcPr>
            <w:tcW w:type="pct" w:w="17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8"/>
                <w:szCs w:val="18"/>
              </w:rPr>
              <w:t xml:space="preserve">Konsekuensi yang diterima</w:t>
            </w:r>
          </w:p>
        </w:tc>
      </w:tr>
      <w:tr>
        <w:trPr>
          <w:cantSplit/>
        </w:trPr>
        <w:tc>
          <w:tcPr>
            <w:tcW w:type="pct" w:w="15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Single page app — 13 modul via state, bukan route</w:t>
            </w:r>
          </w:p>
        </w:tc>
        <w:tc>
          <w:tcPr>
            <w:tcW w:type="pct" w:w="18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Shell konsisten, navigasi instan, deep-link via query param</w:t>
            </w:r>
          </w:p>
        </w:tc>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Tidak ada SSR per modul; bundle awal lebih besar</w:t>
            </w:r>
          </w:p>
        </w:tc>
      </w:tr>
      <w:tr>
        <w:trPr>
          <w:cantSplit/>
        </w:trPr>
        <w:tc>
          <w:tcPr>
            <w:tcW w:type="pct" w:w="15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SQLite file di volume, bukan server DB</w:t>
            </w:r>
          </w:p>
        </w:tc>
        <w:tc>
          <w:tcPr>
            <w:tcW w:type="pct" w:w="18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Zero-ops untuk deployment kecil; backup = copy file</w:t>
            </w:r>
          </w:p>
        </w:tc>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Tidak cocok multi-instance; write serial</w:t>
            </w:r>
          </w:p>
        </w:tc>
      </w:tr>
      <w:tr>
        <w:trPr>
          <w:cantSplit/>
        </w:trPr>
        <w:tc>
          <w:tcPr>
            <w:tcW w:type="pct" w:w="15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RBAC dinamis di DB (ModulePermission)</w:t>
            </w:r>
          </w:p>
        </w:tc>
        <w:tc>
          <w:tcPr>
            <w:tcW w:type="pct" w:w="18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Admin bisa edit matriks tanpa deploy</w:t>
            </w:r>
          </w:p>
        </w:tc>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Butuh cache 30 dtk; fallback statis untuk resilience</w:t>
            </w:r>
          </w:p>
        </w:tc>
      </w:tr>
      <w:tr>
        <w:trPr>
          <w:cantSplit/>
        </w:trPr>
        <w:tc>
          <w:tcPr>
            <w:tcW w:type="pct" w:w="15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Cookie sesi HMAC buatan sendiri, bukan NextAuth</w:t>
            </w:r>
          </w:p>
        </w:tc>
        <w:tc>
          <w:tcPr>
            <w:tcW w:type="pct" w:w="18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Edge-safe (Web Crypto), payload ringan, kontrol penuh atribut cookie</w:t>
            </w:r>
          </w:p>
        </w:tc>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Implementasi keamanan sendiri (sudah: timing-safe compare, fail-closed secret, scrypt)</w:t>
            </w:r>
          </w:p>
        </w:tc>
      </w:tr>
      <w:tr>
        <w:trPr>
          <w:cantSplit/>
        </w:trPr>
        <w:tc>
          <w:tcPr>
            <w:tcW w:type="pct" w:w="15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Cookie Secure adaptif (x-forwarded-proto)</w:t>
            </w:r>
          </w:p>
        </w:tc>
        <w:tc>
          <w:tcPr>
            <w:tcW w:type="pct" w:w="18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Kompatibel HTTP dev dan HTTPS Coolify</w:t>
            </w:r>
          </w:p>
        </w:tc>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Harus memastikan proxy meneruskan header proto</w:t>
            </w:r>
          </w:p>
        </w:tc>
      </w:tr>
      <w:tr>
        <w:trPr>
          <w:cantSplit/>
        </w:trPr>
        <w:tc>
          <w:tcPr>
            <w:tcW w:type="pct" w:w="15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Notifikasi dikomputasi on-the-fly + state baca terpisah</w:t>
            </w:r>
          </w:p>
        </w:tc>
        <w:tc>
          <w:tcPr>
            <w:tcW w:type="pct" w:w="18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Tanpa tabel notifikasi yang menumpuk; selalu segar</w:t>
            </w:r>
          </w:p>
        </w:tc>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Query lebih berat tiap poll (dimitigasi limit 60 item)</w:t>
            </w:r>
          </w:p>
        </w:tc>
      </w:tr>
      <w:tr>
        <w:trPr>
          <w:cantSplit/>
        </w:trPr>
        <w:tc>
          <w:tcPr>
            <w:tcW w:type="pct" w:w="15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Socket sidecar polling (bukan event bus)</w:t>
            </w:r>
          </w:p>
        </w:tc>
        <w:tc>
          <w:tcPr>
            <w:tcW w:type="pct" w:w="18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App utama tidak perlu diubah; socket.io terisolasi</w:t>
            </w:r>
          </w:p>
        </w:tc>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Latensi notif maks 15 dtk; service terpisah harus jalan</w:t>
            </w:r>
          </w:p>
        </w:tc>
      </w:tr>
      <w:tr>
        <w:trPr>
          <w:cantSplit/>
        </w:trPr>
        <w:tc>
          <w:tcPr>
            <w:tcW w:type="pct" w:w="15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Rate limit dan throttle in-memory</w:t>
            </w:r>
          </w:p>
        </w:tc>
        <w:tc>
          <w:tcPr>
            <w:tcW w:type="pct" w:w="18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Tanpa Redis; cukup untuk single-instance</w:t>
            </w:r>
          </w:p>
        </w:tc>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Perilaku bisa berbeda bila multi-instance</w:t>
            </w:r>
          </w:p>
        </w:tc>
      </w:tr>
      <w:tr>
        <w:trPr>
          <w:cantSplit/>
        </w:trPr>
        <w:tc>
          <w:tcPr>
            <w:tcW w:type="pct" w:w="15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Provisioning one-shot migrate + runtime tanpa entrypoint</w:t>
            </w:r>
          </w:p>
        </w:tc>
        <w:tc>
          <w:tcPr>
            <w:tcW w:type="pct" w:w="18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Runtime bersih; gagal migrasi = deploy gagal jelas; secret persisten</w:t>
            </w:r>
          </w:p>
        </w:tc>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Butuh depends_on condition di compose</w:t>
            </w:r>
          </w:p>
        </w:tc>
      </w:tr>
      <w:tr>
        <w:trPr>
          <w:cantSplit/>
        </w:trPr>
        <w:tc>
          <w:tcPr>
            <w:tcW w:type="pct" w:w="15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Efek samping Won dalam satu transaksi; nomor dokumen di luar transaksi</w:t>
            </w:r>
          </w:p>
        </w:tc>
        <w:tc>
          <w:tcPr>
            <w:tcW w:type="pct" w:w="18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Atomicity; counter tidak ikut rollback</w:t>
            </w:r>
          </w:p>
        </w:tc>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Nomor bisa terlewat bila transaksi gagal (diterima)</w:t>
            </w:r>
          </w:p>
        </w:tc>
      </w:tr>
      <w:tr>
        <w:trPr>
          <w:cantSplit/>
        </w:trPr>
        <w:tc>
          <w:tcPr>
            <w:tcW w:type="pct" w:w="15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Lampiran sebagai data URL di kolom JSON</w:t>
            </w:r>
          </w:p>
        </w:tc>
        <w:tc>
          <w:tcPr>
            <w:tcW w:type="pct" w:w="18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Tanpa object storage; konsisten dengan SQLite</w:t>
            </w:r>
          </w:p>
        </w:tc>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Batas ukuran 1,2–5 MB; DB membengkak jika banyak</w:t>
            </w:r>
          </w:p>
        </w:tc>
      </w:tr>
      <w:tr>
        <w:trPr>
          <w:cantSplit/>
        </w:trPr>
        <w:tc>
          <w:tcPr>
            <w:tcW w:type="pct" w:w="15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Dokumen PDF berbahasa Inggris, UI Bahasa Indonesia</w:t>
            </w:r>
          </w:p>
        </w:tc>
        <w:tc>
          <w:tcPr>
            <w:tcW w:type="pct" w:w="18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Klien internasional; dokumen formal</w:t>
            </w:r>
          </w:p>
        </w:tc>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Kop surat dan termin memakai format EN standar</w:t>
            </w:r>
          </w:p>
        </w:tc>
      </w:tr>
      <w:tr>
        <w:trPr>
          <w:cantSplit/>
        </w:trPr>
        <w:tc>
          <w:tcPr>
            <w:tcW w:type="pct" w:w="15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GET read tertentu tanpa sesi (users minimal, notifications, portal publik, service-map)</w:t>
            </w:r>
          </w:p>
        </w:tc>
        <w:tc>
          <w:tcPr>
            <w:tcW w:type="pct" w:w="18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Kebutuhan layar login dan poll notif-service; klien tanpa login</w:t>
            </w:r>
          </w:p>
        </w:tc>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Permukaan baca terbuka — kompromi terdokumentasi</w:t>
            </w:r>
          </w:p>
        </w:tc>
      </w:tr>
      <w:tr>
        <w:trPr>
          <w:cantSplit/>
        </w:trPr>
        <w:tc>
          <w:tcPr>
            <w:tcW w:type="pct" w:w="15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won-date resmi = updatedAt opportunity</w:t>
            </w:r>
          </w:p>
        </w:tc>
        <w:tc>
          <w:tcPr>
            <w:tcW w:type="pct" w:w="18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Tanpa kolom tambahan</w:t>
            </w:r>
          </w:p>
        </w:tc>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Mengandalkan disiplin bahwa perubahan stage menyentuh updatedAt</w:t>
            </w:r>
          </w:p>
        </w:tc>
      </w:tr>
    </w:tbl>
    <w:p>
      <w:pPr>
        <w:pStyle w:val="Heading1"/>
        <w:pageBreakBefore/>
        <w:spacing w:after="200" w:before="360" w:line="312"/>
      </w:pPr>
      <w:bookmarkStart w:id="100068" w:name="_Toc100068"/>
      <w:r>
        <w:rPr>
          <w:rFonts w:ascii="Calibri" w:eastAsia="Microsoft YaHei"/>
          <w:b/>
          <w:bCs/>
          <w:color w:val="162235"/>
          <w:sz w:val="32"/>
          <w:szCs w:val="32"/>
        </w:rPr>
        <w:t xml:space="preserve">12. Kelemahan yang Diketahui dan Rekomendasi</w:t>
      </w:r>
      <w:bookmarkEnd w:id="100068"/>
    </w:p>
    <w:p>
      <w:pPr>
        <w:spacing w:after="120" w:line="312"/>
        <w:jc w:val="both"/>
      </w:pPr>
      <w:r>
        <w:rPr>
          <w:rFonts w:ascii="Calibri" w:eastAsia="Microsoft YaHei"/>
          <w:color w:val="000000"/>
          <w:sz w:val="22"/>
          <w:szCs w:val="22"/>
        </w:rPr>
        <w:t xml:space="preserve">Temuan berikut berasal dari audit source code saat dokumen ini disusun, diurutkan dari yang paling berdampak pada keamanan dan keandalan.</w:t>
      </w:r>
    </w:p>
    <w:p>
      <w:pPr>
        <w:pStyle w:val="ListParagraph"/>
        <w:numPr>
          <w:ilvl w:val="0"/>
          <w:numId w:val="1"/>
        </w:numPr>
        <w:spacing w:after="60" w:line="312"/>
        <w:jc w:val="both"/>
      </w:pPr>
      <w:r>
        <w:rPr>
          <w:rFonts w:ascii="Calibri" w:eastAsia="Microsoft YaHei"/>
          <w:b/>
          <w:bCs/>
          <w:color w:val="162235"/>
          <w:sz w:val="22"/>
          <w:szCs w:val="22"/>
        </w:rPr>
        <w:t xml:space="preserve">1. </w:t>
      </w:r>
      <w:r>
        <w:rPr>
          <w:rFonts w:ascii="Calibri" w:eastAsia="Microsoft YaHei"/>
          <w:color w:val="000000"/>
          <w:sz w:val="22"/>
          <w:szCs w:val="22"/>
        </w:rPr>
        <w:t xml:space="preserve">Beberapa GET read-sensitive tidak memvalidasi sesi di layer route (opportunities, inbox, dashboard, reports, search, interactions, tasks, quotations, projects, service-map) — saat ini ditutup oleh middleware proxy.ts tetapi tanpa defense-in-depth di route. Rekomendasi: tambahkan resolveActor() pada GET sensitif secara bertahap.</w:t>
      </w:r>
    </w:p>
    <w:p>
      <w:pPr>
        <w:pStyle w:val="ListParagraph"/>
        <w:numPr>
          <w:ilvl w:val="0"/>
          <w:numId w:val="1"/>
        </w:numPr>
        <w:spacing w:after="60" w:line="312"/>
        <w:jc w:val="both"/>
      </w:pPr>
      <w:r>
        <w:rPr>
          <w:rFonts w:ascii="Calibri" w:eastAsia="Microsoft YaHei"/>
          <w:b/>
          <w:bCs/>
          <w:color w:val="162235"/>
          <w:sz w:val="22"/>
          <w:szCs w:val="22"/>
        </w:rPr>
        <w:t xml:space="preserve">2. </w:t>
      </w:r>
      <w:r>
        <w:rPr>
          <w:rFonts w:ascii="Calibri" w:eastAsia="Microsoft YaHei"/>
          <w:color w:val="000000"/>
          <w:sz w:val="22"/>
          <w:szCs w:val="22"/>
        </w:rPr>
        <w:t xml:space="preserve">add_payment tidak memvalidasi amount ≤ sisa tagihan — overpay langsung menjadikan status paid. Rekomendasi: validasi sisa atau peringatan eksplisit.</w:t>
      </w:r>
    </w:p>
    <w:p>
      <w:pPr>
        <w:pStyle w:val="ListParagraph"/>
        <w:numPr>
          <w:ilvl w:val="0"/>
          <w:numId w:val="1"/>
        </w:numPr>
        <w:spacing w:after="60" w:line="312"/>
        <w:jc w:val="both"/>
      </w:pPr>
      <w:r>
        <w:rPr>
          <w:rFonts w:ascii="Calibri" w:eastAsia="Microsoft YaHei"/>
          <w:b/>
          <w:bCs/>
          <w:color w:val="162235"/>
          <w:sz w:val="22"/>
          <w:szCs w:val="22"/>
        </w:rPr>
        <w:t xml:space="preserve">3. </w:t>
      </w:r>
      <w:r>
        <w:rPr>
          <w:rFonts w:ascii="Calibri" w:eastAsia="Microsoft YaHei"/>
          <w:color w:val="000000"/>
          <w:sz w:val="22"/>
          <w:szCs w:val="22"/>
        </w:rPr>
        <w:t xml:space="preserve">validUntil quotation tidak ditegakkan server — status expired ada di skema tetapi tidak pernah di-set. Rekomendasi: sweep kedaluwarsa atau validasi saat aksi.</w:t>
      </w:r>
    </w:p>
    <w:p>
      <w:pPr>
        <w:pStyle w:val="ListParagraph"/>
        <w:numPr>
          <w:ilvl w:val="0"/>
          <w:numId w:val="1"/>
        </w:numPr>
        <w:spacing w:after="60" w:line="312"/>
        <w:jc w:val="both"/>
      </w:pPr>
      <w:r>
        <w:rPr>
          <w:rFonts w:ascii="Calibri" w:eastAsia="Microsoft YaHei"/>
          <w:b/>
          <w:bCs/>
          <w:color w:val="162235"/>
          <w:sz w:val="22"/>
          <w:szCs w:val="22"/>
        </w:rPr>
        <w:t xml:space="preserve">4. </w:t>
      </w:r>
      <w:r>
        <w:rPr>
          <w:rFonts w:ascii="Calibri" w:eastAsia="Microsoft YaHei"/>
          <w:color w:val="000000"/>
          <w:sz w:val="22"/>
          <w:szCs w:val="22"/>
        </w:rPr>
        <w:t xml:space="preserve">Invoice dari ChangeRequest memakai taxRate 11 dan currency IDR hardcode — tidak mengikuti master pajak/brand. Rekomendasi: pakai Tax aktif dan brand.primaryCurrency.</w:t>
      </w:r>
    </w:p>
    <w:p>
      <w:pPr>
        <w:pStyle w:val="ListParagraph"/>
        <w:numPr>
          <w:ilvl w:val="0"/>
          <w:numId w:val="1"/>
        </w:numPr>
        <w:spacing w:after="60" w:line="312"/>
        <w:jc w:val="both"/>
      </w:pPr>
      <w:r>
        <w:rPr>
          <w:rFonts w:ascii="Calibri" w:eastAsia="Microsoft YaHei"/>
          <w:b/>
          <w:bCs/>
          <w:color w:val="162235"/>
          <w:sz w:val="22"/>
          <w:szCs w:val="22"/>
        </w:rPr>
        <w:t xml:space="preserve">5. </w:t>
      </w:r>
      <w:r>
        <w:rPr>
          <w:rFonts w:ascii="Calibri" w:eastAsia="Microsoft YaHei"/>
          <w:color w:val="000000"/>
          <w:sz w:val="22"/>
          <w:szCs w:val="22"/>
        </w:rPr>
        <w:t xml:space="preserve">Rate limit dan throttle in-memory tidak bekerja lintas instance. Rekomendasi: tetap single-instance, atau pindahkan ke penyimpanan bersama bila scale-out.</w:t>
      </w:r>
    </w:p>
    <w:p>
      <w:pPr>
        <w:pStyle w:val="ListParagraph"/>
        <w:numPr>
          <w:ilvl w:val="0"/>
          <w:numId w:val="1"/>
        </w:numPr>
        <w:spacing w:after="60" w:line="312"/>
        <w:jc w:val="both"/>
      </w:pPr>
      <w:r>
        <w:rPr>
          <w:rFonts w:ascii="Calibri" w:eastAsia="Microsoft YaHei"/>
          <w:b/>
          <w:bCs/>
          <w:color w:val="162235"/>
          <w:sz w:val="22"/>
          <w:szCs w:val="22"/>
        </w:rPr>
        <w:t xml:space="preserve">6. </w:t>
      </w:r>
      <w:r>
        <w:rPr>
          <w:rFonts w:ascii="Calibri" w:eastAsia="Microsoft YaHei"/>
          <w:color w:val="000000"/>
          <w:sz w:val="22"/>
          <w:szCs w:val="22"/>
        </w:rPr>
        <w:t xml:space="preserve">Notif-service membaca /api/notifications?user=&lt;email&gt; tanpa auth — siapa pun yang menjangkau port dapat menghitung notifikasi user lain. Rekomendasi: token internal sederhana untuk poll service.</w:t>
      </w:r>
    </w:p>
    <w:p>
      <w:pPr>
        <w:pStyle w:val="ListParagraph"/>
        <w:numPr>
          <w:ilvl w:val="0"/>
          <w:numId w:val="1"/>
        </w:numPr>
        <w:spacing w:after="60" w:line="312"/>
        <w:jc w:val="both"/>
      </w:pPr>
      <w:r>
        <w:rPr>
          <w:rFonts w:ascii="Calibri" w:eastAsia="Microsoft YaHei"/>
          <w:b/>
          <w:bCs/>
          <w:color w:val="162235"/>
          <w:sz w:val="22"/>
          <w:szCs w:val="22"/>
        </w:rPr>
        <w:t xml:space="preserve">7. </w:t>
      </w:r>
      <w:r>
        <w:rPr>
          <w:rFonts w:ascii="Calibri" w:eastAsia="Microsoft YaHei"/>
          <w:color w:val="000000"/>
          <w:sz w:val="22"/>
          <w:szCs w:val="22"/>
        </w:rPr>
        <w:t xml:space="preserve">Kredensial kanal disimpan plaintext JSON di ChannelConfig (dimasking hanya di API). Rekomendasi: enkripsi at-rest bila diproduksi serius.</w:t>
      </w:r>
    </w:p>
    <w:p>
      <w:pPr>
        <w:pStyle w:val="ListParagraph"/>
        <w:numPr>
          <w:ilvl w:val="0"/>
          <w:numId w:val="1"/>
        </w:numPr>
        <w:spacing w:after="60" w:line="312"/>
        <w:jc w:val="both"/>
      </w:pPr>
      <w:r>
        <w:rPr>
          <w:rFonts w:ascii="Calibri" w:eastAsia="Microsoft YaHei"/>
          <w:b/>
          <w:bCs/>
          <w:color w:val="162235"/>
          <w:sz w:val="22"/>
          <w:szCs w:val="22"/>
        </w:rPr>
        <w:t xml:space="preserve">8. </w:t>
      </w:r>
      <w:r>
        <w:rPr>
          <w:rFonts w:ascii="Calibri" w:eastAsia="Microsoft YaHei"/>
          <w:color w:val="000000"/>
          <w:sz w:val="22"/>
          <w:szCs w:val="22"/>
        </w:rPr>
        <w:t xml:space="preserve">Komentar Dockerfile/compose masih menyebut src/instrumentation.ts yang sudah dihapus. Rekomendasi: rapikan komentar.</w:t>
      </w:r>
    </w:p>
    <w:p>
      <w:pPr>
        <w:pStyle w:val="ListParagraph"/>
        <w:numPr>
          <w:ilvl w:val="0"/>
          <w:numId w:val="1"/>
        </w:numPr>
        <w:spacing w:after="60" w:line="312"/>
        <w:jc w:val="both"/>
      </w:pPr>
      <w:r>
        <w:rPr>
          <w:rFonts w:ascii="Calibri" w:eastAsia="Microsoft YaHei"/>
          <w:b/>
          <w:bCs/>
          <w:color w:val="162235"/>
          <w:sz w:val="22"/>
          <w:szCs w:val="22"/>
        </w:rPr>
        <w:t xml:space="preserve">9. </w:t>
      </w:r>
      <w:r>
        <w:rPr>
          <w:rFonts w:ascii="Calibri" w:eastAsia="Microsoft YaHei"/>
          <w:color w:val="000000"/>
          <w:sz w:val="22"/>
          <w:szCs w:val="22"/>
        </w:rPr>
        <w:t xml:space="preserve">Kanal Threads belum punya verifier nyata — koneksi realistis hanya via demo/skip. Rekomendasi: tambahkan verifier Threads API.</w:t>
      </w:r>
    </w:p>
    <w:p>
      <w:pPr>
        <w:pStyle w:val="ListParagraph"/>
        <w:numPr>
          <w:ilvl w:val="0"/>
          <w:numId w:val="1"/>
        </w:numPr>
        <w:spacing w:after="60" w:line="312"/>
        <w:jc w:val="both"/>
      </w:pPr>
      <w:r>
        <w:rPr>
          <w:rFonts w:ascii="Calibri" w:eastAsia="Microsoft YaHei"/>
          <w:b/>
          <w:bCs/>
          <w:color w:val="162235"/>
          <w:sz w:val="22"/>
          <w:szCs w:val="22"/>
        </w:rPr>
        <w:t xml:space="preserve">10. </w:t>
      </w:r>
      <w:r>
        <w:rPr>
          <w:rFonts w:ascii="Calibri" w:eastAsia="Microsoft YaHei"/>
          <w:color w:val="000000"/>
          <w:sz w:val="22"/>
          <w:szCs w:val="22"/>
        </w:rPr>
        <w:t xml:space="preserve">Root /api masih placeholder Hello world. Rekomendasi: hapus atau isi health-info.</w:t>
      </w:r>
    </w:p>
    <w:p>
      <w:pPr>
        <w:pStyle w:val="ListParagraph"/>
        <w:numPr>
          <w:ilvl w:val="0"/>
          <w:numId w:val="1"/>
        </w:numPr>
        <w:spacing w:after="60" w:line="312"/>
        <w:jc w:val="both"/>
      </w:pPr>
      <w:r>
        <w:rPr>
          <w:rFonts w:ascii="Calibri" w:eastAsia="Microsoft YaHei"/>
          <w:b/>
          <w:bCs/>
          <w:color w:val="162235"/>
          <w:sz w:val="22"/>
          <w:szCs w:val="22"/>
        </w:rPr>
        <w:t xml:space="preserve">11. </w:t>
      </w:r>
      <w:r>
        <w:rPr>
          <w:rFonts w:ascii="Calibri" w:eastAsia="Microsoft YaHei"/>
          <w:color w:val="000000"/>
          <w:sz w:val="22"/>
          <w:szCs w:val="22"/>
        </w:rPr>
        <w:t xml:space="preserve">notif-service tidak dideploy di produksi Coolify sehingga health selalu degraded. Rekomendasi: tambahkan sebagai service kedua di compose dengan shared network.</w:t>
      </w:r>
    </w:p>
    <w:p>
      <w:pPr>
        <w:pStyle w:val="ListParagraph"/>
        <w:numPr>
          <w:ilvl w:val="0"/>
          <w:numId w:val="1"/>
        </w:numPr>
        <w:spacing w:after="60" w:line="312"/>
        <w:jc w:val="both"/>
      </w:pPr>
      <w:r>
        <w:rPr>
          <w:rFonts w:ascii="Calibri" w:eastAsia="Microsoft YaHei"/>
          <w:b/>
          <w:bCs/>
          <w:color w:val="162235"/>
          <w:sz w:val="22"/>
          <w:szCs w:val="22"/>
        </w:rPr>
        <w:t xml:space="preserve">12. </w:t>
      </w:r>
      <w:r>
        <w:rPr>
          <w:rFonts w:ascii="Calibri" w:eastAsia="Microsoft YaHei"/>
          <w:color w:val="000000"/>
          <w:sz w:val="22"/>
          <w:szCs w:val="22"/>
        </w:rPr>
        <w:t xml:space="preserve">Tidak ada backup otomatis SQLite di volume. Rekomendasi: cron backup sederhana (copy + compress ke path lain).</w:t>
      </w:r>
    </w:p>
    <w:p>
      <w:pPr>
        <w:pStyle w:val="Heading1"/>
        <w:pageBreakBefore/>
        <w:spacing w:after="200" w:before="360" w:line="312"/>
      </w:pPr>
      <w:bookmarkStart w:id="100069" w:name="_Toc100069"/>
      <w:r>
        <w:rPr>
          <w:rFonts w:ascii="Calibri" w:eastAsia="Microsoft YaHei"/>
          <w:b/>
          <w:bCs/>
          <w:color w:val="162235"/>
          <w:sz w:val="32"/>
          <w:szCs w:val="32"/>
        </w:rPr>
        <w:t xml:space="preserve">13. Referensi API</w:t>
      </w:r>
      <w:bookmarkEnd w:id="100069"/>
    </w:p>
    <w:p>
      <w:pPr>
        <w:spacing w:after="120" w:line="312"/>
        <w:jc w:val="both"/>
      </w:pPr>
      <w:r>
        <w:rPr>
          <w:rFonts w:ascii="Calibri" w:eastAsia="Microsoft YaHei"/>
          <w:color w:val="000000"/>
          <w:sz w:val="22"/>
          <w:szCs w:val="22"/>
        </w:rPr>
        <w:t xml:space="preserve">Konvensi respons: error selalu berbentuk {error: pesan}; 400 validasi; 401 sesi; 403 role/level; 404 tidak ada; 409 konflik unik/race; 422 unproses (lampiran berbahaya, tanpa penerima, transisi ilegal); 429 rate limit; 423 locked; 502 gagal kirim email. Kolom Akses: Publik berarti di-allowlist proxy tanpa sesi (dengan proteksi masing-masing di route); Campuran berarti perilaku berbeda dengan/tanpa sesi; Sesi berarti wajib sesi; Proxy-guard berarti lewat gerbang umum middleware.</w:t>
      </w:r>
    </w:p>
    <w:p>
      <w:pPr>
        <w:keepNext/>
        <w:spacing w:after="80" w:before="160" w:line="312"/>
      </w:pPr>
      <w:r>
        <w:rPr>
          <w:rFonts w:ascii="Calibri" w:eastAsia="Microsoft YaHei"/>
          <w:b/>
          <w:bCs/>
          <w:color w:val="5B6B7D"/>
          <w:sz w:val="20"/>
          <w:szCs w:val="20"/>
        </w:rPr>
        <w:t xml:space="preserve">Tabel 22 — Referensi cepat endpoint (bagian 1 dari 2)</w:t>
      </w:r>
    </w:p>
    <w:tbl>
      <w:tblPr>
        <w:tblW w:type="pct" w:w="5000"/>
        <w:tblBorders>
          <w:top w:val="single" w:color="1B6B7A" w:sz="6"/>
          <w:left w:val="none" w:color="FFFFFF" w:sz="0"/>
          <w:bottom w:val="single" w:color="1B6B7A" w:sz="6"/>
          <w:right w:val="none" w:color="FFFFFF" w:sz="0"/>
          <w:insideH w:val="single" w:color="C8DDE2" w:sz="2"/>
          <w:insideV w:val="none" w:color="FFFFFF" w:sz="0"/>
        </w:tblBorders>
        <w:tblLayout w:type="fixed"/>
      </w:tblPr>
      <w:tblGrid>
        <w:gridCol w:w="2988"/>
        <w:gridCol w:w="4218"/>
        <w:gridCol w:w="1582"/>
      </w:tblGrid>
      <w:tr>
        <w:trPr>
          <w:cantSplit/>
          <w:tblHeader/>
        </w:trPr>
        <w:tc>
          <w:tcPr>
            <w:tcW w:type="pct" w:w="17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8"/>
                <w:szCs w:val="18"/>
              </w:rPr>
              <w:t xml:space="preserve">Method &amp; Path</w:t>
            </w:r>
          </w:p>
        </w:tc>
        <w:tc>
          <w:tcPr>
            <w:tcW w:type="pct" w:w="24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8"/>
                <w:szCs w:val="18"/>
              </w:rPr>
              <w:t xml:space="preserve">Ringkasan</w:t>
            </w:r>
          </w:p>
        </w:tc>
        <w:tc>
          <w:tcPr>
            <w:tcW w:type="pct" w:w="9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8"/>
                <w:szCs w:val="18"/>
              </w:rPr>
              <w:t xml:space="preserve">Akses</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POST /api/auth/login</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Login email+password (rate limit; scrypt; migrasi legacy PIN)</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Publik</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GET/POST /api/auth/session</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Introspeksi (+locked) / logout</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Campuran</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POST /api/auth/lock · unlock</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Kunci layar / buka dengan PIN</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Sesi</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GET /api/bootstrap</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Seed otomatis bila DB kosong → {ready:true}</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Publik</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POST /api/bootstrap</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Force reseed (Super Admin + env gate)</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Sesi</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GET /api/brands</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Brand aktif</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Proxy-guard</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POST/PATCH /api/brands(/[id])</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CRUD brand + kop + bank + docAssets</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Sesi (super_admin/director)</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GET/POST/PATCH/DELETE /api/brands/[id]/services</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Katalog kategori/layanan/workflow + RAB + suggestedPrice</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Sesi</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PUT /api/brands/[id]/numbering</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Builder rule penomoran + preview</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Sesi</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GET /api/users</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Persona minimal (publik) / lengkap (sesi)</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Campuran</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POST/PATCH /api/users(/[id])</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CRUD user (scrypt; proteksi diri sendiri)</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Sesi</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GET/PUT /api/permissions</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Matriks RBAC / simpan massal (gate dua lapis)</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Sesi</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GET /api/dashboard</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Semua KPI + roleView + trigger SLA sweep</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Proxy-guard</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GET/POST /api/opportunities</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List (scoring on-the-fly) / create (+auto follow-up task)</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Proxy-guard</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GET/PATCH/DELETE /api/opportunities/[id]</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Detail / transisi stage (+orkestrasi Won) / soft delete</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Proxy-guard</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POST /api/opportunities/[id]/summary</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AI summary (RINGKASAN/SENTIMEN/NBA/RISIKO)</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Proxy-guard</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GET/PUT /api/opportunities/[id]/estimation</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RAB: read auto-create / save+submit (+ApprovalRequest)</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Proxy-guard</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GET /api/estimations/suggestions</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Autocomplete kategori/item/satuan RAB</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Sesi</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POST /api/opportunities/import</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Import CSV preview/commit + dedupe</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Sesi</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GET /api/inbox</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Lead list + SLA + candidates + thread (+sweep, IMAP bg)</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Proxy-guard</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POST /api/inbox/convert</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Konversi lead → contact+opportunity (transaksi atomik)</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Sesi</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POST /api/inbox/respond</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Balas lead/kontak (SMTP nyata untuk email)</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Sesi</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POST /api/inbox/link · escalate</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Gabung identitas / eskalasi manual (dedupe 409)</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Sesi</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PATCH/DELETE /api/inbox/[id]</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Pulihkan arsip / arsip / hapus permanen dua-langkah</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Sesi</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POST /api/identify</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Identity matching (top 5 + reasons)</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Proxy-guard</w:t>
            </w:r>
          </w:p>
        </w:tc>
      </w:tr>
    </w:tbl>
    <w:p>
      <w:pPr>
        <w:keepNext/>
        <w:spacing w:after="80" w:before="160" w:line="312"/>
      </w:pPr>
      <w:r>
        <w:rPr>
          <w:rFonts w:ascii="Calibri" w:eastAsia="Microsoft YaHei"/>
          <w:b/>
          <w:bCs/>
          <w:color w:val="5B6B7D"/>
          <w:sz w:val="20"/>
          <w:szCs w:val="20"/>
        </w:rPr>
        <w:t xml:space="preserve">Tabel 23 — Referensi cepat endpoint (bagian 2 dari 2)</w:t>
      </w:r>
    </w:p>
    <w:tbl>
      <w:tblPr>
        <w:tblW w:type="pct" w:w="5000"/>
        <w:tblBorders>
          <w:top w:val="single" w:color="1B6B7A" w:sz="6"/>
          <w:left w:val="none" w:color="FFFFFF" w:sz="0"/>
          <w:bottom w:val="single" w:color="1B6B7A" w:sz="6"/>
          <w:right w:val="none" w:color="FFFFFF" w:sz="0"/>
          <w:insideH w:val="single" w:color="C8DDE2" w:sz="2"/>
          <w:insideV w:val="none" w:color="FFFFFF" w:sz="0"/>
        </w:tblBorders>
        <w:tblLayout w:type="fixed"/>
      </w:tblPr>
      <w:tblGrid>
        <w:gridCol w:w="2988"/>
        <w:gridCol w:w="4218"/>
        <w:gridCol w:w="1582"/>
      </w:tblGrid>
      <w:tr>
        <w:trPr>
          <w:cantSplit/>
          <w:tblHeader/>
        </w:trPr>
        <w:tc>
          <w:tcPr>
            <w:tcW w:type="pct" w:w="17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8"/>
                <w:szCs w:val="18"/>
              </w:rPr>
              <w:t xml:space="preserve">Method &amp; Path</w:t>
            </w:r>
          </w:p>
        </w:tc>
        <w:tc>
          <w:tcPr>
            <w:tcW w:type="pct" w:w="24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8"/>
                <w:szCs w:val="18"/>
              </w:rPr>
              <w:t xml:space="preserve">Ringkasan</w:t>
            </w:r>
          </w:p>
        </w:tc>
        <w:tc>
          <w:tcPr>
            <w:tcW w:type="pct" w:w="9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8"/>
                <w:szCs w:val="18"/>
              </w:rPr>
              <w:t xml:space="preserve">Akses</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GET/POST /api/interactions</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Timeline / catat pesan (SMTP untuk email; bump updatedAt)</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Proxy-guard/Sesi</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GET /api/interactions/[id]/attachments</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Unduh lampiran aman (attachment, nosniff)</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Sesi</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GET/POST/PATCH /api/tasks(/[id])</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Task CRUD (multi-assignee; push ke assignee)</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Proxy-guard/Sesi</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GET/POST/PATCH /api/projects</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Project CRUD + milestone breakdown berantai + recompute</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Proxy-guard/Sesi</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POST/PATCH /api/projects/milestones</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Milestone CRUD (push saat done)</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Sesi</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GET/POST /api/projects/[id]/deliverables (+PATCH/DELETE)</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Deliverable kirim/review/hapus</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Sesi</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POST /api/projects/[id]/email-link</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Kirim link portal via email (auto-token)</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Sesi</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GET/POST/PATCH /api/briefs(/[id])</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Brief CRUD + workflow transisi whitelist</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Proxy-guard/Sesi</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GET/POST /api/quotations + PATCH [id]</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Quotation CRUD + lifecycle (send/share/accept/reject/convert/revisi)</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Sesi</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GET /api/public/quotation/[token]</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Halaman approval publik (+?pdf=1)</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Publik (key/password)</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POST /api/public/quotation/[token]</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sign (e-sign → Won) / request_new_code</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Publik (rate limit)</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GET /api/invoices</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List + sweep overdue + aging buckets</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Proxy-guard</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POST /api/invoices</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8 action: add_payment, send, cancel, update, delete_payment, create_standalone, create, revise</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Sesi (finance gate)</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GET/PATCH /api/approvals</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Approval list/decision (+auto quotation + auto negotiation)</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Sesi (director)</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GET/POST/PATCH /api/change-requests</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CR ajukan/putuskan (+auto invoice, guard race)</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Sesi</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GET /api/service-map</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Matriks layanan × brand + cross-sell per perusahaan</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Proxy-guard</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GET/POST/PATCH/DELETE /api/portal/tokens(/[id])</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Token portal CRUD (revoke)</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Sesi (super_admin/director)</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GET /api/portal/[token]</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Data portal klien (projects/deliverables/invoices/dokumen)</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Publik (token)</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POST /api/portal/[token]/review</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Review deliverable oleh klien</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Publik (token)</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GET/POST /api/portal/documents + DELETE [id]</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Dokumen MoU/notulen/dokumen</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Sesi</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GET/POST /api/public/intake/[token]</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Meta form / submit intake publik (+brief PDF+email)</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Publik (rate limit)</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GET/POST/PATCH/DELETE /api/pipeline/intake-links(/[id])</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Kelola link intake</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Sesi</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GET/POST/PATCH/DELETE /api/contacts(/[id])</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Kontak CRUD (+duplicateCandidates)</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Proxy-guard/Sesi</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POST /api/contacts/import · merge · GET duplicates</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Import CSV dua-fase / merge transaksional / scanner</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Sesi</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GET/POST/PATCH /api/companies(/[id])</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Perusahaan CRUD (nama unik)</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Proxy-guard/Sesi</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GET/POST/PATCH/DELETE /api/channels(/[id]) + demo + email-sync</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Kanal: verifikasi nyata, demo satu-klik, sync IMAP</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Sesi (super_admin/director)</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GET/POST /api/webhooks/whatsapp</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Handshake Meta / status kirim (HMAC)</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Publik (signature)</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GET/POST /api/notifications</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Notifikasi komputasi / mark read-dismiss</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Publik (user param)</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GET/PUT /api/notif-prefs</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Preferensi notifikasi (UserPreference)</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Publik (user param)</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GET /api/push/public-key · POST subscribe/unsubscribe</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Web Push VAPID</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Sesi</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GET/POST/PATCH/DELETE /api/followup-templates(/[id])</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Template follow-up (versioning)</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Proxy-guard/Sesi</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GET/POST/PATCH /api/taxes</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Master pajak (auto-seed)</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Sesi (finance gate)</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GET /api/industries</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Autocomplete industri</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Sesi</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GET /api/audit-logs</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Audit trail (filter entity/action/limit)</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Sesi (super_admin/director)</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GET /api/search</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Global search 7 entitas (command-K)</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Proxy-guard</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GET /api/reports</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6 laporan periode (days 30/90/365)</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Proxy-guard</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GET /api/health</w:t>
            </w:r>
          </w:p>
        </w:tc>
        <w:tc>
          <w:tcPr>
            <w:tcW w:type="pct" w:w="24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Health probe (anonim hanya {status})</w:t>
            </w:r>
          </w:p>
        </w:tc>
        <w:tc>
          <w:tcPr>
            <w:tcW w:type="pct" w:w="900"/>
            <w:tcMar>
              <w:top w:type="dxa" w:w="70"/>
              <w:left w:type="dxa" w:w="110"/>
              <w:bottom w:type="dxa" w:w="70"/>
              <w:right w:type="dxa" w:w="110"/>
            </w:tcMar>
            <w:vAlign w:val="top"/>
          </w:tcPr>
          <w:p>
            <w:pPr>
              <w:spacing w:line="264"/>
              <w:jc w:val="left"/>
            </w:pPr>
            <w:r>
              <w:rPr>
                <w:rFonts w:ascii="Calibri" w:eastAsia="Microsoft YaHei"/>
                <w:b w:val="false"/>
                <w:bCs w:val="false"/>
                <w:color w:val="000000"/>
                <w:sz w:val="18"/>
                <w:szCs w:val="18"/>
              </w:rPr>
              <w:t xml:space="preserve">Publik</w:t>
            </w:r>
          </w:p>
        </w:tc>
      </w:tr>
    </w:tbl>
    <w:p>
      <w:pPr>
        <w:pStyle w:val="Heading1"/>
        <w:pageBreakBefore/>
        <w:spacing w:after="200" w:before="360" w:line="312"/>
      </w:pPr>
      <w:bookmarkStart w:id="100070" w:name="_Toc100070"/>
      <w:r>
        <w:rPr>
          <w:rFonts w:ascii="Calibri" w:eastAsia="Microsoft YaHei"/>
          <w:b/>
          <w:bCs/>
          <w:color w:val="162235"/>
          <w:sz w:val="32"/>
          <w:szCs w:val="32"/>
        </w:rPr>
        <w:t xml:space="preserve">14. Lampiran</w:t>
      </w:r>
      <w:bookmarkEnd w:id="100070"/>
    </w:p>
    <w:p>
      <w:pPr>
        <w:pStyle w:val="Heading2"/>
        <w:spacing w:after="140" w:before="280" w:line="312"/>
      </w:pPr>
      <w:bookmarkStart w:id="100071" w:name="_Toc100071"/>
      <w:r>
        <w:rPr>
          <w:rFonts w:ascii="Calibri" w:eastAsia="Microsoft YaHei"/>
          <w:b/>
          <w:bCs/>
          <w:color w:val="162235"/>
          <w:sz w:val="27"/>
          <w:szCs w:val="27"/>
        </w:rPr>
        <w:t xml:space="preserve">14.1 Data seed demo</w:t>
      </w:r>
      <w:bookmarkEnd w:id="100071"/>
    </w:p>
    <w:p>
      <w:pPr>
        <w:spacing w:after="120" w:line="312"/>
        <w:jc w:val="both"/>
      </w:pPr>
      <w:r>
        <w:rPr>
          <w:rFonts w:ascii="Calibri" w:eastAsia="Microsoft YaHei"/>
          <w:color w:val="000000"/>
          <w:sz w:val="22"/>
          <w:szCs w:val="22"/>
        </w:rPr>
        <w:t xml:space="preserve">Seed (src/lib/crm/seed.ts, 825 baris) dipicu GET /api/bootstrap atau first-boot container: 4 brand dengan data asli (Unimasi UMS SLA 4 jam; Segia Tech SGT SLA 2 jam; Erfo Multimedia EFM SLA 6 jam; Unicam Studio UCS SLA 8 jam — lengkap logo, tagline, alamat, WA/IG/Threads/email, prefix dokumen); katalog layanan per brand (ServiceCategory → Service dengan unit, basePrice, RAB, margin 30% → WorkflowStage); 16 ChannelConfig demo (4 brand × 4 kanal, isDemo true); 9 user (direktur Andri, manajer Budi, 4 produksi, finance Sika, HR Latifa, marketing Fadel) dengan password udp1234 dan PIN 1234 (scrypt); 10 company (termasuk sektor government dan klien Singapore/USD); 12 contact termasuk pasangan duplikat Ibu Ratna untuk demo matching; 20 opportunity yang menutup semua stage (3 won, 2 lost dengan alasan, 2 nurture, 1 cross-sell, 1 USD); 3 ClientBrief; ±15 Interaction dan 6 raw inbox lead (termasuk 1 duplikat identitas); 17 task multi-assignee; 6 note; 3 project dengan milestones dari template; 5 invoice + payment (paid/partial/overdue); 2 estimation (draft dan pending_approval dengan ApprovalRequest); 2 quotation (sent dan accepted); 2 change request (approved → invoice tambahan; pending); 5 follow-up template; 7 audit log; serta reset ModulePermission ke matriks default. db/custom.db.seed (±1,7 MB) adalah snapshot DB yang disalin saat first-boot container.</w:t>
      </w:r>
    </w:p>
    <w:p>
      <w:pPr>
        <w:pStyle w:val="Heading2"/>
        <w:spacing w:after="140" w:before="280" w:line="312"/>
      </w:pPr>
      <w:bookmarkStart w:id="100072" w:name="_Toc100072"/>
      <w:r>
        <w:rPr>
          <w:rFonts w:ascii="Calibri" w:eastAsia="Microsoft YaHei"/>
          <w:b/>
          <w:bCs/>
          <w:color w:val="162235"/>
          <w:sz w:val="27"/>
          <w:szCs w:val="27"/>
        </w:rPr>
        <w:t xml:space="preserve">14.2 Akun dan kredensial demo</w:t>
      </w:r>
      <w:bookmarkEnd w:id="100072"/>
    </w:p>
    <w:p>
      <w:pPr>
        <w:keepNext/>
        <w:spacing w:after="80" w:before="160" w:line="312"/>
      </w:pPr>
      <w:r>
        <w:rPr>
          <w:rFonts w:ascii="Calibri" w:eastAsia="Microsoft YaHei"/>
          <w:b/>
          <w:bCs/>
          <w:color w:val="5B6B7D"/>
          <w:sz w:val="20"/>
          <w:szCs w:val="20"/>
        </w:rPr>
        <w:t xml:space="preserve">Tabel 24 — Kredensial demo</w:t>
      </w:r>
    </w:p>
    <w:tbl>
      <w:tblPr>
        <w:tblW w:type="pct" w:w="5000"/>
        <w:tblBorders>
          <w:top w:val="single" w:color="1B6B7A" w:sz="6"/>
          <w:left w:val="none" w:color="FFFFFF" w:sz="0"/>
          <w:bottom w:val="single" w:color="1B6B7A" w:sz="6"/>
          <w:right w:val="none" w:color="FFFFFF" w:sz="0"/>
          <w:insideH w:val="single" w:color="C8DDE2" w:sz="2"/>
          <w:insideV w:val="none" w:color="FFFFFF" w:sz="0"/>
        </w:tblBorders>
        <w:tblLayout w:type="fixed"/>
      </w:tblPr>
      <w:tblGrid>
        <w:gridCol w:w="2988"/>
        <w:gridCol w:w="5800"/>
      </w:tblGrid>
      <w:tr>
        <w:trPr>
          <w:cantSplit/>
          <w:tblHeader/>
        </w:trPr>
        <w:tc>
          <w:tcPr>
            <w:tcW w:type="pct" w:w="17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9"/>
                <w:szCs w:val="19"/>
              </w:rPr>
              <w:t xml:space="preserve">Keterangan</w:t>
            </w:r>
          </w:p>
        </w:tc>
        <w:tc>
          <w:tcPr>
            <w:tcW w:type="pct" w:w="33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9"/>
                <w:szCs w:val="19"/>
              </w:rPr>
              <w:t xml:space="preserve">Nilai</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Login (email + password)</w:t>
            </w:r>
          </w:p>
        </w:tc>
        <w:tc>
          <w:tcPr>
            <w:tcW w:type="pct" w:w="3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Semua akun @udp.co.id, password udp1234 (mis. andri@udp.co.id = director)</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PIN kunci layar</w:t>
            </w:r>
          </w:p>
        </w:tc>
        <w:tc>
          <w:tcPr>
            <w:tcW w:type="pct" w:w="3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1234 (semua user)</w:t>
            </w:r>
          </w:p>
        </w:tc>
      </w:tr>
      <w:tr>
        <w:trPr>
          <w:cantSplit/>
        </w:trPr>
        <w:tc>
          <w:tcPr>
            <w:tcW w:type="pct" w:w="17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Layar login</w:t>
            </w:r>
          </w:p>
        </w:tc>
        <w:tc>
          <w:tcPr>
            <w:tcW w:type="pct" w:w="33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Chip persona mengisi form dari GET /api/users (tanpa PIN)</w:t>
            </w:r>
          </w:p>
        </w:tc>
      </w:tr>
    </w:tbl>
    <w:p>
      <w:pPr>
        <w:pStyle w:val="Heading2"/>
        <w:spacing w:after="140" w:before="280" w:line="312"/>
      </w:pPr>
      <w:bookmarkStart w:id="100073" w:name="_Toc100073"/>
      <w:r>
        <w:rPr>
          <w:rFonts w:ascii="Calibri" w:eastAsia="Microsoft YaHei"/>
          <w:b/>
          <w:bCs/>
          <w:color w:val="162235"/>
          <w:sz w:val="27"/>
          <w:szCs w:val="27"/>
        </w:rPr>
        <w:t xml:space="preserve">14.3 Glosarium</w:t>
      </w:r>
      <w:bookmarkEnd w:id="100073"/>
    </w:p>
    <w:p>
      <w:pPr>
        <w:keepNext/>
        <w:spacing w:after="80" w:before="160" w:line="312"/>
      </w:pPr>
      <w:r>
        <w:rPr>
          <w:rFonts w:ascii="Calibri" w:eastAsia="Microsoft YaHei"/>
          <w:b/>
          <w:bCs/>
          <w:color w:val="5B6B7D"/>
          <w:sz w:val="20"/>
          <w:szCs w:val="20"/>
        </w:rPr>
        <w:t xml:space="preserve">Tabel 25 — Istilah penting</w:t>
      </w:r>
    </w:p>
    <w:tbl>
      <w:tblPr>
        <w:tblW w:type="pct" w:w="5000"/>
        <w:tblBorders>
          <w:top w:val="single" w:color="1B6B7A" w:sz="6"/>
          <w:left w:val="none" w:color="FFFFFF" w:sz="0"/>
          <w:bottom w:val="single" w:color="1B6B7A" w:sz="6"/>
          <w:right w:val="none" w:color="FFFFFF" w:sz="0"/>
          <w:insideH w:val="single" w:color="C8DDE2" w:sz="2"/>
          <w:insideV w:val="none" w:color="FFFFFF" w:sz="0"/>
        </w:tblBorders>
        <w:tblLayout w:type="fixed"/>
      </w:tblPr>
      <w:tblGrid>
        <w:gridCol w:w="2109"/>
        <w:gridCol w:w="6679"/>
      </w:tblGrid>
      <w:tr>
        <w:trPr>
          <w:cantSplit/>
          <w:tblHeader/>
        </w:trPr>
        <w:tc>
          <w:tcPr>
            <w:tcW w:type="pct" w:w="12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9"/>
                <w:szCs w:val="19"/>
              </w:rPr>
              <w:t xml:space="preserve">Istilah</w:t>
            </w:r>
          </w:p>
        </w:tc>
        <w:tc>
          <w:tcPr>
            <w:tcW w:type="pct" w:w="3800"/>
            <w:shd w:fill="1B6B7A" w:val="clear"/>
            <w:tcMar>
              <w:top w:type="dxa" w:w="70"/>
              <w:left w:type="dxa" w:w="110"/>
              <w:bottom w:type="dxa" w:w="70"/>
              <w:right w:type="dxa" w:w="110"/>
            </w:tcMar>
            <w:vAlign w:val="top"/>
          </w:tcPr>
          <w:p>
            <w:pPr>
              <w:spacing w:line="264"/>
              <w:jc w:val="left"/>
            </w:pPr>
            <w:r>
              <w:rPr>
                <w:rFonts w:ascii="Calibri" w:eastAsia="Microsoft YaHei"/>
                <w:b/>
                <w:bCs/>
                <w:color w:val="FFFFFF"/>
                <w:sz w:val="19"/>
                <w:szCs w:val="19"/>
              </w:rPr>
              <w:t xml:space="preserve">Arti</w:t>
            </w:r>
          </w:p>
        </w:tc>
      </w:tr>
      <w:tr>
        <w:trPr>
          <w:cantSplit/>
        </w:trPr>
        <w:tc>
          <w:tcPr>
            <w:tcW w:type="pct" w:w="12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Lead mentah</w:t>
            </w:r>
          </w:p>
        </w:tc>
        <w:tc>
          <w:tcPr>
            <w:tcW w:type="pct" w:w="38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Interaction inbound yang belum tertaut opportunity (masih di Inbox Perlu Tindakan)</w:t>
            </w:r>
          </w:p>
        </w:tc>
      </w:tr>
      <w:tr>
        <w:trPr>
          <w:cantSplit/>
        </w:trPr>
        <w:tc>
          <w:tcPr>
            <w:tcW w:type="pct" w:w="12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Won transition</w:t>
            </w:r>
          </w:p>
        </w:tc>
        <w:tc>
          <w:tcPr>
            <w:tcW w:type="pct" w:w="38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Orkestrasi otomatis saat deal dimenangkan (project + milestone + invoice DP + portal)</w:t>
            </w:r>
          </w:p>
        </w:tc>
      </w:tr>
      <w:tr>
        <w:trPr>
          <w:cantSplit/>
        </w:trPr>
        <w:tc>
          <w:tcPr>
            <w:tcW w:type="pct" w:w="12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TOP</w:t>
            </w:r>
          </w:p>
        </w:tc>
        <w:tc>
          <w:tcPr>
            <w:tcW w:type="pct" w:w="38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Term Of Payment — jadwal termin terstruktur (label/pct/dueDays/dueEvent)</w:t>
            </w:r>
          </w:p>
        </w:tc>
      </w:tr>
      <w:tr>
        <w:trPr>
          <w:cantSplit/>
        </w:trPr>
        <w:tc>
          <w:tcPr>
            <w:tcW w:type="pct" w:w="12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BASTP</w:t>
            </w:r>
          </w:p>
        </w:tc>
        <w:tc>
          <w:tcPr>
            <w:tcW w:type="pct" w:w="38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Berita Acara Serah Terima Pekerjaan — momen jatuh tempo termin (dueEvent bastp)</w:t>
            </w:r>
          </w:p>
        </w:tc>
      </w:tr>
      <w:tr>
        <w:trPr>
          <w:cantSplit/>
        </w:trPr>
        <w:tc>
          <w:tcPr>
            <w:tcW w:type="pct" w:w="12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RAB</w:t>
            </w:r>
          </w:p>
        </w:tc>
        <w:tc>
          <w:tcPr>
            <w:tcW w:type="pct" w:w="38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Rencana Anggaran Biaya — cost breakdown kategori → item di Estimation</w:t>
            </w:r>
          </w:p>
        </w:tc>
      </w:tr>
      <w:tr>
        <w:trPr>
          <w:cantSplit/>
        </w:trPr>
        <w:tc>
          <w:tcPr>
            <w:tcW w:type="pct" w:w="12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Magic key</w:t>
            </w:r>
          </w:p>
        </w:tc>
        <w:tc>
          <w:tcPr>
            <w:tcW w:type="pct" w:w="38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Kunci satu-permintaan untuk secure link quotation (hanya SHA-256-nya disimpan)</w:t>
            </w:r>
          </w:p>
        </w:tc>
      </w:tr>
      <w:tr>
        <w:trPr>
          <w:cantSplit/>
        </w:trPr>
        <w:tc>
          <w:tcPr>
            <w:tcW w:type="pct" w:w="12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SLA sweep</w:t>
            </w:r>
          </w:p>
        </w:tc>
        <w:tc>
          <w:tcPr>
            <w:tcW w:type="pct" w:w="38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Pemindaian berkala lead yang melewati SLA respons brand → eskalasi otomatis</w:t>
            </w:r>
          </w:p>
        </w:tc>
      </w:tr>
      <w:tr>
        <w:trPr>
          <w:cantSplit/>
        </w:trPr>
        <w:tc>
          <w:tcPr>
            <w:tcW w:type="pct" w:w="12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Thread unify</w:t>
            </w:r>
          </w:p>
        </w:tc>
        <w:tc>
          <w:tcPr>
            <w:tcW w:type="pct" w:w="38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Penggabungan pesan lintas kanal ke satu contact/opportunity berdasarkan identitas</w:t>
            </w:r>
          </w:p>
        </w:tc>
      </w:tr>
      <w:tr>
        <w:trPr>
          <w:cantSplit/>
        </w:trPr>
        <w:tc>
          <w:tcPr>
            <w:tcW w:type="pct" w:w="12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roleView</w:t>
            </w:r>
          </w:p>
        </w:tc>
        <w:tc>
          <w:tcPr>
            <w:tcW w:type="pct" w:w="3800"/>
            <w:tcMar>
              <w:top w:type="dxa" w:w="70"/>
              <w:left w:type="dxa" w:w="110"/>
              <w:bottom w:type="dxa" w:w="70"/>
              <w:right w:type="dxa" w:w="110"/>
            </w:tcMar>
            <w:vAlign w:val="top"/>
          </w:tcPr>
          <w:p>
            <w:pPr>
              <w:spacing w:line="264"/>
              <w:jc w:val="left"/>
            </w:pPr>
            <w:r>
              <w:rPr>
                <w:rFonts w:ascii="Calibri" w:eastAsia="Microsoft YaHei"/>
                <w:b w:val="false"/>
                <w:bCs w:val="false"/>
                <w:color w:val="000000"/>
                <w:sz w:val="19"/>
                <w:szCs w:val="19"/>
              </w:rPr>
              <w:t xml:space="preserve">Blok data dashboard yang di-scope per peran (mine/finance/production/team)</w:t>
            </w:r>
          </w:p>
        </w:tc>
      </w:tr>
    </w:tbl>
    <w:p>
      <w:pPr>
        <w:spacing w:after="200"/>
      </w:pPr>
    </w:p>
    <w:p>
      <w:pPr>
        <w:spacing w:after="120" w:line="312"/>
        <w:jc w:val="both"/>
      </w:pPr>
      <w:r>
        <w:rPr>
          <w:rFonts w:ascii="Calibri" w:eastAsia="Microsoft YaHei"/>
          <w:color w:val="000000"/>
          <w:sz w:val="22"/>
          <w:szCs w:val="22"/>
        </w:rPr>
        <w:t xml:space="preserve">Dokumen ini dihasilkan dari pembacaan menyeluruh source code (lima agen eksplorasi paralel) dan diverifikasi silang terhadap worklog proyek (worklog.md). Versi Markdown sumber tersedia di docs/ARSITEKTUR-DAN-BUSINESS-LOGIC.md. Perubahan perilaku di masa depan sebaiknya memperbarui kedua versi agar dokumen tetap menjadi sumber kebenaran arsitektur.</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Microsoft YaHei"/>
        <w:color w:val="888888"/>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Microsoft YaHei"/>
        <w:color w:val="888888"/>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2" w:space="4"/>
      </w:pBdr>
      <w:jc w:val="center"/>
    </w:pPr>
    <w:r>
      <w:rPr>
        <w:rFonts w:ascii="Calibri" w:eastAsia="Microsoft YaHei"/>
        <w:color w:val="888888"/>
        <w:sz w:val="16"/>
        <w:szCs w:val="16"/>
      </w:rPr>
      <w:t xml:space="preserve">Arsitektur &amp; Business Logic — UDP CRM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2"/>
        <w:szCs w:val="22"/>
      </w:rPr>
    </w:rPrDefault>
    <w:pPrDefault>
      <w:pPr>
        <w:spacing w:line="312"/>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Calibri" w:eastAsia="Microsoft YaHei"/>
      <w:b/>
      <w:bCs/>
      <w:color w:val="162235"/>
      <w:sz w:val="32"/>
      <w:szCs w:val="32"/>
    </w:rPr>
  </w:style>
  <w:style w:type="paragraph" w:styleId="Heading2">
    <w:name w:val="Heading 2"/>
    <w:basedOn w:val="Normal"/>
    <w:next w:val="Normal"/>
    <w:qFormat/>
    <w:pPr>
      <w:spacing w:after="120" w:before="280" w:line="312"/>
      <w:outlineLvl w:val="1"/>
    </w:pPr>
    <w:rPr>
      <w:rFonts w:ascii="Calibri" w:eastAsia="Microsoft YaHei"/>
      <w:b/>
      <w:bCs/>
      <w:color w:val="162235"/>
      <w:sz w:val="27"/>
      <w:szCs w:val="27"/>
    </w:rPr>
  </w:style>
  <w:style w:type="paragraph" w:styleId="Heading3">
    <w:name w:val="Heading 3"/>
    <w:basedOn w:val="Normal"/>
    <w:next w:val="Normal"/>
    <w:qFormat/>
    <w:pPr>
      <w:spacing w:after="100" w:before="220" w:line="312"/>
      <w:outlineLvl w:val="2"/>
    </w:pPr>
    <w:rPr>
      <w:rFonts w:ascii="Calibri" w:eastAsia="Microsoft YaHei"/>
      <w:b/>
      <w:bCs/>
      <w:color w:val="1B6B7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2026-09-30T11:22:57.267Z</dcterms:created>
  <dcterms:modified xsi:type="dcterms:W3CDTF">2026-09-30T11:22:57.267Z</dcterms:modified>
</cp:coreProperties>
</file>

<file path=docProps/custom.xml><?xml version="1.0" encoding="utf-8"?>
<Properties xmlns="http://schemas.openxmlformats.org/officeDocument/2006/custom-properties" xmlns:vt="http://schemas.openxmlformats.org/officeDocument/2006/docPropsVTypes"/>
</file>