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2A1C0" w14:textId="77777777" w:rsidR="00F177D9" w:rsidRDefault="00000000">
      <w:pPr>
        <w:spacing w:after="40"/>
      </w:pPr>
      <w:r>
        <w:rPr>
          <w:b/>
          <w:bCs/>
          <w:color w:val="1F3A5F"/>
          <w:sz w:val="40"/>
          <w:szCs w:val="40"/>
        </w:rPr>
        <w:t>EquitiFy</w:t>
      </w:r>
    </w:p>
    <w:p w14:paraId="50C3E478" w14:textId="77777777" w:rsidR="00F177D9" w:rsidRDefault="00000000">
      <w:pPr>
        <w:spacing w:after="160"/>
      </w:pPr>
      <w:r>
        <w:rPr>
          <w:caps/>
          <w:color w:val="555555"/>
          <w:spacing w:val="20"/>
          <w:sz w:val="24"/>
          <w:szCs w:val="24"/>
        </w:rPr>
        <w:t>Website Copy — DRAFT</w:t>
      </w:r>
    </w:p>
    <w:p w14:paraId="06209F65" w14:textId="77777777" w:rsidR="00F177D9" w:rsidRDefault="00F177D9">
      <w:pPr>
        <w:pBdr>
          <w:bottom w:val="single" w:sz="8" w:space="1" w:color="1F3A5F"/>
        </w:pBdr>
        <w:spacing w:after="160"/>
      </w:pPr>
    </w:p>
    <w:p w14:paraId="2C8FAA54" w14:textId="77777777" w:rsidR="00F177D9" w:rsidRDefault="00000000">
      <w:pPr>
        <w:spacing w:after="140" w:line="276" w:lineRule="auto"/>
      </w:pPr>
      <w:r>
        <w:rPr>
          <w:b/>
          <w:bCs/>
        </w:rPr>
        <w:t xml:space="preserve">Prepared by: </w:t>
      </w:r>
      <w:r>
        <w:t>Jason R. Stancil, General Counsel, EquitiFy, Inc.</w:t>
      </w:r>
    </w:p>
    <w:p w14:paraId="1E861AAE" w14:textId="77777777" w:rsidR="00F177D9" w:rsidRDefault="00000000">
      <w:pPr>
        <w:spacing w:after="140" w:line="276" w:lineRule="auto"/>
      </w:pPr>
      <w:r>
        <w:rPr>
          <w:b/>
          <w:bCs/>
        </w:rPr>
        <w:t xml:space="preserve">Status: </w:t>
      </w:r>
      <w:r>
        <w:rPr>
          <w:color w:val="9B1C1C"/>
        </w:rPr>
        <w:t>Draft for internal review — NOT approved for publication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7D9" w14:paraId="78F14F4D" w14:textId="77777777">
        <w:tblPrEx>
          <w:tblCellMar>
            <w:top w:w="0" w:type="dxa"/>
            <w:bottom w:w="0" w:type="dxa"/>
          </w:tblCellMar>
        </w:tblPrEx>
        <w:tc>
          <w:tcPr>
            <w:tcW w:w="9360" w:type="dxa"/>
            <w:tcBorders>
              <w:top w:val="single" w:sz="6" w:space="0" w:color="C9A227"/>
              <w:left w:val="single" w:sz="18" w:space="0" w:color="C9A227"/>
              <w:bottom w:val="single" w:sz="6" w:space="0" w:color="C9A227"/>
              <w:right w:val="single" w:sz="6" w:space="0" w:color="C9A227"/>
            </w:tcBorders>
            <w:shd w:val="clear" w:color="auto" w:fill="F3F0E8"/>
            <w:tcMar>
              <w:top w:w="120" w:type="dxa"/>
              <w:left w:w="160" w:type="dxa"/>
              <w:bottom w:w="120" w:type="dxa"/>
              <w:right w:w="160" w:type="dxa"/>
            </w:tcMar>
          </w:tcPr>
          <w:p w14:paraId="19BA479A" w14:textId="77777777" w:rsidR="00F177D9" w:rsidRDefault="00000000">
            <w:pPr>
              <w:spacing w:after="60"/>
            </w:pPr>
            <w:r>
              <w:rPr>
                <w:b/>
                <w:bCs/>
                <w:color w:val="7A5C00"/>
              </w:rPr>
              <w:t>Note to Kazim</w:t>
            </w:r>
          </w:p>
          <w:p w14:paraId="1A598FE0" w14:textId="77777777" w:rsidR="00F177D9" w:rsidRDefault="00000000">
            <w:r>
              <w:t>All figures below are placeholders in [BRACKETS]. Fill each one with a real, documentable number from our own closed transactions before this goes anywhere. See the fill-in guide at the end. Nothing goes live until I’ve reviewed the full site against the fund PPM.</w:t>
            </w:r>
          </w:p>
        </w:tc>
      </w:tr>
    </w:tbl>
    <w:p w14:paraId="5C7C2F63" w14:textId="77777777" w:rsidR="00F177D9" w:rsidRDefault="00F177D9">
      <w:pPr>
        <w:spacing w:after="120"/>
      </w:pPr>
    </w:p>
    <w:p w14:paraId="2332D0E4" w14:textId="77777777" w:rsidR="00F177D9" w:rsidRDefault="00000000">
      <w:pPr>
        <w:pStyle w:val="Heading1"/>
        <w:spacing w:before="280" w:after="120"/>
      </w:pPr>
      <w:r>
        <w:rPr>
          <w:b/>
          <w:bCs/>
          <w:color w:val="1F3A5F"/>
          <w:sz w:val="28"/>
          <w:szCs w:val="28"/>
        </w:rPr>
        <w:t>Who We Are</w:t>
      </w:r>
    </w:p>
    <w:p w14:paraId="6F849231" w14:textId="77777777" w:rsidR="00F177D9" w:rsidRDefault="00000000">
      <w:pPr>
        <w:spacing w:after="140" w:line="276" w:lineRule="auto"/>
      </w:pPr>
      <w:r>
        <w:t>EquitiFy is a privately held real estate investment and asset management firm focused on net-leased retail and fuel-retail commercial real estate across the United States. We acquire, develop, and manage single-tenant and multi-tenant retail assets — with particular depth in convenience-store and fuel-retail properties — for our own account and on behalf of our investor network.</w:t>
      </w:r>
    </w:p>
    <w:p w14:paraId="4BE95A0F" w14:textId="77777777" w:rsidR="00F177D9" w:rsidRDefault="00000000">
      <w:pPr>
        <w:spacing w:after="140" w:line="276" w:lineRule="auto"/>
      </w:pPr>
      <w:r>
        <w:t>Headquartered in the Dallas–Fort Worth area, EquitiFy operates as an entrepreneurial, principal-led organization. We pair the speed and hands-on focus of a boutique firm with the underwriting discipline and risk management of an institutional platform.</w:t>
      </w:r>
    </w:p>
    <w:p w14:paraId="5230DFD1" w14:textId="77777777" w:rsidR="00F177D9" w:rsidRDefault="00000000">
      <w:pPr>
        <w:spacing w:after="140" w:line="276" w:lineRule="auto"/>
      </w:pPr>
      <w:r>
        <w:t>Our approach is grounded in real estate fundamentals and unit-level economics. We underwrite each asset on the strength of its location, its tenant, and the cash flow it actually produces — not on market momentum. That discipline governs how we source, structure, and hold every property we bring into the portfolio.</w:t>
      </w:r>
    </w:p>
    <w:p w14:paraId="3807441F" w14:textId="77777777" w:rsidR="00F177D9" w:rsidRDefault="00000000">
      <w:pPr>
        <w:pStyle w:val="Heading1"/>
        <w:spacing w:before="280" w:after="120"/>
      </w:pPr>
      <w:r>
        <w:rPr>
          <w:b/>
          <w:bCs/>
          <w:color w:val="1F3A5F"/>
          <w:sz w:val="28"/>
          <w:szCs w:val="28"/>
        </w:rPr>
        <w:t>Our Strategy</w:t>
      </w:r>
    </w:p>
    <w:p w14:paraId="09CD2205" w14:textId="77777777" w:rsidR="00F177D9" w:rsidRDefault="00000000">
      <w:pPr>
        <w:spacing w:after="140" w:line="276" w:lineRule="auto"/>
      </w:pPr>
      <w:r>
        <w:t>We target well-located net-leased retail and industrial assets and neighborhood retail centers with durable tenancy and defensible cash flow. Our investment strategy emphasizes:</w:t>
      </w:r>
    </w:p>
    <w:p w14:paraId="1D9EDB9B" w14:textId="77777777" w:rsidR="00F177D9" w:rsidRDefault="00000000">
      <w:pPr>
        <w:pStyle w:val="ListParagraph"/>
        <w:numPr>
          <w:ilvl w:val="0"/>
          <w:numId w:val="2"/>
        </w:numPr>
        <w:spacing w:after="80" w:line="276" w:lineRule="auto"/>
      </w:pPr>
      <w:r>
        <w:t>Location and unit-level performance — assets underwritten on real, property-level economics</w:t>
      </w:r>
    </w:p>
    <w:p w14:paraId="725B8F37" w14:textId="77777777" w:rsidR="00F177D9" w:rsidRDefault="00000000">
      <w:pPr>
        <w:pStyle w:val="ListParagraph"/>
        <w:numPr>
          <w:ilvl w:val="0"/>
          <w:numId w:val="2"/>
        </w:numPr>
        <w:spacing w:after="80" w:line="276" w:lineRule="auto"/>
      </w:pPr>
      <w:r>
        <w:t>Credit and lease structure — long-term net leases with creditworthy operators</w:t>
      </w:r>
    </w:p>
    <w:p w14:paraId="3D921CE1" w14:textId="77777777" w:rsidR="00F177D9" w:rsidRDefault="00000000">
      <w:pPr>
        <w:pStyle w:val="ListParagraph"/>
        <w:numPr>
          <w:ilvl w:val="0"/>
          <w:numId w:val="2"/>
        </w:numPr>
        <w:spacing w:after="80" w:line="276" w:lineRule="auto"/>
      </w:pPr>
      <w:r>
        <w:t>Disciplined capitalization — conservative leverage and structured risk management</w:t>
      </w:r>
    </w:p>
    <w:p w14:paraId="296AACCC" w14:textId="77777777" w:rsidR="00F177D9" w:rsidRDefault="00000000">
      <w:pPr>
        <w:pStyle w:val="ListParagraph"/>
        <w:numPr>
          <w:ilvl w:val="0"/>
          <w:numId w:val="2"/>
        </w:numPr>
        <w:spacing w:after="80" w:line="276" w:lineRule="auto"/>
      </w:pPr>
      <w:r>
        <w:t>Active asset management — hands-on oversight from acquisition through disposition</w:t>
      </w:r>
    </w:p>
    <w:p w14:paraId="7C73C567" w14:textId="77777777" w:rsidR="00F177D9" w:rsidRDefault="00000000">
      <w:pPr>
        <w:pStyle w:val="Heading1"/>
        <w:spacing w:before="280" w:after="120"/>
      </w:pPr>
      <w:r>
        <w:rPr>
          <w:b/>
          <w:bCs/>
          <w:color w:val="1F3A5F"/>
          <w:sz w:val="28"/>
          <w:szCs w:val="28"/>
        </w:rPr>
        <w:t>Track Record</w:t>
      </w:r>
    </w:p>
    <w:p w14:paraId="00690293" w14:textId="77777777" w:rsidR="00F177D9" w:rsidRDefault="00000000">
      <w:pPr>
        <w:spacing w:after="140" w:line="276" w:lineRule="auto"/>
      </w:pPr>
      <w:r>
        <w:t xml:space="preserve">Our principals bring [XX]+ years of combined experience in commercial real estate acquisition, development, and asset management. Across their careers, EquitiFy’s principals have been involved in </w:t>
      </w:r>
      <w:r>
        <w:lastRenderedPageBreak/>
        <w:t>[approximately $X in] net-leased and retail real estate transactions and have completed [XX] acquisitions/developments.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7D9" w14:paraId="72860DBE" w14:textId="77777777">
        <w:tblPrEx>
          <w:tblCellMar>
            <w:top w:w="0" w:type="dxa"/>
            <w:bottom w:w="0" w:type="dxa"/>
          </w:tblCellMar>
        </w:tblPrEx>
        <w:tc>
          <w:tcPr>
            <w:tcW w:w="9360" w:type="dxa"/>
            <w:tcBorders>
              <w:top w:val="single" w:sz="6" w:space="0" w:color="C9A227"/>
              <w:left w:val="single" w:sz="18" w:space="0" w:color="C9A227"/>
              <w:bottom w:val="single" w:sz="6" w:space="0" w:color="C9A227"/>
              <w:right w:val="single" w:sz="6" w:space="0" w:color="C9A227"/>
            </w:tcBorders>
            <w:shd w:val="clear" w:color="auto" w:fill="F3F0E8"/>
            <w:tcMar>
              <w:top w:w="120" w:type="dxa"/>
              <w:left w:w="160" w:type="dxa"/>
              <w:bottom w:w="120" w:type="dxa"/>
              <w:right w:w="160" w:type="dxa"/>
            </w:tcMar>
          </w:tcPr>
          <w:p w14:paraId="57946225" w14:textId="77777777" w:rsidR="00F177D9" w:rsidRDefault="00000000">
            <w:r>
              <w:rPr>
                <w:b/>
                <w:bCs/>
                <w:color w:val="7A5C00"/>
              </w:rPr>
              <w:t xml:space="preserve">[PLACEHOLDER — real, documentable figures only.] </w:t>
            </w:r>
            <w:r>
              <w:t>Every number in this section must be supported by closed transactions in EquitiFy’s own files (or the specific named principals’ files). Do not scale, round up, or import figures from any other firm. If a number can’t be backed by a closed deal, it does not go on the page.</w:t>
            </w:r>
          </w:p>
        </w:tc>
      </w:tr>
    </w:tbl>
    <w:p w14:paraId="1BCA1442" w14:textId="77777777" w:rsidR="00F177D9" w:rsidRDefault="00F177D9">
      <w:pPr>
        <w:spacing w:after="120"/>
      </w:pPr>
    </w:p>
    <w:p w14:paraId="3277E08C" w14:textId="77777777" w:rsidR="00F177D9" w:rsidRDefault="00000000">
      <w:pPr>
        <w:pStyle w:val="Heading1"/>
        <w:spacing w:before="280" w:after="120"/>
      </w:pPr>
      <w:r>
        <w:rPr>
          <w:b/>
          <w:bCs/>
          <w:color w:val="1F3A5F"/>
          <w:sz w:val="28"/>
          <w:szCs w:val="28"/>
        </w:rPr>
        <w:t xml:space="preserve">Our </w:t>
      </w:r>
      <w:proofErr w:type="gramStart"/>
      <w:r>
        <w:rPr>
          <w:b/>
          <w:bCs/>
          <w:color w:val="1F3A5F"/>
          <w:sz w:val="28"/>
          <w:szCs w:val="28"/>
        </w:rPr>
        <w:t>Principals</w:t>
      </w:r>
      <w:proofErr w:type="gramEnd"/>
    </w:p>
    <w:p w14:paraId="3BEE3A05" w14:textId="77777777" w:rsidR="00F177D9" w:rsidRDefault="00000000">
      <w:pPr>
        <w:spacing w:after="140" w:line="276" w:lineRule="auto"/>
      </w:pPr>
      <w:r>
        <w:rPr>
          <w:b/>
          <w:bCs/>
        </w:rPr>
        <w:t xml:space="preserve">[Name], [Title] </w:t>
      </w:r>
      <w:r>
        <w:t>— [1–2 sentences: relevant experience, documentable]</w:t>
      </w:r>
    </w:p>
    <w:p w14:paraId="3D349F84" w14:textId="77777777" w:rsidR="00F177D9" w:rsidRDefault="00000000">
      <w:pPr>
        <w:spacing w:after="140" w:line="276" w:lineRule="auto"/>
      </w:pPr>
      <w:r>
        <w:rPr>
          <w:b/>
          <w:bCs/>
        </w:rPr>
        <w:t xml:space="preserve">[Name], [Title] </w:t>
      </w:r>
      <w:r>
        <w:t>— [1–2 sentences]</w:t>
      </w:r>
    </w:p>
    <w:p w14:paraId="26D872A8" w14:textId="77777777" w:rsidR="00F177D9" w:rsidRDefault="00000000">
      <w:pPr>
        <w:spacing w:after="140" w:line="276" w:lineRule="auto"/>
      </w:pPr>
      <w:r>
        <w:rPr>
          <w:b/>
          <w:bCs/>
        </w:rPr>
        <w:t xml:space="preserve">[Name], [Title] </w:t>
      </w:r>
      <w:r>
        <w:t>— [1–2 sentences]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177D9" w14:paraId="737D1508" w14:textId="77777777">
        <w:tblPrEx>
          <w:tblCellMar>
            <w:top w:w="0" w:type="dxa"/>
            <w:bottom w:w="0" w:type="dxa"/>
          </w:tblCellMar>
        </w:tblPrEx>
        <w:tc>
          <w:tcPr>
            <w:tcW w:w="9360" w:type="dxa"/>
            <w:tcBorders>
              <w:top w:val="single" w:sz="6" w:space="0" w:color="C9A227"/>
              <w:left w:val="single" w:sz="18" w:space="0" w:color="C9A227"/>
              <w:bottom w:val="single" w:sz="6" w:space="0" w:color="C9A227"/>
              <w:right w:val="single" w:sz="6" w:space="0" w:color="C9A227"/>
            </w:tcBorders>
            <w:shd w:val="clear" w:color="auto" w:fill="F3F0E8"/>
            <w:tcMar>
              <w:top w:w="120" w:type="dxa"/>
              <w:left w:w="160" w:type="dxa"/>
              <w:bottom w:w="120" w:type="dxa"/>
              <w:right w:w="160" w:type="dxa"/>
            </w:tcMar>
          </w:tcPr>
          <w:p w14:paraId="58B3597E" w14:textId="77777777" w:rsidR="00F177D9" w:rsidRDefault="00000000">
            <w:r>
              <w:rPr>
                <w:b/>
                <w:bCs/>
                <w:color w:val="7A5C00"/>
              </w:rPr>
              <w:t xml:space="preserve">[PLACEHOLDER] </w:t>
            </w:r>
            <w:r>
              <w:t>Bios should state real roles and real experience. Confirm any dollar/deal figures attributed to a principal are supportable.</w:t>
            </w:r>
          </w:p>
        </w:tc>
      </w:tr>
    </w:tbl>
    <w:p w14:paraId="209CC114" w14:textId="77777777" w:rsidR="00F177D9" w:rsidRDefault="00F177D9">
      <w:pPr>
        <w:spacing w:after="160"/>
      </w:pPr>
    </w:p>
    <w:p w14:paraId="38A7E8C5" w14:textId="77777777" w:rsidR="00F177D9" w:rsidRDefault="00F177D9">
      <w:pPr>
        <w:pBdr>
          <w:bottom w:val="single" w:sz="8" w:space="1" w:color="1F3A5F"/>
        </w:pBdr>
        <w:spacing w:after="160"/>
      </w:pPr>
    </w:p>
    <w:p w14:paraId="1C999281" w14:textId="77777777" w:rsidR="00F177D9" w:rsidRDefault="00000000">
      <w:pPr>
        <w:pStyle w:val="Heading1"/>
        <w:spacing w:before="280" w:after="120"/>
      </w:pPr>
      <w:r>
        <w:rPr>
          <w:b/>
          <w:bCs/>
          <w:color w:val="1F3A5F"/>
          <w:sz w:val="28"/>
          <w:szCs w:val="28"/>
        </w:rPr>
        <w:t>Required Legal / Offering Disclaimers</w:t>
      </w:r>
    </w:p>
    <w:p w14:paraId="4A961689" w14:textId="77777777" w:rsidR="00F177D9" w:rsidRDefault="00000000">
      <w:pPr>
        <w:spacing w:after="140" w:line="276" w:lineRule="auto"/>
      </w:pPr>
      <w:r>
        <w:rPr>
          <w:i/>
          <w:iCs/>
          <w:color w:val="555555"/>
          <w:sz w:val="20"/>
          <w:szCs w:val="20"/>
        </w:rPr>
        <w:t>(These must appear on the site — footer and/or a dedicated disclosures page. Do not remove or soften without GC review.)</w:t>
      </w:r>
    </w:p>
    <w:p w14:paraId="7AEB5E08" w14:textId="77777777" w:rsidR="00F177D9" w:rsidRDefault="00000000">
      <w:pPr>
        <w:spacing w:after="140" w:line="276" w:lineRule="auto"/>
      </w:pPr>
      <w:r>
        <w:rPr>
          <w:b/>
          <w:bCs/>
        </w:rPr>
        <w:t xml:space="preserve">No Offer or Solicitation. </w:t>
      </w:r>
      <w:r>
        <w:t>The information on this website is for general informational purposes only and does not constitute an offer to sell, or a solicitation of an offer to buy, any security. Any offer of securities will be made only to accredited investors, and only by means of a confidential Private Placement Memorandum and related definitive offering documents, which should be reviewed in full before any investment decision.</w:t>
      </w:r>
    </w:p>
    <w:p w14:paraId="32835810" w14:textId="77777777" w:rsidR="00F177D9" w:rsidRDefault="00000000">
      <w:pPr>
        <w:spacing w:after="140" w:line="276" w:lineRule="auto"/>
      </w:pPr>
      <w:r>
        <w:rPr>
          <w:b/>
          <w:bCs/>
        </w:rPr>
        <w:t xml:space="preserve">Accredited Investors Only. </w:t>
      </w:r>
      <w:r>
        <w:t>Any securities offered by EquitiFy or its affiliated entities are offered under Rule 506(c) of Regulation D and are available only to verified accredited investors. Investment involves risk, including possible loss of principal.</w:t>
      </w:r>
    </w:p>
    <w:p w14:paraId="73D61ABA" w14:textId="77777777" w:rsidR="00F177D9" w:rsidRDefault="00000000">
      <w:pPr>
        <w:spacing w:after="140" w:line="276" w:lineRule="auto"/>
      </w:pPr>
      <w:r>
        <w:rPr>
          <w:b/>
          <w:bCs/>
        </w:rPr>
        <w:t xml:space="preserve">No Guarantee of Results. </w:t>
      </w:r>
      <w:r>
        <w:t>Past performance is not indicative of, and does not guarantee, future results. Any statements regarding transactions, returns, or track record reflect historical activity and are not a projection or assurance of future performance.</w:t>
      </w:r>
    </w:p>
    <w:p w14:paraId="77CC4542" w14:textId="77777777" w:rsidR="00F177D9" w:rsidRDefault="00000000">
      <w:pPr>
        <w:spacing w:after="140" w:line="276" w:lineRule="auto"/>
      </w:pPr>
      <w:r>
        <w:rPr>
          <w:b/>
          <w:bCs/>
        </w:rPr>
        <w:t xml:space="preserve">Forward-Looking Statements. </w:t>
      </w:r>
      <w:r>
        <w:t>Certain statements on this website may be forward-looking. Actual results may differ materially. EquitiFy undertakes no obligation to update any forward-looking statement.</w:t>
      </w:r>
    </w:p>
    <w:p w14:paraId="7289E032" w14:textId="77777777" w:rsidR="00F177D9" w:rsidRDefault="00000000">
      <w:pPr>
        <w:spacing w:after="140" w:line="276" w:lineRule="auto"/>
      </w:pPr>
      <w:r>
        <w:rPr>
          <w:b/>
          <w:bCs/>
        </w:rPr>
        <w:t xml:space="preserve">No Investment, Legal, or Tax Advice. </w:t>
      </w:r>
      <w:r>
        <w:t>Nothing on this website constitutes investment, legal, or tax advice. Prospective investors should consult their own advisors.</w:t>
      </w:r>
    </w:p>
    <w:p w14:paraId="2E6ADBAC" w14:textId="77777777" w:rsidR="00F177D9" w:rsidRDefault="00F177D9">
      <w:pPr>
        <w:pBdr>
          <w:bottom w:val="single" w:sz="8" w:space="1" w:color="1F3A5F"/>
        </w:pBdr>
        <w:spacing w:after="160"/>
      </w:pPr>
    </w:p>
    <w:p w14:paraId="547A128D" w14:textId="77777777" w:rsidR="00F177D9" w:rsidRDefault="00000000">
      <w:pPr>
        <w:pStyle w:val="Heading1"/>
        <w:spacing w:before="280" w:after="120"/>
      </w:pPr>
      <w:r>
        <w:rPr>
          <w:b/>
          <w:bCs/>
          <w:color w:val="1F3A5F"/>
          <w:sz w:val="28"/>
          <w:szCs w:val="28"/>
        </w:rPr>
        <w:t>Fill-In Guide for Kazim</w:t>
      </w:r>
    </w:p>
    <w:p w14:paraId="6A26867C" w14:textId="77777777" w:rsidR="00F177D9" w:rsidRDefault="00000000">
      <w:pPr>
        <w:pStyle w:val="ListParagraph"/>
        <w:numPr>
          <w:ilvl w:val="0"/>
          <w:numId w:val="3"/>
        </w:numPr>
        <w:spacing w:after="80" w:line="276" w:lineRule="auto"/>
      </w:pPr>
      <w:r>
        <w:t>Combined years of experience — add up the real, verifiable career length of the actual named principals. Don’t estimate high.</w:t>
      </w:r>
    </w:p>
    <w:p w14:paraId="63022606" w14:textId="77777777" w:rsidR="00F177D9" w:rsidRDefault="00000000">
      <w:pPr>
        <w:pStyle w:val="ListParagraph"/>
        <w:numPr>
          <w:ilvl w:val="0"/>
          <w:numId w:val="3"/>
        </w:numPr>
        <w:spacing w:after="80" w:line="276" w:lineRule="auto"/>
      </w:pPr>
      <w:r>
        <w:t>Dollar volume of transactions — only closed deals EquitiFy or the named principals actually transacted. Have a source for each (closing statement, PSA, etc.). If we can’t produce documentation, leave it out.</w:t>
      </w:r>
    </w:p>
    <w:p w14:paraId="6479B25B" w14:textId="77777777" w:rsidR="00F177D9" w:rsidRDefault="00000000">
      <w:pPr>
        <w:pStyle w:val="ListParagraph"/>
        <w:numPr>
          <w:ilvl w:val="0"/>
          <w:numId w:val="3"/>
        </w:numPr>
        <w:spacing w:after="80" w:line="276" w:lineRule="auto"/>
      </w:pPr>
      <w:r>
        <w:t>Number of acquisitions / developments — actual closed count. Same documentation standard.</w:t>
      </w:r>
    </w:p>
    <w:p w14:paraId="2BBC48C4" w14:textId="77777777" w:rsidR="00F177D9" w:rsidRDefault="00000000">
      <w:pPr>
        <w:pStyle w:val="ListParagraph"/>
        <w:numPr>
          <w:ilvl w:val="0"/>
          <w:numId w:val="3"/>
        </w:numPr>
        <w:spacing w:after="80" w:line="276" w:lineRule="auto"/>
      </w:pPr>
      <w:r>
        <w:t>Principal bios — real titles, real experience. Any figure attributed to a person must be supportable.</w:t>
      </w:r>
    </w:p>
    <w:p w14:paraId="71405CC5" w14:textId="77777777" w:rsidR="00F177D9" w:rsidRDefault="00000000">
      <w:pPr>
        <w:pStyle w:val="ListParagraph"/>
        <w:numPr>
          <w:ilvl w:val="0"/>
          <w:numId w:val="3"/>
        </w:numPr>
        <w:spacing w:after="80" w:line="276" w:lineRule="auto"/>
      </w:pPr>
      <w:r>
        <w:t>“Private equity firm” language — usable, but it has to match how we’re actually structured and how the PPM describes the business. I’ll confirm consistency on review.</w:t>
      </w:r>
    </w:p>
    <w:p w14:paraId="4D33DC0A" w14:textId="77777777" w:rsidR="00F177D9" w:rsidRDefault="00000000">
      <w:pPr>
        <w:pStyle w:val="ListParagraph"/>
        <w:numPr>
          <w:ilvl w:val="0"/>
          <w:numId w:val="3"/>
        </w:numPr>
        <w:spacing w:after="80" w:line="276" w:lineRule="auto"/>
      </w:pPr>
      <w:r>
        <w:t>Send me the completed draft with real numbers, plus backup for each figure, and I’ll finalize the copy and disclaimers against the offering documents before publication.</w:t>
      </w:r>
    </w:p>
    <w:sectPr w:rsidR="00F177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569C7"/>
    <w:multiLevelType w:val="hybridMultilevel"/>
    <w:tmpl w:val="9638472E"/>
    <w:lvl w:ilvl="0" w:tplc="07FA4686">
      <w:start w:val="1"/>
      <w:numFmt w:val="bullet"/>
      <w:lvlText w:val="●"/>
      <w:lvlJc w:val="left"/>
      <w:pPr>
        <w:ind w:left="720" w:hanging="360"/>
      </w:pPr>
    </w:lvl>
    <w:lvl w:ilvl="1" w:tplc="D612F89E">
      <w:start w:val="1"/>
      <w:numFmt w:val="bullet"/>
      <w:lvlText w:val="○"/>
      <w:lvlJc w:val="left"/>
      <w:pPr>
        <w:ind w:left="1440" w:hanging="360"/>
      </w:pPr>
    </w:lvl>
    <w:lvl w:ilvl="2" w:tplc="791A43DA">
      <w:start w:val="1"/>
      <w:numFmt w:val="bullet"/>
      <w:lvlText w:val="■"/>
      <w:lvlJc w:val="left"/>
      <w:pPr>
        <w:ind w:left="2160" w:hanging="360"/>
      </w:pPr>
    </w:lvl>
    <w:lvl w:ilvl="3" w:tplc="7BFABA34">
      <w:start w:val="1"/>
      <w:numFmt w:val="bullet"/>
      <w:lvlText w:val="●"/>
      <w:lvlJc w:val="left"/>
      <w:pPr>
        <w:ind w:left="2880" w:hanging="360"/>
      </w:pPr>
    </w:lvl>
    <w:lvl w:ilvl="4" w:tplc="0B668546">
      <w:start w:val="1"/>
      <w:numFmt w:val="bullet"/>
      <w:lvlText w:val="○"/>
      <w:lvlJc w:val="left"/>
      <w:pPr>
        <w:ind w:left="3600" w:hanging="360"/>
      </w:pPr>
    </w:lvl>
    <w:lvl w:ilvl="5" w:tplc="2DCC4B9E">
      <w:start w:val="1"/>
      <w:numFmt w:val="bullet"/>
      <w:lvlText w:val="■"/>
      <w:lvlJc w:val="left"/>
      <w:pPr>
        <w:ind w:left="4320" w:hanging="360"/>
      </w:pPr>
    </w:lvl>
    <w:lvl w:ilvl="6" w:tplc="61EAA936">
      <w:start w:val="1"/>
      <w:numFmt w:val="bullet"/>
      <w:lvlText w:val="●"/>
      <w:lvlJc w:val="left"/>
      <w:pPr>
        <w:ind w:left="5040" w:hanging="360"/>
      </w:pPr>
    </w:lvl>
    <w:lvl w:ilvl="7" w:tplc="25BAD538">
      <w:start w:val="1"/>
      <w:numFmt w:val="bullet"/>
      <w:lvlText w:val="●"/>
      <w:lvlJc w:val="left"/>
      <w:pPr>
        <w:ind w:left="5760" w:hanging="360"/>
      </w:pPr>
    </w:lvl>
    <w:lvl w:ilvl="8" w:tplc="3C2E0D26">
      <w:start w:val="1"/>
      <w:numFmt w:val="bullet"/>
      <w:lvlText w:val="●"/>
      <w:lvlJc w:val="left"/>
      <w:pPr>
        <w:ind w:left="6480" w:hanging="360"/>
      </w:pPr>
    </w:lvl>
  </w:abstractNum>
  <w:abstractNum w:abstractNumId="1" w15:restartNumberingAfterBreak="0">
    <w:nsid w:val="4E107DD8"/>
    <w:multiLevelType w:val="hybridMultilevel"/>
    <w:tmpl w:val="2C4A6286"/>
    <w:lvl w:ilvl="0" w:tplc="175A433A">
      <w:start w:val="1"/>
      <w:numFmt w:val="bullet"/>
      <w:lvlText w:val="•"/>
      <w:lvlJc w:val="left"/>
      <w:pPr>
        <w:ind w:left="480" w:hanging="240"/>
      </w:pPr>
    </w:lvl>
    <w:lvl w:ilvl="1" w:tplc="97CA9128">
      <w:numFmt w:val="decimal"/>
      <w:lvlText w:val=""/>
      <w:lvlJc w:val="left"/>
    </w:lvl>
    <w:lvl w:ilvl="2" w:tplc="437EC9E6">
      <w:numFmt w:val="decimal"/>
      <w:lvlText w:val=""/>
      <w:lvlJc w:val="left"/>
    </w:lvl>
    <w:lvl w:ilvl="3" w:tplc="1BFA9C4E">
      <w:numFmt w:val="decimal"/>
      <w:lvlText w:val=""/>
      <w:lvlJc w:val="left"/>
    </w:lvl>
    <w:lvl w:ilvl="4" w:tplc="E81611DC">
      <w:numFmt w:val="decimal"/>
      <w:lvlText w:val=""/>
      <w:lvlJc w:val="left"/>
    </w:lvl>
    <w:lvl w:ilvl="5" w:tplc="AA8E929E">
      <w:numFmt w:val="decimal"/>
      <w:lvlText w:val=""/>
      <w:lvlJc w:val="left"/>
    </w:lvl>
    <w:lvl w:ilvl="6" w:tplc="2FDA453A">
      <w:numFmt w:val="decimal"/>
      <w:lvlText w:val=""/>
      <w:lvlJc w:val="left"/>
    </w:lvl>
    <w:lvl w:ilvl="7" w:tplc="17F0A9DE">
      <w:numFmt w:val="decimal"/>
      <w:lvlText w:val=""/>
      <w:lvlJc w:val="left"/>
    </w:lvl>
    <w:lvl w:ilvl="8" w:tplc="3C9CB4EE">
      <w:numFmt w:val="decimal"/>
      <w:lvlText w:val=""/>
      <w:lvlJc w:val="left"/>
    </w:lvl>
  </w:abstractNum>
  <w:abstractNum w:abstractNumId="2" w15:restartNumberingAfterBreak="0">
    <w:nsid w:val="7C477EAE"/>
    <w:multiLevelType w:val="hybridMultilevel"/>
    <w:tmpl w:val="56E4027E"/>
    <w:lvl w:ilvl="0" w:tplc="E4181EFE">
      <w:start w:val="1"/>
      <w:numFmt w:val="decimal"/>
      <w:lvlText w:val="%1."/>
      <w:lvlJc w:val="left"/>
      <w:pPr>
        <w:ind w:left="480" w:hanging="240"/>
      </w:pPr>
    </w:lvl>
    <w:lvl w:ilvl="1" w:tplc="73367BE8">
      <w:numFmt w:val="decimal"/>
      <w:lvlText w:val=""/>
      <w:lvlJc w:val="left"/>
    </w:lvl>
    <w:lvl w:ilvl="2" w:tplc="04D4A778">
      <w:numFmt w:val="decimal"/>
      <w:lvlText w:val=""/>
      <w:lvlJc w:val="left"/>
    </w:lvl>
    <w:lvl w:ilvl="3" w:tplc="1B9A3CFC">
      <w:numFmt w:val="decimal"/>
      <w:lvlText w:val=""/>
      <w:lvlJc w:val="left"/>
    </w:lvl>
    <w:lvl w:ilvl="4" w:tplc="202C811C">
      <w:numFmt w:val="decimal"/>
      <w:lvlText w:val=""/>
      <w:lvlJc w:val="left"/>
    </w:lvl>
    <w:lvl w:ilvl="5" w:tplc="8E502302">
      <w:numFmt w:val="decimal"/>
      <w:lvlText w:val=""/>
      <w:lvlJc w:val="left"/>
    </w:lvl>
    <w:lvl w:ilvl="6" w:tplc="7DD6F4DE">
      <w:numFmt w:val="decimal"/>
      <w:lvlText w:val=""/>
      <w:lvlJc w:val="left"/>
    </w:lvl>
    <w:lvl w:ilvl="7" w:tplc="9EBC148A">
      <w:numFmt w:val="decimal"/>
      <w:lvlText w:val=""/>
      <w:lvlJc w:val="left"/>
    </w:lvl>
    <w:lvl w:ilvl="8" w:tplc="6354FBDA">
      <w:numFmt w:val="decimal"/>
      <w:lvlText w:val=""/>
      <w:lvlJc w:val="left"/>
    </w:lvl>
  </w:abstractNum>
  <w:num w:numId="1" w16cid:durableId="2132631987">
    <w:abstractNumId w:val="0"/>
    <w:lvlOverride w:ilvl="0">
      <w:startOverride w:val="1"/>
    </w:lvlOverride>
  </w:num>
  <w:num w:numId="2" w16cid:durableId="1513302671">
    <w:abstractNumId w:val="1"/>
    <w:lvlOverride w:ilvl="0">
      <w:startOverride w:val="1"/>
    </w:lvlOverride>
  </w:num>
  <w:num w:numId="3" w16cid:durableId="5367018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7D9"/>
    <w:rsid w:val="002B5B51"/>
    <w:rsid w:val="0097641F"/>
    <w:rsid w:val="00F17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B4ABA"/>
  <w15:docId w15:val="{DB29983E-0A31-46E9-ABF4-5D0CBA4C3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EquitiFy — Website Copy (DRAFT)</dc:title>
  <dc:creator>Jason R. Stancil</dc:creator>
  <cp:lastModifiedBy>Jason R  Stancil</cp:lastModifiedBy>
  <cp:revision>2</cp:revision>
  <dcterms:created xsi:type="dcterms:W3CDTF">2026-07-09T13:22:00Z</dcterms:created>
  <dcterms:modified xsi:type="dcterms:W3CDTF">2026-07-09T13:22:00Z</dcterms:modified>
</cp:coreProperties>
</file>