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1100"/>
        <w:jc w:val="center"/>
      </w:pPr>
      <w:r>
        <w:rPr>
          <w:b/>
          <w:bCs/>
          <w:color w:val="1F4E79"/>
          <w:sz w:val="46"/>
          <w:szCs w:val="46"/>
        </w:rPr>
        <w:t xml:space="preserve">What the Plots Show</w:t>
      </w:r>
    </w:p>
    <w:p>
      <w:pPr>
        <w:spacing w:after="40"/>
        <w:jc w:val="center"/>
      </w:pPr>
      <w:r>
        <w:rPr>
          <w:color w:val="555555"/>
          <w:sz w:val="25"/>
          <w:szCs w:val="25"/>
        </w:rPr>
        <w:t xml:space="preserve">Results &amp; interpretation — GLP-1R agonist CNS meta-analysis</w:t>
      </w:r>
    </w:p>
    <w:p>
      <w:pPr>
        <w:spacing w:after="850"/>
        <w:jc w:val="center"/>
      </w:pPr>
      <w:r>
        <w:rPr>
          <w:i/>
          <w:iCs/>
          <w:sz w:val="22"/>
          <w:szCs w:val="22"/>
        </w:rPr>
        <w:t xml:space="preserve">A plot-by-plot reading of what the data suggest</w:t>
      </w:r>
    </w:p>
    <w:p>
      <w:pPr>
        <w:pStyle w:val="Heading1"/>
      </w:pPr>
      <w:r>
        <w:t xml:space="preserve">1. Headline finding</w:t>
      </w:r>
    </w:p>
    <w:p>
      <w:pPr>
        <w:spacing w:after="120"/>
      </w:pPr>
      <w:r>
        <w:t xml:space="preserve">Across 34 GLP-1R-agonist / multi-agonist CNS comparisons, the recurring transcriptional response is a coordinated metabolic-neurotrophic program: up-regulation of protein-synthesis machinery (ribosome / translation) and mitochondrial oxidative phosphorylation, alongside a stress-hormone and lipid-handling signature (Fkbp5, Plin4) and a pro-survival, anti-inflammatory tilt. The same leaders appear whether the fold-change cut is loose or strict, which argues the signal is robust rather than threshold-dependent.</w:t>
      </w:r>
    </w:p>
    <w:p>
      <w:pPr>
        <w:pStyle w:val="Heading1"/>
      </w:pPr>
      <w:r>
        <w:t xml:space="preserve">2. Enrichment plots — which pathways move</w:t>
      </w:r>
    </w:p>
    <w:p>
      <w:pPr>
        <w:spacing w:after="120"/>
      </w:pPr>
      <w:r>
        <w:t xml:space="preserve">The dot plots and bar plots tell a consistent story across all five databases. Three themes dominate the LFC0.2 consensus (4,769 genes):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Translation / ribosome. GO 'Translation' (padj 4e-20, 127 genes), 'Cytoplasmic Translation', KEGG 'Ribosome' (padj 6e-20, 95 genes), and the Reactome elongation / SRP-targeting terms are the single strongest block. Note the Reactome 'Influenza / Viral mRNA Translation' labels are ribosomal-protein gene sets — they flag protein-synthesis genes, not literal infection.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Mitochondrial energy metabolism. GO 'Mitochondrial Inner Membrane' and 'Respiratory Chain Complex I', GO-MF 'NADH Dehydrogenase activity', and KEGG 'Thermogenesis' indicate up-regulated oxidative phosphorylation / electron transport.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Neurodegeneration pathways. KEGG 'Parkinson', 'Huntington' and 'Alzheimer disease' co-enrich — expected because those KEGG maps are built largely from the same mitochondrial and proteostasis genes, suggesting the GLP-1R metabolic program is relevant to neurodegenerative models.</w:t>
      </w:r>
    </w:p>
    <w:p>
      <w:pPr>
        <w:spacing w:after="120"/>
      </w:pPr>
      <w:r>
        <w:t xml:space="preserve">Interpretation: GLP-1R agonists push CNS cells toward higher biosynthetic and bioenergetic capacity — a classic neurotrophic/neuroprotective metabolic shift.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3209925"/>
            <wp:effectExtent t="0" r="0" b="0" l="0"/>
            <wp:docPr id="1" name="Reactome dot plot (LFC0.2) — translation/ribosome terms carry the strongest combined scores and significance." descr="Reactome dot plot (LFC0.2) — translation/ribosome terms carry the strongest combined scores and significance." title="Reactome dot plot (LFC0.2) — translation/ribosome terms carry the strongest combined scores and significanc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55555"/>
          <w:sz w:val="18"/>
          <w:szCs w:val="18"/>
        </w:rPr>
        <w:t xml:space="preserve">Reactome dot plot (LFC0.2) — translation/ribosome terms carry the strongest combined scores and significance.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3400425"/>
            <wp:effectExtent t="0" r="0" b="0" l="0"/>
            <wp:docPr id="1" name="GO Biological Process (LFC0.2) — translation and mitochondrial ATP-synthesis / electron-transport terms lead." descr="GO Biological Process (LFC0.2) — translation and mitochondrial ATP-synthesis / electron-transport terms lead." title="GO Biological Process (LFC0.2) — translation and mitochondrial ATP-synthesis / electron-transport terms lead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55555"/>
          <w:sz w:val="18"/>
          <w:szCs w:val="18"/>
        </w:rPr>
        <w:t xml:space="preserve">GO Biological Process (LFC0.2) — translation and mitochondrial ATP-synthesis / electron-transport terms lead.</w:t>
      </w:r>
    </w:p>
    <w:p>
      <w:pPr>
        <w:pStyle w:val="Heading1"/>
      </w:pPr>
      <w:r>
        <w:t xml:space="preserve">3. Top consensus genes — the most reproducible hits</w:t>
      </w:r>
    </w:p>
    <w:p>
      <w:pPr>
        <w:spacing w:after="120"/>
      </w:pPr>
      <w:r>
        <w:t xml:space="preserve">Ranked by how many of the 34 groups each gene reaches, the leaders are strikingly directional: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100"/>
        <w:gridCol w:w="1700"/>
        <w:gridCol w:w="5260"/>
      </w:tblGrid>
      <w:tr>
        <w:trPr>
          <w:tblHeader/>
        </w:trP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Gene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Groups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Direction</w:t>
            </w:r>
          </w:p>
        </w:tc>
        <w:tc>
          <w:tcPr>
            <w:tcW w:type="dxa" w:w="5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Reading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Fkbp5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12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UP (12/12)</w:t>
            </w:r>
          </w:p>
        </w:tc>
        <w:tc>
          <w:tcPr>
            <w:tcW w:type="dxa" w:w="5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Glucocorticoid/HPA-axis effector — the single most pan-regional hit (4 datasets, 8 regions)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Plin4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9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UP (9/9)</w:t>
            </w:r>
          </w:p>
        </w:tc>
        <w:tc>
          <w:tcPr>
            <w:tcW w:type="dxa" w:w="5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Perilipin-4 — lipid-droplet / lipid handling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Hif3a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9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UP (9/9)</w:t>
            </w:r>
          </w:p>
        </w:tc>
        <w:tc>
          <w:tcPr>
            <w:tcW w:type="dxa" w:w="5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Hypoxia-inducible factor 3a — hypoxia/metabolic adaptation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Xdh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UP (8/8)</w:t>
            </w:r>
          </w:p>
        </w:tc>
        <w:tc>
          <w:tcPr>
            <w:tcW w:type="dxa" w:w="5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Xanthine dehydrogenase — purine / oxidative metabolism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Cdkn1a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UP (5/3)</w:t>
            </w:r>
          </w:p>
        </w:tc>
        <w:tc>
          <w:tcPr>
            <w:tcW w:type="dxa" w:w="5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p21 — cell-cycle arrest / senescence / stress response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Mertk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UP (7/7)</w:t>
            </w:r>
          </w:p>
        </w:tc>
        <w:tc>
          <w:tcPr>
            <w:tcW w:type="dxa" w:w="5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Microglial phagocytic receptor — debris clearance / neuroprotection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Mpp5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9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DOWN (8/1)</w:t>
            </w:r>
          </w:p>
        </w:tc>
        <w:tc>
          <w:tcPr>
            <w:tcW w:type="dxa" w:w="5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Polarity scaffold — consistently down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Ednrb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DOWN (8/0)</w:t>
            </w:r>
          </w:p>
        </w:tc>
        <w:tc>
          <w:tcPr>
            <w:tcW w:type="dxa" w:w="5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Endothelin receptor B — vascular/astrocyte, consistently down</w:t>
            </w:r>
          </w:p>
        </w:tc>
      </w:tr>
    </w:tbl>
    <w:p>
      <w:pPr>
        <w:spacing w:after="120"/>
      </w:pPr>
      <w:r>
        <w:t xml:space="preserve">The uniform direction (e.g. Fkbp5 up in all 12 groups, Ednrb down in all 8) is the key point: these are not averaged-out signals but consistent shifts across independent datasets and brain regions.</w:t>
      </w:r>
    </w:p>
    <w:p>
      <w:pPr>
        <w:spacing w:after="40" w:before="120"/>
        <w:jc w:val="center"/>
      </w:pPr>
      <w:r>
        <w:drawing>
          <wp:inline distT="0" distB="0" distL="0" distR="0">
            <wp:extent cx="4476750" cy="3286125"/>
            <wp:effectExtent t="0" r="0" b="0" l="0"/>
            <wp:docPr id="1" name="Recurrence of the top consensus genes (LFC0.2); red = predominantly up, blue = down." descr="Recurrence of the top consensus genes (LFC0.2); red = predominantly up, blue = down." title="Recurrence of the top consensus genes (LFC0.2); red = predominantly up, blue = dow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55555"/>
          <w:sz w:val="18"/>
          <w:szCs w:val="18"/>
        </w:rPr>
        <w:t xml:space="preserve">Recurrence of the top consensus genes (LFC0.2); red = predominantly up, blue = down.</w:t>
      </w:r>
    </w:p>
    <w:p>
      <w:pPr>
        <w:pStyle w:val="Heading1"/>
      </w:pPr>
      <w:r>
        <w:t xml:space="preserve">4. Consensus heatmap — direction and regional breadth</w:t>
      </w:r>
    </w:p>
    <w:p>
      <w:pPr>
        <w:spacing w:after="120"/>
      </w:pPr>
      <w:r>
        <w:t xml:space="preserve">The heatmap shows the top-20 genes across all 34 groups. Two things stand out: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Row coherence. Fkbp5, Plin4, Hif3a, Xdh and Mertk are red (up) across most groups they touch; Mpp5, Vstm2a and Ednrb are blue (down). The response is directionally consistent, not noisy.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Sparsity is informative. Blank cells mean the gene was not a significant DEG in that group. Most genes are significant in only a subset of groups, so the consensus is built from partial but agreeing overlap rather than universal change.</w:t>
      </w:r>
    </w:p>
    <w:p>
      <w:pPr>
        <w:spacing w:after="120"/>
      </w:pPr>
      <w:r>
        <w:rPr>
          <w:i/>
          <w:iCs/>
        </w:rPr>
        <w:t xml:space="preserve">Caveat visible in the heatmap: a few genes (e.g. Cd53) show very large values concentrated in the Accession-6 medial-basal-hypothalamus groups (+~10 log2FC). These extreme fold-changes come from one dataset and one region and should be read as dataset-specific rather than pan-CNS; the colour scale is capped so they do not dominate the rest.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3467100"/>
            <wp:effectExtent t="0" r="0" b="0" l="0"/>
            <wp:docPr id="1" name="Top-20 consensus genes x 34 groups (LFC0.2)." descr="Top-20 consensus genes x 34 groups (LFC0.2)." title="Top-20 consensus genes x 34 groups (LFC0.2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55555"/>
          <w:sz w:val="18"/>
          <w:szCs w:val="18"/>
        </w:rPr>
        <w:t xml:space="preserve">Top-20 consensus genes x 34 groups (LFC0.2).</w:t>
      </w:r>
    </w:p>
    <w:p>
      <w:pPr>
        <w:pStyle w:val="Heading1"/>
      </w:pPr>
      <w:r>
        <w:t xml:space="preserve">5. Mechanism heatmaps — directional pathway reading</w:t>
      </w:r>
    </w:p>
    <w:p>
      <w:pPr>
        <w:pStyle w:val="Heading2"/>
      </w:pPr>
      <w:r>
        <w:t xml:space="preserve">5.1 Blood-Brain Barrier</w:t>
      </w:r>
    </w:p>
    <w:p>
      <w:pPr>
        <w:spacing w:after="120"/>
      </w:pPr>
      <w:r>
        <w:t xml:space="preserve">The BBB genes that recur are mostly DOWN-regulated: Cav1 (caveolin-1, 6/6 down), Aqp4 (aquaporin-4, 5/5 down), Jam2, Slc16a1 and Hif1a all trend down, while the glucose transporter Slc2a1 (Glut1, 4/4 up) and Lrp1 (4/4 up) go up. Read together this suggests reduced caveolar transcytosis and aquaporin-4 (less vascular leak / oedema potential) with increased glucose uptake and LRP1-mediated clearance — i.e. a barrier-stabilising, metabolically-supportive shift. The MMP proteases are not recurrent (they appear only in the presence/&gt;=1 view), so matrix remodelling is sporadic rather than a core consensus effect.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3781425"/>
            <wp:effectExtent t="0" r="0" b="0" l="0"/>
            <wp:docPr id="1" name="BBB mechanism heatmap (LFC0.2): caveolin/aquaporin down, glucose transporter up; full MMP family shown for presence." descr="BBB mechanism heatmap (LFC0.2): caveolin/aquaporin down, glucose transporter up; full MMP family shown for presence." title="BBB mechanism heatmap (LFC0.2): caveolin/aquaporin down, glucose transporter up; full MMP family shown for presenc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78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55555"/>
          <w:sz w:val="18"/>
          <w:szCs w:val="18"/>
        </w:rPr>
        <w:t xml:space="preserve">BBB mechanism heatmap (LFC0.2): caveolin/aquaporin down, glucose transporter up; full MMP family shown for presence.</w:t>
      </w:r>
    </w:p>
    <w:p>
      <w:pPr>
        <w:pStyle w:val="Heading2"/>
      </w:pPr>
      <w:r>
        <w:t xml:space="preserve">5.2 Inflammatory (JAK-STAT3) and 5.3 Survival (PI3K/Akt)</w:t>
      </w:r>
    </w:p>
    <w:p>
      <w:pPr>
        <w:spacing w:after="120"/>
      </w:pPr>
      <w:r>
        <w:t xml:space="preserve">Inflammatory: Stat1 (3/3 down), Il6st and Socs4 down, with Bcl2l1 (pro-survival) up — a net dampening of cytokine/STAT inflammatory signalling. Survival: Gsk3b is consistently DOWN (5/6) and the autophagy marker Map1lc3a is UP (4/4), with Bcl2l1 up — GSK3-beta inhibition plus autophagy/anti-apoptotic engagement is a recognised neuroprotective signature. Together the two mechanism panels point the same way: less inflammation, more survival signalling.</w:t>
      </w:r>
    </w:p>
    <w:p>
      <w:pPr>
        <w:pStyle w:val="Heading1"/>
      </w:pPr>
      <w:r>
        <w:t xml:space="preserve">6. Concept-network plots — what wires together</w:t>
      </w:r>
    </w:p>
    <w:p>
      <w:pPr>
        <w:spacing w:after="120"/>
      </w:pPr>
      <w:r>
        <w:t xml:space="preserve">The consensus Cnet makes the translation theme visual: the hub genes are ribosomal proteins (Rpl/Rps families) and RNA-binding factors converging on the translation/elongation terms — the same block that tops the enrichment plots. In the BBB Cnet the connective hubs are signalling nodes (Mapk1, Fyn, Akt1) bridging junction, vascular-permeability and matrix terms, consistent with GLP-1R acting through canonical kinase signalling onto barrier biology.</w:t>
      </w:r>
    </w:p>
    <w:p>
      <w:pPr>
        <w:spacing w:after="40" w:before="120"/>
        <w:jc w:val="center"/>
      </w:pPr>
      <w:r>
        <w:drawing>
          <wp:inline distT="0" distB="0" distL="0" distR="0">
            <wp:extent cx="4476750" cy="4381500"/>
            <wp:effectExtent t="0" r="0" b="0" l="0"/>
            <wp:docPr id="1" name="Consensus Cnet (LFC0.2): ribosomal/translation hub dominates." descr="Consensus Cnet (LFC0.2): ribosomal/translation hub dominates." title="Consensus Cnet (LFC0.2): ribosomal/translation hub dominat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438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55555"/>
          <w:sz w:val="18"/>
          <w:szCs w:val="18"/>
        </w:rPr>
        <w:t xml:space="preserve">Consensus Cnet (LFC0.2): ribosomal/translation hub dominates.</w:t>
      </w:r>
    </w:p>
    <w:p>
      <w:pPr>
        <w:spacing w:after="40" w:before="120"/>
        <w:jc w:val="center"/>
      </w:pPr>
      <w:r>
        <w:drawing>
          <wp:inline distT="0" distB="0" distL="0" distR="0">
            <wp:extent cx="4476750" cy="4381500"/>
            <wp:effectExtent t="0" r="0" b="0" l="0"/>
            <wp:docPr id="1" name="BBB Cnet (LFC0.2): Mapk1/Fyn/Akt1 bridge barrier and matrix terms." descr="BBB Cnet (LFC0.2): Mapk1/Fyn/Akt1 bridge barrier and matrix terms." title="BBB Cnet (LFC0.2): Mapk1/Fyn/Akt1 bridge barrier and matrix term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438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55555"/>
          <w:sz w:val="18"/>
          <w:szCs w:val="18"/>
        </w:rPr>
        <w:t xml:space="preserve">BBB Cnet (LFC0.2): Mapk1/Fyn/Akt1 bridge barrier and matrix terms.</w:t>
      </w:r>
    </w:p>
    <w:p>
      <w:pPr>
        <w:pStyle w:val="Heading1"/>
      </w:pPr>
      <w:r>
        <w:t xml:space="preserve">7. Threshold comparison — how robust is the signal?</w:t>
      </w:r>
    </w:p>
    <w:p>
      <w:pPr>
        <w:spacing w:after="120"/>
      </w:pPr>
      <w:r>
        <w:t xml:space="preserve">Reading the same plots across LFC0.2 / 0.5 / 1 is itself informative: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LFC0.2 (4,769 genes): the full metabolic-translation program described above.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LFC0.5 (901 genes): the same leaders survive (Plin4, Fkbp5, Hif3a, Cdkn1a), so the headline genes are genuinely large-effect, not marginal.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LFC1 (297 genes): becomes dominated by a handful of very-high fold-change genes (Echdc2, Nwd2, Zfp41 at +8 to +13 log2FC) that originate almost entirely from the Accession-6 medial-basal-hypothalamus arms. At the strict cut the 'consensus' therefore reflects one dataset's large effects more than cross-dataset agreement — which is why the LFC1 enrichment and Cnets are sparse. Treat LFC0.2/0.5 as the meta-analytic signal and LFC1 as a strong-effect shortlist.</w:t>
      </w:r>
    </w:p>
    <w:p>
      <w:pPr>
        <w:pStyle w:val="Heading1"/>
      </w:pPr>
      <w:r>
        <w:t xml:space="preserve">8. The special Cnet variants</w:t>
      </w:r>
    </w:p>
    <w:p>
      <w:pPr>
        <w:spacing w:after="120"/>
      </w:pPr>
      <w:r>
        <w:t xml:space="preserve">Top-5-term consensus Cnet: restricting to the five most-significant terms confirms that the most enriched biology is overwhelmingly translation/RNA — all five terms share the same ribosomal-protein genes, so they collapse onto one tight cluster.</w:t>
      </w:r>
    </w:p>
    <w:p>
      <w:pPr>
        <w:spacing w:after="120"/>
      </w:pPr>
      <w:r>
        <w:t xml:space="preserve">BBB presence (&gt;=1 group) Cnet: relaxing from &gt;=2 to &gt;=1 group raises the BBB gene count from 22 to 36, pulling in the MMP proteases (Mmp2/14/16/25) and endothelial markers (Cdh5, Pecam1, Vwf, Nos3). The message: the wider BBB/matrix machinery IS touched somewhere in the data, but only sporadically (single groups), whereas the junction/transporter core (Cav1, Aqp4, Slc2a1, Tjp1) is what recurs.</w:t>
      </w:r>
    </w:p>
    <w:p>
      <w:pPr>
        <w:spacing w:after="40" w:before="120"/>
        <w:jc w:val="center"/>
      </w:pPr>
      <w:r>
        <w:drawing>
          <wp:inline distT="0" distB="0" distL="0" distR="0">
            <wp:extent cx="4476750" cy="4381500"/>
            <wp:effectExtent t="0" r="0" b="0" l="0"/>
            <wp:docPr id="1" name="BBB presence Cnet (&gt;=1 group, LFC0.2): the broader matrix/endothelial set appears, but as single-group occurrences." descr="BBB presence Cnet (&gt;=1 group, LFC0.2): the broader matrix/endothelial set appears, but as single-group occurrences." title="BBB presence Cnet (&gt;=1 group, LFC0.2): the broader matrix/endothelial set appears, but as single-group occurrenc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438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55555"/>
          <w:sz w:val="18"/>
          <w:szCs w:val="18"/>
        </w:rPr>
        <w:t xml:space="preserve">BBB presence Cnet (&gt;=1 group, LFC0.2): the broader matrix/endothelial set appears, but as single-group occurrences.</w:t>
      </w:r>
    </w:p>
    <w:p>
      <w:pPr>
        <w:pStyle w:val="Heading1"/>
      </w:pPr>
      <w:r>
        <w:t xml:space="preserve">9. What the data suggest — and caveats</w:t>
      </w:r>
    </w:p>
    <w:p>
      <w:pPr>
        <w:spacing w:after="120"/>
      </w:pPr>
      <w:r>
        <w:t xml:space="preserve">Suggested biology: GLP-1R / multi-agonist exposure drives a reproducible CNS program of increased translation and mitochondrial energy metabolism, a glucocorticoid/lipid stress-response (Fkbp5, Plin4, Hif3a), microglial clearance (Mertk), and a neuroprotective tilt (GSK3-beta down, autophagy and Bcl2l1 up, STAT1/inflammatory signalling down), with barrier stabilisation (Cav1/Aqp4 down, Glut1 up). The overlap with Parkinson/Huntington/Alzheimer KEGG maps positions this program as relevant to neurodegeneration.</w:t>
      </w:r>
    </w:p>
    <w:p>
      <w:pPr>
        <w:spacing w:after="120"/>
      </w:pPr>
      <w:r>
        <w:rPr>
          <w:b/>
          <w:bCs/>
        </w:rPr>
        <w:t xml:space="preserve">Caveats for honest reading: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Effect-size inflation in some arms (notably Accession-6 mbh) produces +10-13 log2FC values that drive the strict-threshold lists; these are dataset-specific.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Enrichment uses human-orthology gene-set libraries (KEGG/Reactome) on mouse symbols, and the 'viral/influenza' Reactome labels are ribosomal-gene sets, not infection per se.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Accession 1 was excluded and Accession 7 (spinal cord) remained locked at run time, so the consensus reflects the 34 included groups; folding Acc7 in later may add CNS-injury context.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What the Plots Show  |  Page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2E549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56d9950fb8beb7f6499080b62406f89ddd3c9ca0.png"/><Relationship Id="rId9" Type="http://schemas.openxmlformats.org/officeDocument/2006/relationships/image" Target="media/1996bafc97548de41542c9e461992ee2e41aac20.png"/><Relationship Id="rId10" Type="http://schemas.openxmlformats.org/officeDocument/2006/relationships/image" Target="media/a1540c28a7b6cc6b6eda834817423cab01edfb78.png"/><Relationship Id="rId11" Type="http://schemas.openxmlformats.org/officeDocument/2006/relationships/image" Target="media/875583c0a7ecc0c2088d39ff465645f43ebd186b.png"/><Relationship Id="rId12" Type="http://schemas.openxmlformats.org/officeDocument/2006/relationships/image" Target="media/e8fd8b0d8e748a1b886565358aa8a4c9db3d5e1d.png"/><Relationship Id="rId13" Type="http://schemas.openxmlformats.org/officeDocument/2006/relationships/image" Target="media/92b552efb33a4ac663e411c96ba5ae36e627bd63.png"/><Relationship Id="rId14" Type="http://schemas.openxmlformats.org/officeDocument/2006/relationships/image" Target="media/115194d1fdaa7fe28fbe72fea111d82e565b5ecf.png"/><Relationship Id="rId15" Type="http://schemas.openxmlformats.org/officeDocument/2006/relationships/image" Target="media/7aa5ec7ebc2e8dc028fcf20005f346b1a69deac1.png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2026-06-02T10:17:48.468Z</dcterms:created>
  <dcterms:modified xsi:type="dcterms:W3CDTF">2026-06-02T10:17:48.521Z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