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2"/>
          <w:szCs w:val="52"/>
        </w:rPr>
        <w:t xml:space="preserve">GLP-1 Receptor Agonist Cross-Accession</w:t>
      </w:r>
    </w:p>
    <w:p>
      <w:pPr>
        <w:spacing w:after="200" w:before="0"/>
        <w:jc w:val="center"/>
      </w:pPr>
      <w:r>
        <w:rPr>
          <w:rFonts w:ascii="Arial" w:cs="Arial" w:eastAsia="Arial" w:hAnsi="Arial"/>
          <w:b/>
          <w:bCs/>
          <w:color w:val="1F4E79"/>
          <w:sz w:val="52"/>
          <w:szCs w:val="52"/>
        </w:rPr>
        <w:t xml:space="preserve">Bulk RNA-Seq Analysis</w:t>
      </w:r>
    </w:p>
    <w:p>
      <w:pPr>
        <w:spacing w:after="400" w:before="200"/>
        <w:jc w:val="center"/>
      </w:pPr>
      <w:r>
        <w:rPr>
          <w:rFonts w:ascii="Arial" w:cs="Arial" w:eastAsia="Arial" w:hAnsi="Arial"/>
          <w:color w:val="7F8C8D"/>
          <w:sz w:val="32"/>
          <w:szCs w:val="32"/>
        </w:rPr>
        <w:t xml:space="preserve">Summary of Results and Figure Interpretation</w:t>
      </w:r>
    </w:p>
    <w:p>
      <w:pPr>
        <w:pBdr>
          <w:bottom w:val="single" w:color="2E75B6" w:sz="6" w:space="1"/>
        </w:pBdr>
        <w:spacing w:after="120" w:before="120"/>
      </w:pPr>
    </w:p>
    <w:p>
      <w:pPr>
        <w:spacing w:after="0" w:before="0"/>
      </w:pPr>
    </w:p>
    <w:p>
      <w:pPr>
        <w:spacing w:after="100" w:before="200"/>
        <w:jc w:val="center"/>
      </w:pPr>
      <w:r>
        <w:rPr>
          <w:rFonts w:ascii="Arial" w:cs="Arial" w:eastAsia="Arial" w:hAnsi="Arial"/>
          <w:color w:val="2E75B6"/>
          <w:sz w:val="24"/>
          <w:szCs w:val="24"/>
        </w:rPr>
        <w:t xml:space="preserve">9 GEO Accessions  |  5 Disease Conditions  |  5 Drug Regimens</w:t>
      </w:r>
    </w:p>
    <w:p>
      <w:pPr>
        <w:spacing w:after="60" w:before="60"/>
        <w:jc w:val="center"/>
      </w:pPr>
      <w:r>
        <w:rPr>
          <w:rFonts w:ascii="Arial" w:cs="Arial" w:eastAsia="Arial" w:hAnsi="Arial"/>
          <w:color w:val="7F8C8D"/>
          <w:sz w:val="22"/>
          <w:szCs w:val="22"/>
        </w:rPr>
        <w:t xml:space="preserve">Obesity  •  Neuroinflammation  •  TBI  •  Aging  •  Neurodegeneration</w:t>
      </w:r>
    </w:p>
    <w:p>
      <w:r>
        <w:br w:type="page"/>
      </w:r>
    </w:p>
    <w:p>
      <w:pPr>
        <w:pStyle w:val="Heading1"/>
        <w:spacing w:after="120" w:before="360"/>
      </w:pPr>
      <w:r>
        <w:rPr>
          <w:rFonts w:ascii="Arial" w:cs="Arial" w:eastAsia="Arial" w:hAnsi="Arial"/>
          <w:b/>
          <w:bCs/>
          <w:color w:val="1F4E79"/>
          <w:sz w:val="32"/>
          <w:szCs w:val="32"/>
        </w:rPr>
        <w:t xml:space="preserve">1. Study Overview</w:t>
      </w:r>
    </w:p>
    <w:p>
      <w:pPr>
        <w:spacing w:after="60" w:before="60"/>
      </w:pPr>
      <w:r>
        <w:rPr>
          <w:rFonts w:ascii="Arial" w:cs="Arial" w:eastAsia="Arial" w:hAnsi="Arial"/>
          <w:b w:val="false"/>
          <w:bCs w:val="false"/>
          <w:sz w:val="22"/>
          <w:szCs w:val="22"/>
        </w:rPr>
        <w:t xml:space="preserve">This document summarises a cross-accession bioinformatics analysis examining how GLP-1 receptor (GLP-1R) agonists — including liraglutide, exendin-4, semaglutide, and AC3174 — remodel gene expression across five neurological and metabolic disease contexts. Nine publicly available bulk RNA-seq datasets (GEO) were harmonised, with differentially expressed genes (DEGs) extracted for all GLP-1R–relevant contrasts. Pathway enrichment was then performed using Gene Set Enrichment Analysis (GSEA) and Over-Representation Analysis (ORA), and protein–protein interaction (PPI) networks were constructed via the STRING-DB database.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500"/>
        <w:gridCol w:w="2600"/>
        <w:gridCol w:w="900"/>
        <w:gridCol w:w="2160"/>
      </w:tblGrid>
      <w:tr>
        <w:tc>
          <w:tcPr>
            <w:tcW w:type="dxa" w:w="900"/>
            <w:tcBorders>
              <w:top w:val="single" w:color="CCCCCC" w:sz="2"/>
              <w:left w:val="single" w:color="CCCCCC" w:sz="2"/>
              <w:bottom w:val="single" w:color="CCCCCC" w:sz="2"/>
              <w:right w:val="single" w:color="CCCCCC" w:sz="2"/>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Acc.</w:t>
            </w:r>
          </w:p>
        </w:tc>
        <w:tc>
          <w:tcPr>
            <w:tcW w:type="dxa" w:w="1300"/>
            <w:tcBorders>
              <w:top w:val="single" w:color="CCCCCC" w:sz="2"/>
              <w:left w:val="single" w:color="CCCCCC" w:sz="2"/>
              <w:bottom w:val="single" w:color="CCCCCC" w:sz="2"/>
              <w:right w:val="single" w:color="CCCCCC" w:sz="2"/>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GEO</w:t>
            </w:r>
          </w:p>
        </w:tc>
        <w:tc>
          <w:tcPr>
            <w:tcW w:type="dxa" w:w="1500"/>
            <w:tcBorders>
              <w:top w:val="single" w:color="CCCCCC" w:sz="2"/>
              <w:left w:val="single" w:color="CCCCCC" w:sz="2"/>
              <w:bottom w:val="single" w:color="CCCCCC" w:sz="2"/>
              <w:right w:val="single" w:color="CCCCCC" w:sz="2"/>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Condition</w:t>
            </w:r>
          </w:p>
        </w:tc>
        <w:tc>
          <w:tcPr>
            <w:tcW w:type="dxa" w:w="2600"/>
            <w:tcBorders>
              <w:top w:val="single" w:color="CCCCCC" w:sz="2"/>
              <w:left w:val="single" w:color="CCCCCC" w:sz="2"/>
              <w:bottom w:val="single" w:color="CCCCCC" w:sz="2"/>
              <w:right w:val="single" w:color="CCCCCC" w:sz="2"/>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Drug / Intervention</w:t>
            </w:r>
          </w:p>
        </w:tc>
        <w:tc>
          <w:tcPr>
            <w:tcW w:type="dxa" w:w="900"/>
            <w:tcBorders>
              <w:top w:val="single" w:color="CCCCCC" w:sz="2"/>
              <w:left w:val="single" w:color="CCCCCC" w:sz="2"/>
              <w:bottom w:val="single" w:color="CCCCCC" w:sz="2"/>
              <w:right w:val="single" w:color="CCCCCC" w:sz="2"/>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DEGs</w:t>
            </w:r>
          </w:p>
        </w:tc>
        <w:tc>
          <w:tcPr>
            <w:tcW w:type="dxa" w:w="2160"/>
            <w:tcBorders>
              <w:top w:val="single" w:color="CCCCCC" w:sz="2"/>
              <w:left w:val="single" w:color="CCCCCC" w:sz="2"/>
              <w:bottom w:val="single" w:color="CCCCCC" w:sz="2"/>
              <w:right w:val="single" w:color="CCCCCC" w:sz="2"/>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Notes</w:t>
            </w:r>
          </w:p>
        </w:tc>
      </w:tr>
      <w:tr>
        <w:tc>
          <w:tcPr>
            <w:tcW w:type="dxa" w:w="9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bCs/>
                <w:sz w:val="18"/>
                <w:szCs w:val="18"/>
              </w:rPr>
              <w:t xml:space="preserve">Acc3</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GSE244607</w:t>
            </w:r>
          </w:p>
        </w:tc>
        <w:tc>
          <w:tcPr>
            <w:tcW w:type="dxa" w:w="15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Obesity</w:t>
            </w:r>
          </w:p>
        </w:tc>
        <w:tc>
          <w:tcPr>
            <w:tcW w:type="dxa" w:w="26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GLP-1R + NMDA-R (GLP-1, GLP-1/MK-801)</w:t>
            </w:r>
          </w:p>
        </w:tc>
        <w:tc>
          <w:tcPr>
            <w:tcW w:type="dxa" w:w="9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6,383</w:t>
            </w:r>
          </w:p>
        </w:tc>
        <w:tc>
          <w:tcPr>
            <w:tcW w:type="dxa" w:w="21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brain regions, 7 contrasts</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sz w:val="18"/>
                <w:szCs w:val="18"/>
              </w:rPr>
              <w:t xml:space="preserve">Acc4</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GSE190218</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Obesity</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Liraglutide post-RYGB</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435</w:t>
            </w:r>
          </w:p>
        </w:tc>
        <w:tc>
          <w:tcPr>
            <w:tcW w:type="dxa" w:w="2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Hypothalamus, 2 contrasts</w:t>
            </w:r>
          </w:p>
        </w:tc>
      </w:tr>
      <w:tr>
        <w:tc>
          <w:tcPr>
            <w:tcW w:type="dxa" w:w="9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bCs/>
                <w:sz w:val="18"/>
                <w:szCs w:val="18"/>
              </w:rPr>
              <w:t xml:space="preserve">Acc5</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GSE160802</w:t>
            </w:r>
          </w:p>
        </w:tc>
        <w:tc>
          <w:tcPr>
            <w:tcW w:type="dxa" w:w="15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Obesity</w:t>
            </w:r>
          </w:p>
        </w:tc>
        <w:tc>
          <w:tcPr>
            <w:tcW w:type="dxa" w:w="26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PYY + GLP-1 agonist (IP118)</w:t>
            </w:r>
          </w:p>
        </w:tc>
        <w:tc>
          <w:tcPr>
            <w:tcW w:type="dxa" w:w="9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136</w:t>
            </w:r>
          </w:p>
        </w:tc>
        <w:tc>
          <w:tcPr>
            <w:tcW w:type="dxa" w:w="21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gut regions, 3 contrasts</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sz w:val="18"/>
                <w:szCs w:val="18"/>
              </w:rPr>
              <w:t xml:space="preserve">Acc6</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GSE135862</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Obesity</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AC3174 ± COMBO (GLP-1R + CCK)</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399</w:t>
            </w:r>
          </w:p>
        </w:tc>
        <w:tc>
          <w:tcPr>
            <w:tcW w:type="dxa" w:w="2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DVC + MBH, 4 contrasts</w:t>
            </w:r>
          </w:p>
        </w:tc>
      </w:tr>
      <w:tr>
        <w:tc>
          <w:tcPr>
            <w:tcW w:type="dxa" w:w="9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bCs/>
                <w:sz w:val="18"/>
                <w:szCs w:val="18"/>
              </w:rPr>
              <w:t xml:space="preserve">Acc7</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GSE186318</w:t>
            </w:r>
          </w:p>
        </w:tc>
        <w:tc>
          <w:tcPr>
            <w:tcW w:type="dxa" w:w="15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Neuroinflammation</w:t>
            </w:r>
          </w:p>
        </w:tc>
        <w:tc>
          <w:tcPr>
            <w:tcW w:type="dxa" w:w="26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Liraglutide in EAE</w:t>
            </w:r>
          </w:p>
        </w:tc>
        <w:tc>
          <w:tcPr>
            <w:tcW w:type="dxa" w:w="9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162</w:t>
            </w:r>
          </w:p>
        </w:tc>
        <w:tc>
          <w:tcPr>
            <w:tcW w:type="dxa" w:w="21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Lumbar spinal cord</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sz w:val="18"/>
                <w:szCs w:val="18"/>
              </w:rPr>
              <w:t xml:space="preserve">Acc8</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GSE280382</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Aging</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Exendin-4 across brain regions</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8,608</w:t>
            </w:r>
          </w:p>
        </w:tc>
        <w:tc>
          <w:tcPr>
            <w:tcW w:type="dxa" w:w="2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 brain regions</w:t>
            </w:r>
          </w:p>
        </w:tc>
      </w:tr>
      <w:tr>
        <w:tc>
          <w:tcPr>
            <w:tcW w:type="dxa" w:w="9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bCs/>
                <w:sz w:val="18"/>
                <w:szCs w:val="18"/>
              </w:rPr>
              <w:t xml:space="preserve">Acc10</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GSE71850</w:t>
            </w:r>
          </w:p>
        </w:tc>
        <w:tc>
          <w:tcPr>
            <w:tcW w:type="dxa" w:w="15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TBI (blast)</w:t>
            </w:r>
          </w:p>
        </w:tc>
        <w:tc>
          <w:tcPr>
            <w:tcW w:type="dxa" w:w="26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Exendin-4 post-blast TBI</w:t>
            </w:r>
          </w:p>
        </w:tc>
        <w:tc>
          <w:tcPr>
            <w:tcW w:type="dxa" w:w="9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983</w:t>
            </w:r>
          </w:p>
        </w:tc>
        <w:tc>
          <w:tcPr>
            <w:tcW w:type="dxa" w:w="21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Hippocampus, 2 contrasts</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sz w:val="18"/>
                <w:szCs w:val="18"/>
              </w:rPr>
              <w:t xml:space="preserve">Acc11</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GSE41345</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TBI (mTBI)</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Exendin-4 post-mTBI</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93</w:t>
            </w:r>
          </w:p>
        </w:tc>
        <w:tc>
          <w:tcPr>
            <w:tcW w:type="dxa" w:w="2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Hippocampus</w:t>
            </w:r>
          </w:p>
        </w:tc>
      </w:tr>
      <w:tr>
        <w:tc>
          <w:tcPr>
            <w:tcW w:type="dxa" w:w="9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bCs/>
                <w:sz w:val="18"/>
                <w:szCs w:val="18"/>
              </w:rPr>
              <w:t xml:space="preserve">Acc12</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GSE39586</w:t>
            </w:r>
          </w:p>
        </w:tc>
        <w:tc>
          <w:tcPr>
            <w:tcW w:type="dxa" w:w="15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Neurodegeneration (HD)</w:t>
            </w:r>
          </w:p>
        </w:tc>
        <w:tc>
          <w:tcPr>
            <w:tcW w:type="dxa" w:w="26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GLP-1 agonist in HD model</w:t>
            </w:r>
          </w:p>
        </w:tc>
        <w:tc>
          <w:tcPr>
            <w:tcW w:type="dxa" w:w="9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31</w:t>
            </w:r>
          </w:p>
        </w:tc>
        <w:tc>
          <w:tcPr>
            <w:tcW w:type="dxa" w:w="21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Hypothalamus</w:t>
            </w:r>
          </w:p>
        </w:tc>
      </w:tr>
    </w:tbl>
    <w:p>
      <w:pPr>
        <w:spacing w:after="0" w:before="0"/>
      </w:pPr>
    </w:p>
    <w:p>
      <w:r>
        <w:br w:type="page"/>
      </w:r>
    </w:p>
    <w:p>
      <w:pPr>
        <w:pStyle w:val="Heading1"/>
        <w:spacing w:after="120" w:before="360"/>
      </w:pPr>
      <w:r>
        <w:rPr>
          <w:rFonts w:ascii="Arial" w:cs="Arial" w:eastAsia="Arial" w:hAnsi="Arial"/>
          <w:b/>
          <w:bCs/>
          <w:color w:val="1F4E79"/>
          <w:sz w:val="32"/>
          <w:szCs w:val="32"/>
        </w:rPr>
        <w:t xml:space="preserve">2. Figure-by-Figure Interpretation</w:t>
      </w:r>
    </w:p>
    <w:p>
      <w:pPr>
        <w:pStyle w:val="Heading2"/>
        <w:spacing w:after="100" w:before="280"/>
      </w:pPr>
      <w:r>
        <w:rPr>
          <w:rFonts w:ascii="Arial" w:cs="Arial" w:eastAsia="Arial" w:hAnsi="Arial"/>
          <w:b/>
          <w:bCs/>
          <w:color w:val="2E75B6"/>
          <w:sz w:val="26"/>
          <w:szCs w:val="26"/>
        </w:rPr>
        <w:t xml:space="preserve">Figure 1 — Venn Diagram of Gene Overlaps</w:t>
      </w:r>
    </w:p>
    <w:p>
      <w:pPr>
        <w:spacing w:after="60" w:before="60"/>
      </w:pPr>
      <w:r>
        <w:rPr>
          <w:rFonts w:ascii="Arial" w:cs="Arial" w:eastAsia="Arial" w:hAnsi="Arial"/>
          <w:b w:val="false"/>
          <w:bCs w:val="false"/>
          <w:sz w:val="22"/>
          <w:szCs w:val="22"/>
        </w:rPr>
        <w:t xml:space="preserve">File: 01_venn_gene_overlaps.png</w:t>
      </w:r>
    </w:p>
    <w:p>
      <w:pPr>
        <w:spacing w:after="60" w:before="60"/>
      </w:pPr>
      <w:r>
        <w:rPr>
          <w:rFonts w:ascii="Arial" w:cs="Arial" w:eastAsia="Arial" w:hAnsi="Arial"/>
          <w:b w:val="false"/>
          <w:bCs w:val="false"/>
          <w:sz w:val="22"/>
          <w:szCs w:val="22"/>
        </w:rPr>
        <w:t xml:space="preserve">What it shows: Three-way Venn diagrams group accessions by condition (Obesity, TBI, Aging) and display how many DEGs are shared between each pair or trio of datasets within the same condition. Separate diagrams are shown for each condition cluster.</w:t>
      </w:r>
    </w:p>
    <w:p>
      <w:pPr>
        <w:spacing w:after="60" w:before="60"/>
      </w:pPr>
      <w:r>
        <w:rPr>
          <w:rFonts w:ascii="Arial" w:cs="Arial" w:eastAsia="Arial" w:hAnsi="Arial"/>
          <w:b/>
          <w:bCs/>
          <w:sz w:val="22"/>
          <w:szCs w:val="22"/>
        </w:rPr>
        <w:t xml:space="preserve">What the results mean:</w:t>
      </w:r>
    </w:p>
    <w:p>
      <w:pPr>
        <w:pStyle w:val="ListParagraph"/>
        <w:numPr>
          <w:ilvl w:val="0"/>
          <w:numId w:val="2"/>
        </w:numPr>
        <w:spacing w:after="40" w:before="40"/>
      </w:pPr>
      <w:r>
        <w:rPr>
          <w:rFonts w:ascii="Arial" w:cs="Arial" w:eastAsia="Arial" w:hAnsi="Arial"/>
          <w:sz w:val="22"/>
          <w:szCs w:val="22"/>
        </w:rPr>
        <w:t xml:space="preserve">Obesity datasets (Acc3/4/5/6) share a relatively small proportion of DEGs despite representing the same condition. This is expected: different brain regions (accumbens, hypothalamus, brainstem), different drug combinations (GLP-1 alone vs. GLP-1/MK-801), and different species/platforms all reduce gene-level overlap.</w:t>
      </w:r>
    </w:p>
    <w:p>
      <w:pPr>
        <w:pStyle w:val="ListParagraph"/>
        <w:numPr>
          <w:ilvl w:val="0"/>
          <w:numId w:val="2"/>
        </w:numPr>
        <w:spacing w:after="40" w:before="40"/>
      </w:pPr>
      <w:r>
        <w:rPr>
          <w:rFonts w:ascii="Arial" w:cs="Arial" w:eastAsia="Arial" w:hAnsi="Arial"/>
          <w:sz w:val="22"/>
          <w:szCs w:val="22"/>
        </w:rPr>
        <w:t xml:space="preserve">TBI datasets (Acc10/11) share ~50–100 genes in the hippocampus, reflecting a common exendin-4 response signature despite different injury models (blast vs. mild TBI).</w:t>
      </w:r>
    </w:p>
    <w:p>
      <w:pPr>
        <w:pStyle w:val="ListParagraph"/>
        <w:numPr>
          <w:ilvl w:val="0"/>
          <w:numId w:val="2"/>
        </w:numPr>
        <w:spacing w:after="40" w:before="40"/>
      </w:pPr>
      <w:r>
        <w:rPr>
          <w:rFonts w:ascii="Arial" w:cs="Arial" w:eastAsia="Arial" w:hAnsi="Arial"/>
          <w:sz w:val="22"/>
          <w:szCs w:val="22"/>
        </w:rPr>
        <w:t xml:space="preserve">A total of 3,102 genes appeared in DEG lists from two or more accessions. Only two genes — Mtch1 and Loxl1 — were differentially expressed across all four condition categories (Obesity, Neuroinflammation, TBI, and Aging), suggesting these may represent core GLP-1R transcriptional targets conserved across diverse pathological contexts.</w:t>
      </w:r>
    </w:p>
    <w:p>
      <w:pPr>
        <w:spacing w:after="0" w:before="0"/>
      </w:pPr>
    </w:p>
    <w:p>
      <w:pPr>
        <w:pStyle w:val="Heading2"/>
        <w:spacing w:after="100" w:before="280"/>
      </w:pPr>
      <w:r>
        <w:rPr>
          <w:rFonts w:ascii="Arial" w:cs="Arial" w:eastAsia="Arial" w:hAnsi="Arial"/>
          <w:b/>
          <w:bCs/>
          <w:color w:val="2E75B6"/>
          <w:sz w:val="26"/>
          <w:szCs w:val="26"/>
        </w:rPr>
        <w:t xml:space="preserve">Figure 2 — UpSet Plot (All 9 Accessions)</w:t>
      </w:r>
    </w:p>
    <w:p>
      <w:pPr>
        <w:spacing w:after="60" w:before="60"/>
      </w:pPr>
      <w:r>
        <w:rPr>
          <w:rFonts w:ascii="Arial" w:cs="Arial" w:eastAsia="Arial" w:hAnsi="Arial"/>
          <w:b w:val="false"/>
          <w:bCs w:val="false"/>
          <w:sz w:val="22"/>
          <w:szCs w:val="22"/>
        </w:rPr>
        <w:t xml:space="preserve">File: 02_upset_all_accessions.png</w:t>
      </w:r>
    </w:p>
    <w:p>
      <w:pPr>
        <w:spacing w:after="60" w:before="60"/>
      </w:pPr>
      <w:r>
        <w:rPr>
          <w:rFonts w:ascii="Arial" w:cs="Arial" w:eastAsia="Arial" w:hAnsi="Arial"/>
          <w:b w:val="false"/>
          <w:bCs w:val="false"/>
          <w:sz w:val="22"/>
          <w:szCs w:val="22"/>
        </w:rPr>
        <w:t xml:space="preserve">What it shows: An UpSet plot is a scalable alternative to Venn diagrams for more than three sets. Each bar represents the number of DEGs found in a specific combination of accessions (indicated by the dot matrix below). The left bar chart shows the total DEG count per accession.</w:t>
      </w:r>
    </w:p>
    <w:p>
      <w:pPr>
        <w:spacing w:after="60" w:before="60"/>
      </w:pPr>
      <w:r>
        <w:rPr>
          <w:rFonts w:ascii="Arial" w:cs="Arial" w:eastAsia="Arial" w:hAnsi="Arial"/>
          <w:b/>
          <w:bCs/>
          <w:sz w:val="22"/>
          <w:szCs w:val="22"/>
        </w:rPr>
        <w:t xml:space="preserve">What the results mean:</w:t>
      </w:r>
    </w:p>
    <w:p>
      <w:pPr>
        <w:pStyle w:val="ListParagraph"/>
        <w:numPr>
          <w:ilvl w:val="0"/>
          <w:numId w:val="2"/>
        </w:numPr>
        <w:spacing w:after="40" w:before="40"/>
      </w:pPr>
      <w:r>
        <w:rPr>
          <w:rFonts w:ascii="Arial" w:cs="Arial" w:eastAsia="Arial" w:hAnsi="Arial"/>
          <w:sz w:val="22"/>
          <w:szCs w:val="22"/>
        </w:rPr>
        <w:t xml:space="preserve">The largest intersection bars correspond to genes unique to individual accessions — particularly Acc3 (6,383 DEGs, multiple brain regions and contrasts) and Acc8 (8,608 DEGs, aged brain across 5 regions).</w:t>
      </w:r>
    </w:p>
    <w:p>
      <w:pPr>
        <w:pStyle w:val="ListParagraph"/>
        <w:numPr>
          <w:ilvl w:val="0"/>
          <w:numId w:val="2"/>
        </w:numPr>
        <w:spacing w:after="40" w:before="40"/>
      </w:pPr>
      <w:r>
        <w:rPr>
          <w:rFonts w:ascii="Arial" w:cs="Arial" w:eastAsia="Arial" w:hAnsi="Arial"/>
          <w:sz w:val="22"/>
          <w:szCs w:val="22"/>
        </w:rPr>
        <w:t xml:space="preserve">Smaller but non-zero bars at multi-accession intersections highlight shared GLP-1R-regulated genes that survive across different disease models. These cross-accession genes are the most biologically robust candidates.</w:t>
      </w:r>
    </w:p>
    <w:p>
      <w:pPr>
        <w:pStyle w:val="ListParagraph"/>
        <w:numPr>
          <w:ilvl w:val="0"/>
          <w:numId w:val="2"/>
        </w:numPr>
        <w:spacing w:after="40" w:before="40"/>
      </w:pPr>
      <w:r>
        <w:rPr>
          <w:rFonts w:ascii="Arial" w:cs="Arial" w:eastAsia="Arial" w:hAnsi="Arial"/>
          <w:sz w:val="22"/>
          <w:szCs w:val="22"/>
        </w:rPr>
        <w:t xml:space="preserve">The plot confirms dataset diversity: no single gene is dysregulated across all nine datasets, reflecting the heterogeneity of conditions, species, platforms, and treatment regimens included in the analysis.</w:t>
      </w:r>
    </w:p>
    <w:p>
      <w:pPr>
        <w:spacing w:after="0" w:before="0"/>
      </w:pPr>
    </w:p>
    <w:p>
      <w:pPr>
        <w:pStyle w:val="Heading2"/>
        <w:spacing w:after="100" w:before="280"/>
      </w:pPr>
      <w:r>
        <w:rPr>
          <w:rFonts w:ascii="Arial" w:cs="Arial" w:eastAsia="Arial" w:hAnsi="Arial"/>
          <w:b/>
          <w:bCs/>
          <w:color w:val="2E75B6"/>
          <w:sz w:val="26"/>
          <w:szCs w:val="26"/>
        </w:rPr>
        <w:t xml:space="preserve">Figure 3 — Pathway Heatmap: Hallmark Gene Sets (GSEA)</w:t>
      </w:r>
    </w:p>
    <w:p>
      <w:pPr>
        <w:spacing w:after="60" w:before="60"/>
      </w:pPr>
      <w:r>
        <w:rPr>
          <w:rFonts w:ascii="Arial" w:cs="Arial" w:eastAsia="Arial" w:hAnsi="Arial"/>
          <w:b w:val="false"/>
          <w:bCs w:val="false"/>
          <w:sz w:val="22"/>
          <w:szCs w:val="22"/>
        </w:rPr>
        <w:t xml:space="preserve">File: 03_pathway_heatmap_hallmarks.png</w:t>
      </w:r>
    </w:p>
    <w:p>
      <w:pPr>
        <w:spacing w:after="60" w:before="60"/>
      </w:pPr>
      <w:r>
        <w:rPr>
          <w:rFonts w:ascii="Arial" w:cs="Arial" w:eastAsia="Arial" w:hAnsi="Arial"/>
          <w:b w:val="false"/>
          <w:bCs w:val="false"/>
          <w:sz w:val="22"/>
          <w:szCs w:val="22"/>
        </w:rPr>
        <w:t xml:space="preserve">What it shows: A heatmap of Normalised Enrichment Scores (NES) for MSigDB Hallmark gene sets across all accessions and comparisons. Each row is a pathway; each column is one accession/comparison pair. Red indicates pathway upregulation (positive NES); blue indicates downregulation (negative NES). Only pathways significant at FDR &lt; 0.25 in at least one comparison are shown.</w:t>
      </w:r>
    </w:p>
    <w:p>
      <w:pPr>
        <w:spacing w:after="60" w:before="60"/>
      </w:pPr>
      <w:r>
        <w:rPr>
          <w:rFonts w:ascii="Arial" w:cs="Arial" w:eastAsia="Arial" w:hAnsi="Arial"/>
          <w:b/>
          <w:bCs/>
          <w:sz w:val="22"/>
          <w:szCs w:val="22"/>
        </w:rPr>
        <w:t xml:space="preserve">What the results mean:</w:t>
      </w:r>
    </w:p>
    <w:p>
      <w:pPr>
        <w:pStyle w:val="ListParagraph"/>
        <w:numPr>
          <w:ilvl w:val="0"/>
          <w:numId w:val="2"/>
        </w:numPr>
        <w:spacing w:after="40" w:before="40"/>
      </w:pPr>
      <w:r>
        <w:rPr>
          <w:rFonts w:ascii="Arial" w:cs="Arial" w:eastAsia="Arial" w:hAnsi="Arial"/>
          <w:sz w:val="22"/>
          <w:szCs w:val="22"/>
        </w:rPr>
        <w:t xml:space="preserve">Oxidative Phosphorylation is the most consistently altered pathway. It is strongly suppressed in Obesity (Acc3, Acc6: NES ≈ −2.5 to −3.1) but robustly upregulated in Aging (Acc8: NES ≈ +2.6 to +3.0), suggesting GLP-1R agonists may restore mitochondrial function in aged brains while normalising excessive oxidative burden in obesity.</w:t>
      </w:r>
    </w:p>
    <w:p>
      <w:pPr>
        <w:pStyle w:val="ListParagraph"/>
        <w:numPr>
          <w:ilvl w:val="0"/>
          <w:numId w:val="2"/>
        </w:numPr>
        <w:spacing w:after="40" w:before="40"/>
      </w:pPr>
      <w:r>
        <w:rPr>
          <w:rFonts w:ascii="Arial" w:cs="Arial" w:eastAsia="Arial" w:hAnsi="Arial"/>
          <w:sz w:val="22"/>
          <w:szCs w:val="22"/>
        </w:rPr>
        <w:t xml:space="preserve">Inflammatory pathways (TNF-α/NF-κB, Inflammatory Response, IL-6/JAK/STAT3, Interferon Gamma) are strongly suppressed in Neuroinflammation (Acc7, Liraglutide in EAE) with NES values reaching −2.94. In TBI (Acc10), the pattern is more complex: innate immune pathways (Interferon Alpha/Gamma) are paradoxically upregulated, suggesting Exendin-4 may promote an acute antiviral-like response early after blast injury.</w:t>
      </w:r>
    </w:p>
    <w:p>
      <w:pPr>
        <w:pStyle w:val="ListParagraph"/>
        <w:numPr>
          <w:ilvl w:val="0"/>
          <w:numId w:val="2"/>
        </w:numPr>
        <w:spacing w:after="40" w:before="40"/>
      </w:pPr>
      <w:r>
        <w:rPr>
          <w:rFonts w:ascii="Arial" w:cs="Arial" w:eastAsia="Arial" w:hAnsi="Arial"/>
          <w:sz w:val="22"/>
          <w:szCs w:val="22"/>
        </w:rPr>
        <w:t xml:space="preserve">E2F Targets is the most broadly shared pathway across conditions (present in all 5 conditions), indicating GLP-1R agonists consistently influence cell cycle regulation and DNA replication programmes regardless of disease context.</w:t>
      </w:r>
    </w:p>
    <w:p>
      <w:pPr>
        <w:pStyle w:val="ListParagraph"/>
        <w:numPr>
          <w:ilvl w:val="0"/>
          <w:numId w:val="2"/>
        </w:numPr>
        <w:spacing w:after="40" w:before="40"/>
      </w:pPr>
      <w:r>
        <w:rPr>
          <w:rFonts w:ascii="Arial" w:cs="Arial" w:eastAsia="Arial" w:hAnsi="Arial"/>
          <w:sz w:val="22"/>
          <w:szCs w:val="22"/>
        </w:rPr>
        <w:t xml:space="preserve">DNA Repair is upregulated in TBI (NES ≈ +1.77–2.0) and Aging (NES ≈ +2.2–2.4), consistent with a neuroprotective role for GLP-1R signalling in restoring genomic integrity after injury or age-related damage.</w:t>
      </w:r>
    </w:p>
    <w:p>
      <w:pPr>
        <w:spacing w:after="0" w:before="0"/>
      </w:pPr>
    </w:p>
    <w:p>
      <w:pPr>
        <w:pStyle w:val="Heading2"/>
        <w:spacing w:after="100" w:before="280"/>
      </w:pPr>
      <w:r>
        <w:rPr>
          <w:rFonts w:ascii="Arial" w:cs="Arial" w:eastAsia="Arial" w:hAnsi="Arial"/>
          <w:b/>
          <w:bCs/>
          <w:color w:val="2E75B6"/>
          <w:sz w:val="26"/>
          <w:szCs w:val="26"/>
        </w:rPr>
        <w:t xml:space="preserve">Figure 4 — Pathway Heatmap: KEGG Pathways (GSEA)</w:t>
      </w:r>
    </w:p>
    <w:p>
      <w:pPr>
        <w:spacing w:after="60" w:before="60"/>
      </w:pPr>
      <w:r>
        <w:rPr>
          <w:rFonts w:ascii="Arial" w:cs="Arial" w:eastAsia="Arial" w:hAnsi="Arial"/>
          <w:b w:val="false"/>
          <w:bCs w:val="false"/>
          <w:sz w:val="22"/>
          <w:szCs w:val="22"/>
        </w:rPr>
        <w:t xml:space="preserve">File: 04_pathway_heatmap_kegg.png</w:t>
      </w:r>
    </w:p>
    <w:p>
      <w:pPr>
        <w:spacing w:after="60" w:before="60"/>
      </w:pPr>
      <w:r>
        <w:rPr>
          <w:rFonts w:ascii="Arial" w:cs="Arial" w:eastAsia="Arial" w:hAnsi="Arial"/>
          <w:b w:val="false"/>
          <w:bCs w:val="false"/>
          <w:sz w:val="22"/>
          <w:szCs w:val="22"/>
        </w:rPr>
        <w:t xml:space="preserve">What it shows: Same layout as Figure 3 but using KEGG 2021 Human pathway gene sets. KEGG provides more mechanistic, disease-specific pathways (e.g., Alzheimer disease, Parkinson disease, MAPK signalling) compared to the broader Hallmark categories.</w:t>
      </w:r>
    </w:p>
    <w:p>
      <w:pPr>
        <w:spacing w:after="60" w:before="60"/>
      </w:pPr>
      <w:r>
        <w:rPr>
          <w:rFonts w:ascii="Arial" w:cs="Arial" w:eastAsia="Arial" w:hAnsi="Arial"/>
          <w:b/>
          <w:bCs/>
          <w:sz w:val="22"/>
          <w:szCs w:val="22"/>
        </w:rPr>
        <w:t xml:space="preserve">What the results mean:</w:t>
      </w:r>
    </w:p>
    <w:p>
      <w:pPr>
        <w:pStyle w:val="ListParagraph"/>
        <w:numPr>
          <w:ilvl w:val="0"/>
          <w:numId w:val="2"/>
        </w:numPr>
        <w:spacing w:after="40" w:before="40"/>
      </w:pPr>
      <w:r>
        <w:rPr>
          <w:rFonts w:ascii="Arial" w:cs="Arial" w:eastAsia="Arial" w:hAnsi="Arial"/>
          <w:sz w:val="22"/>
          <w:szCs w:val="22"/>
        </w:rPr>
        <w:t xml:space="preserve">In the Aging condition (Acc8), GLP-1R agonist treatment is associated with upregulation of neurodegenerative disease-related KEGG pathways including Alzheimer disease (NES ≈ +2.69) and Huntington disease (NES ≈ +2.57). This counter-intuitive finding likely reflects upregulation of mitochondrial and proteostatic gene sets that are included within these KEGG gene set definitions — not worsening of neurodegeneration, but rather engagement of protective metabolic programmes.</w:t>
      </w:r>
    </w:p>
    <w:p>
      <w:pPr>
        <w:pStyle w:val="ListParagraph"/>
        <w:numPr>
          <w:ilvl w:val="0"/>
          <w:numId w:val="2"/>
        </w:numPr>
        <w:spacing w:after="40" w:before="40"/>
      </w:pPr>
      <w:r>
        <w:rPr>
          <w:rFonts w:ascii="Arial" w:cs="Arial" w:eastAsia="Arial" w:hAnsi="Arial"/>
          <w:sz w:val="22"/>
          <w:szCs w:val="22"/>
        </w:rPr>
        <w:t xml:space="preserve">TCA cycle and oxidative phosphorylation-related KEGG terms are similarly upregulated in Aging, reinforcing the Hallmark findings of improved mitochondrial function.</w:t>
      </w:r>
    </w:p>
    <w:p>
      <w:pPr>
        <w:pStyle w:val="ListParagraph"/>
        <w:numPr>
          <w:ilvl w:val="0"/>
          <w:numId w:val="2"/>
        </w:numPr>
        <w:spacing w:after="40" w:before="40"/>
      </w:pPr>
      <w:r>
        <w:rPr>
          <w:rFonts w:ascii="Arial" w:cs="Arial" w:eastAsia="Arial" w:hAnsi="Arial"/>
          <w:sz w:val="22"/>
          <w:szCs w:val="22"/>
        </w:rPr>
        <w:t xml:space="preserve">In Obesity, KEGG pathways related to MAPK signalling, insulin resistance, and metabolic regulation show condition-specific patterns across accessions, reflecting the metabolic rewiring induced by GLP-1R agonists in different brain regions.</w:t>
      </w:r>
    </w:p>
    <w:p>
      <w:pPr>
        <w:pStyle w:val="ListParagraph"/>
        <w:numPr>
          <w:ilvl w:val="0"/>
          <w:numId w:val="2"/>
        </w:numPr>
        <w:spacing w:after="40" w:before="40"/>
      </w:pPr>
      <w:r>
        <w:rPr>
          <w:rFonts w:ascii="Arial" w:cs="Arial" w:eastAsia="Arial" w:hAnsi="Arial"/>
          <w:sz w:val="22"/>
          <w:szCs w:val="22"/>
        </w:rPr>
        <w:t xml:space="preserve">The breadth of KEGG enrichment (914 significant terms in Acc3 alone) underscores the wide-ranging transcriptional impact of GLP-1R/NMDA-R co-stimulation across accumbal, brainstem, and hypothalamic circuits.</w:t>
      </w:r>
    </w:p>
    <w:p>
      <w:pPr>
        <w:spacing w:after="0" w:before="0"/>
      </w:pPr>
    </w:p>
    <w:p>
      <w:pPr>
        <w:pStyle w:val="Heading2"/>
        <w:spacing w:after="100" w:before="280"/>
      </w:pPr>
      <w:r>
        <w:rPr>
          <w:rFonts w:ascii="Arial" w:cs="Arial" w:eastAsia="Arial" w:hAnsi="Arial"/>
          <w:b/>
          <w:bCs/>
          <w:color w:val="2E75B6"/>
          <w:sz w:val="26"/>
          <w:szCs w:val="26"/>
        </w:rPr>
        <w:t xml:space="preserve">Figure 5 — ORA Dot Plot: Hallmark Gene Sets</w:t>
      </w:r>
    </w:p>
    <w:p>
      <w:pPr>
        <w:spacing w:after="60" w:before="60"/>
      </w:pPr>
      <w:r>
        <w:rPr>
          <w:rFonts w:ascii="Arial" w:cs="Arial" w:eastAsia="Arial" w:hAnsi="Arial"/>
          <w:b w:val="false"/>
          <w:bCs w:val="false"/>
          <w:sz w:val="22"/>
          <w:szCs w:val="22"/>
        </w:rPr>
        <w:t xml:space="preserve">File: 05_ora_dotplot_hallmark.png</w:t>
      </w:r>
    </w:p>
    <w:p>
      <w:pPr>
        <w:spacing w:after="60" w:before="60"/>
      </w:pPr>
      <w:r>
        <w:rPr>
          <w:rFonts w:ascii="Arial" w:cs="Arial" w:eastAsia="Arial" w:hAnsi="Arial"/>
          <w:b w:val="false"/>
          <w:bCs w:val="false"/>
          <w:sz w:val="22"/>
          <w:szCs w:val="22"/>
        </w:rPr>
        <w:t xml:space="preserve">What it shows: Over-Representation Analysis (ORA) dot plots for MSigDB Hallmark gene sets, faceted by accession. Each dot represents a significantly enriched pathway (adjusted p &lt; 0.05 via Enrichr). Dot size encodes the number of overlapping genes; dot colour encodes the combined enrichment score. ORA, unlike GSEA, tests whether DEGs are statistically over-represented in a gene set without considering direction or magnitude of expression change.</w:t>
      </w:r>
    </w:p>
    <w:p>
      <w:pPr>
        <w:spacing w:after="60" w:before="60"/>
      </w:pPr>
      <w:r>
        <w:rPr>
          <w:rFonts w:ascii="Arial" w:cs="Arial" w:eastAsia="Arial" w:hAnsi="Arial"/>
          <w:b/>
          <w:bCs/>
          <w:sz w:val="22"/>
          <w:szCs w:val="22"/>
        </w:rPr>
        <w:t xml:space="preserve">What the results mean:</w:t>
      </w:r>
    </w:p>
    <w:p>
      <w:pPr>
        <w:pStyle w:val="ListParagraph"/>
        <w:numPr>
          <w:ilvl w:val="0"/>
          <w:numId w:val="2"/>
        </w:numPr>
        <w:spacing w:after="40" w:before="40"/>
      </w:pPr>
      <w:r>
        <w:rPr>
          <w:rFonts w:ascii="Arial" w:cs="Arial" w:eastAsia="Arial" w:hAnsi="Arial"/>
          <w:sz w:val="22"/>
          <w:szCs w:val="22"/>
        </w:rPr>
        <w:t xml:space="preserve">Acc5 (PYY + GLP-1, gut regions) shows the most significant ORA hits among Obesity datasets (23 Hallmark gene sets, adj. p &lt; 0.05), with enrichment concentrated in metabolic and immune pathways. This reflects the major transcriptional response in the gut–brain axis to combined hormonal therapy.</w:t>
      </w:r>
    </w:p>
    <w:p>
      <w:pPr>
        <w:pStyle w:val="ListParagraph"/>
        <w:numPr>
          <w:ilvl w:val="0"/>
          <w:numId w:val="2"/>
        </w:numPr>
        <w:spacing w:after="40" w:before="40"/>
      </w:pPr>
      <w:r>
        <w:rPr>
          <w:rFonts w:ascii="Arial" w:cs="Arial" w:eastAsia="Arial" w:hAnsi="Arial"/>
          <w:sz w:val="22"/>
          <w:szCs w:val="22"/>
        </w:rPr>
        <w:t xml:space="preserve">Acc7 (Liraglutide, EAE) confirms the GSEA findings: ORA identifies inflammatory gene sets as significantly enriched among downregulated DEGs, validating the anti-inflammatory signature of liraglutide in the spinal cord.</w:t>
      </w:r>
    </w:p>
    <w:p>
      <w:pPr>
        <w:pStyle w:val="ListParagraph"/>
        <w:numPr>
          <w:ilvl w:val="0"/>
          <w:numId w:val="2"/>
        </w:numPr>
        <w:spacing w:after="40" w:before="40"/>
      </w:pPr>
      <w:r>
        <w:rPr>
          <w:rFonts w:ascii="Arial" w:cs="Arial" w:eastAsia="Arial" w:hAnsi="Arial"/>
          <w:sz w:val="22"/>
          <w:szCs w:val="22"/>
        </w:rPr>
        <w:t xml:space="preserve">Acc10 (Exendin-4, blast TBI) shows enrichment in TNF-α/NF-κB and immune response pathways, consistent with GSEA. ORA adds confidence that the DEGs driving GSEA enrichment are genuinely concentrated in these pathways.</w:t>
      </w:r>
    </w:p>
    <w:p>
      <w:pPr>
        <w:pStyle w:val="ListParagraph"/>
        <w:numPr>
          <w:ilvl w:val="0"/>
          <w:numId w:val="2"/>
        </w:numPr>
        <w:spacing w:after="40" w:before="40"/>
      </w:pPr>
      <w:r>
        <w:rPr>
          <w:rFonts w:ascii="Arial" w:cs="Arial" w:eastAsia="Arial" w:hAnsi="Arial"/>
          <w:sz w:val="22"/>
          <w:szCs w:val="22"/>
        </w:rPr>
        <w:t xml:space="preserve">Acc4 (Liraglutide post-RYGB) and Acc12 (HD model) show no significant ORA hits, reflecting the smaller DEG lists (435 and 31 genes) and lower statistical power of ORA in small gene sets.</w:t>
      </w:r>
    </w:p>
    <w:p>
      <w:pPr>
        <w:spacing w:after="0" w:before="0"/>
      </w:pPr>
    </w:p>
    <w:p>
      <w:pPr>
        <w:pStyle w:val="Heading2"/>
        <w:spacing w:after="100" w:before="280"/>
      </w:pPr>
      <w:r>
        <w:rPr>
          <w:rFonts w:ascii="Arial" w:cs="Arial" w:eastAsia="Arial" w:hAnsi="Arial"/>
          <w:b/>
          <w:bCs/>
          <w:color w:val="2E75B6"/>
          <w:sz w:val="26"/>
          <w:szCs w:val="26"/>
        </w:rPr>
        <w:t xml:space="preserve">Figure 6 — ORA Dot Plot: KEGG Pathways</w:t>
      </w:r>
    </w:p>
    <w:p>
      <w:pPr>
        <w:spacing w:after="60" w:before="60"/>
      </w:pPr>
      <w:r>
        <w:rPr>
          <w:rFonts w:ascii="Arial" w:cs="Arial" w:eastAsia="Arial" w:hAnsi="Arial"/>
          <w:b w:val="false"/>
          <w:bCs w:val="false"/>
          <w:sz w:val="22"/>
          <w:szCs w:val="22"/>
        </w:rPr>
        <w:t xml:space="preserve">File: 06_ora_dotplot_kegg.png</w:t>
      </w:r>
    </w:p>
    <w:p>
      <w:pPr>
        <w:spacing w:after="60" w:before="60"/>
      </w:pPr>
      <w:r>
        <w:rPr>
          <w:rFonts w:ascii="Arial" w:cs="Arial" w:eastAsia="Arial" w:hAnsi="Arial"/>
          <w:b w:val="false"/>
          <w:bCs w:val="false"/>
          <w:sz w:val="22"/>
          <w:szCs w:val="22"/>
        </w:rPr>
        <w:t xml:space="preserve">What it shows: ORA dot plots using KEGG 2021 Human pathway gene sets. Interpretation is identical to Figure 5, but KEGG provides finer mechanistic resolution.</w:t>
      </w:r>
    </w:p>
    <w:p>
      <w:pPr>
        <w:spacing w:after="60" w:before="60"/>
      </w:pPr>
      <w:r>
        <w:rPr>
          <w:rFonts w:ascii="Arial" w:cs="Arial" w:eastAsia="Arial" w:hAnsi="Arial"/>
          <w:b/>
          <w:bCs/>
          <w:sz w:val="22"/>
          <w:szCs w:val="22"/>
        </w:rPr>
        <w:t xml:space="preserve">What the results mean:</w:t>
      </w:r>
    </w:p>
    <w:p>
      <w:pPr>
        <w:pStyle w:val="ListParagraph"/>
        <w:numPr>
          <w:ilvl w:val="0"/>
          <w:numId w:val="2"/>
        </w:numPr>
        <w:spacing w:after="40" w:before="40"/>
      </w:pPr>
      <w:r>
        <w:rPr>
          <w:rFonts w:ascii="Arial" w:cs="Arial" w:eastAsia="Arial" w:hAnsi="Arial"/>
          <w:sz w:val="22"/>
          <w:szCs w:val="22"/>
        </w:rPr>
        <w:t xml:space="preserve">Acc3 shows the broadest KEGG ORA enrichment (35 significant KEGG terms), reflecting the extensive transcriptional remodelling from GLP-1R/NMDA-R co-stimulation across three brain regions. Enriched terms include neurotransmitter receptor pathways, synaptic plasticity, and lipid metabolism.</w:t>
      </w:r>
    </w:p>
    <w:p>
      <w:pPr>
        <w:pStyle w:val="ListParagraph"/>
        <w:numPr>
          <w:ilvl w:val="0"/>
          <w:numId w:val="2"/>
        </w:numPr>
        <w:spacing w:after="40" w:before="40"/>
      </w:pPr>
      <w:r>
        <w:rPr>
          <w:rFonts w:ascii="Arial" w:cs="Arial" w:eastAsia="Arial" w:hAnsi="Arial"/>
          <w:sz w:val="22"/>
          <w:szCs w:val="22"/>
        </w:rPr>
        <w:t xml:space="preserve">Acc8 (Aging) yields 9 significant KEGG terms, with metabolic pathways predominating. The direction of enrichment aligns with restoration of mitochondrial and biosynthetic function in aged brain tissue.</w:t>
      </w:r>
    </w:p>
    <w:p>
      <w:pPr>
        <w:pStyle w:val="ListParagraph"/>
        <w:numPr>
          <w:ilvl w:val="0"/>
          <w:numId w:val="2"/>
        </w:numPr>
        <w:spacing w:after="40" w:before="40"/>
      </w:pPr>
      <w:r>
        <w:rPr>
          <w:rFonts w:ascii="Arial" w:cs="Arial" w:eastAsia="Arial" w:hAnsi="Arial"/>
          <w:sz w:val="22"/>
          <w:szCs w:val="22"/>
        </w:rPr>
        <w:t xml:space="preserve">TBI accessions show KEGG enrichment in immune and neurotrophin signalling pathways, consistent with a neuroprotective response profile.</w:t>
      </w:r>
    </w:p>
    <w:p>
      <w:pPr>
        <w:spacing w:after="0" w:before="0"/>
      </w:pPr>
    </w:p>
    <w:p>
      <w:pPr>
        <w:pStyle w:val="Heading2"/>
        <w:spacing w:after="100" w:before="280"/>
      </w:pPr>
      <w:r>
        <w:rPr>
          <w:rFonts w:ascii="Arial" w:cs="Arial" w:eastAsia="Arial" w:hAnsi="Arial"/>
          <w:b/>
          <w:bCs/>
          <w:color w:val="2E75B6"/>
          <w:sz w:val="26"/>
          <w:szCs w:val="26"/>
        </w:rPr>
        <w:t xml:space="preserve">Figures 7a &amp; 7b — Cross-Condition Pathway Comparison</w:t>
      </w:r>
    </w:p>
    <w:p>
      <w:pPr>
        <w:spacing w:after="60" w:before="60"/>
      </w:pPr>
      <w:r>
        <w:rPr>
          <w:rFonts w:ascii="Arial" w:cs="Arial" w:eastAsia="Arial" w:hAnsi="Arial"/>
          <w:b w:val="false"/>
          <w:bCs w:val="false"/>
          <w:sz w:val="22"/>
          <w:szCs w:val="22"/>
        </w:rPr>
        <w:t xml:space="preserve">Files: 07_cross_condition_hallmark_comparison.png and 07_cross_condition_kegg_comparison.png</w:t>
      </w:r>
    </w:p>
    <w:p>
      <w:pPr>
        <w:spacing w:after="60" w:before="60"/>
      </w:pPr>
      <w:r>
        <w:rPr>
          <w:rFonts w:ascii="Arial" w:cs="Arial" w:eastAsia="Arial" w:hAnsi="Arial"/>
          <w:b w:val="false"/>
          <w:bCs w:val="false"/>
          <w:sz w:val="22"/>
          <w:szCs w:val="22"/>
        </w:rPr>
        <w:t xml:space="preserve">What they show: Bar or lollipop charts summarising the number of significantly enriched pathways per condition for both Hallmark and KEGG libraries. Panels are split by enrichment direction (upregulated vs. downregulated) and by condition, enabling direct visual comparison of the scale and directionality of GLP-1R agonist effects across disease contexts.</w:t>
      </w:r>
    </w:p>
    <w:p>
      <w:pPr>
        <w:spacing w:after="60" w:before="60"/>
      </w:pPr>
      <w:r>
        <w:rPr>
          <w:rFonts w:ascii="Arial" w:cs="Arial" w:eastAsia="Arial" w:hAnsi="Arial"/>
          <w:b/>
          <w:bCs/>
          <w:sz w:val="22"/>
          <w:szCs w:val="22"/>
        </w:rPr>
        <w:t xml:space="preserve">What the results mean:</w:t>
      </w:r>
    </w:p>
    <w:p>
      <w:pPr>
        <w:pStyle w:val="ListParagraph"/>
        <w:numPr>
          <w:ilvl w:val="0"/>
          <w:numId w:val="2"/>
        </w:numPr>
        <w:spacing w:after="40" w:before="40"/>
      </w:pPr>
      <w:r>
        <w:rPr>
          <w:rFonts w:ascii="Arial" w:cs="Arial" w:eastAsia="Arial" w:hAnsi="Arial"/>
          <w:sz w:val="22"/>
          <w:szCs w:val="22"/>
        </w:rPr>
        <w:t xml:space="preserve">Neuroinflammation (Acc7) shows the most directionally consistent pathway suppression — nearly all 43 significant Hallmark pathways are downregulated, reflecting a coherent broad anti-inflammatory transcriptional programme by liraglutide in the EAE spinal cord.</w:t>
      </w:r>
    </w:p>
    <w:p>
      <w:pPr>
        <w:pStyle w:val="ListParagraph"/>
        <w:numPr>
          <w:ilvl w:val="0"/>
          <w:numId w:val="2"/>
        </w:numPr>
        <w:spacing w:after="40" w:before="40"/>
      </w:pPr>
      <w:r>
        <w:rPr>
          <w:rFonts w:ascii="Arial" w:cs="Arial" w:eastAsia="Arial" w:hAnsi="Arial"/>
          <w:sz w:val="22"/>
          <w:szCs w:val="22"/>
        </w:rPr>
        <w:t xml:space="preserve">Aging (Acc8) shows the largest total number of significant pathways (132 Hallmark), with a mix of upregulated metabolic/repair pathways and downregulated immune/fibrotic pathways, suggesting GLP-1R agonism induces a broad beneficial remodelling of the aged brain transcriptome.</w:t>
      </w:r>
    </w:p>
    <w:p>
      <w:pPr>
        <w:pStyle w:val="ListParagraph"/>
        <w:numPr>
          <w:ilvl w:val="0"/>
          <w:numId w:val="2"/>
        </w:numPr>
        <w:spacing w:after="40" w:before="40"/>
      </w:pPr>
      <w:r>
        <w:rPr>
          <w:rFonts w:ascii="Arial" w:cs="Arial" w:eastAsia="Arial" w:hAnsi="Arial"/>
          <w:sz w:val="22"/>
          <w:szCs w:val="22"/>
        </w:rPr>
        <w:t xml:space="preserve">TBI shows bidirectional enrichment: innate immune and DNA repair pathways upregulated, inflammatory and EMT pathways downregulated. This profile is consistent with a compound that promotes tissue repair while limiting secondary neuroinflammation.</w:t>
      </w:r>
    </w:p>
    <w:p>
      <w:pPr>
        <w:pStyle w:val="ListParagraph"/>
        <w:numPr>
          <w:ilvl w:val="0"/>
          <w:numId w:val="2"/>
        </w:numPr>
        <w:spacing w:after="40" w:before="40"/>
      </w:pPr>
      <w:r>
        <w:rPr>
          <w:rFonts w:ascii="Arial" w:cs="Arial" w:eastAsia="Arial" w:hAnsi="Arial"/>
          <w:sz w:val="22"/>
          <w:szCs w:val="22"/>
        </w:rPr>
        <w:t xml:space="preserve">Obesity shows the most heterogeneous pattern across accessions, reflecting the varied brain regions and drug combinations studied. Metabolic pathway suppression (oxidative phosphorylation, Myc targets) is most prominent in hypothalamic and brainstem datasets.</w:t>
      </w:r>
    </w:p>
    <w:p>
      <w:pPr>
        <w:spacing w:after="0" w:before="0"/>
      </w:pPr>
    </w:p>
    <w:p>
      <w:pPr>
        <w:pStyle w:val="Heading2"/>
        <w:spacing w:after="100" w:before="280"/>
      </w:pPr>
      <w:r>
        <w:rPr>
          <w:rFonts w:ascii="Arial" w:cs="Arial" w:eastAsia="Arial" w:hAnsi="Arial"/>
          <w:b/>
          <w:bCs/>
          <w:color w:val="2E75B6"/>
          <w:sz w:val="26"/>
          <w:szCs w:val="26"/>
        </w:rPr>
        <w:t xml:space="preserve">Figure 8 — GSEA Bubble Plot: Hallmark Gene Sets</w:t>
      </w:r>
    </w:p>
    <w:p>
      <w:pPr>
        <w:spacing w:after="60" w:before="60"/>
      </w:pPr>
      <w:r>
        <w:rPr>
          <w:rFonts w:ascii="Arial" w:cs="Arial" w:eastAsia="Arial" w:hAnsi="Arial"/>
          <w:b w:val="false"/>
          <w:bCs w:val="false"/>
          <w:sz w:val="22"/>
          <w:szCs w:val="22"/>
        </w:rPr>
        <w:t xml:space="preserve">File: 08_gsea_bubble_hallmark.png</w:t>
      </w:r>
    </w:p>
    <w:p>
      <w:pPr>
        <w:spacing w:after="60" w:before="60"/>
      </w:pPr>
      <w:r>
        <w:rPr>
          <w:rFonts w:ascii="Arial" w:cs="Arial" w:eastAsia="Arial" w:hAnsi="Arial"/>
          <w:b w:val="false"/>
          <w:bCs w:val="false"/>
          <w:sz w:val="22"/>
          <w:szCs w:val="22"/>
        </w:rPr>
        <w:t xml:space="preserve">What it shows: A bubble plot in which each bubble represents one pathway–accession enrichment result (FDR &lt; 0.25). The x-axis shows the NES; the y-axis lists pathways; bubble size encodes −log10(FDR); bubble colour encodes the condition. This integrates all GSEA Hallmark results into a single visualisation.</w:t>
      </w:r>
    </w:p>
    <w:p>
      <w:pPr>
        <w:spacing w:after="60" w:before="60"/>
      </w:pPr>
      <w:r>
        <w:rPr>
          <w:rFonts w:ascii="Arial" w:cs="Arial" w:eastAsia="Arial" w:hAnsi="Arial"/>
          <w:b/>
          <w:bCs/>
          <w:sz w:val="22"/>
          <w:szCs w:val="22"/>
        </w:rPr>
        <w:t xml:space="preserve">What the results mean:</w:t>
      </w:r>
    </w:p>
    <w:p>
      <w:pPr>
        <w:pStyle w:val="ListParagraph"/>
        <w:numPr>
          <w:ilvl w:val="0"/>
          <w:numId w:val="2"/>
        </w:numPr>
        <w:spacing w:after="40" w:before="40"/>
      </w:pPr>
      <w:r>
        <w:rPr>
          <w:rFonts w:ascii="Arial" w:cs="Arial" w:eastAsia="Arial" w:hAnsi="Arial"/>
          <w:sz w:val="22"/>
          <w:szCs w:val="22"/>
        </w:rPr>
        <w:t xml:space="preserve">The bubble plot immediately highlights which pathways are consistently enriched across multiple accessions and conditions (large bubbles clustered along the same y-position) versus those that are condition-specific.</w:t>
      </w:r>
    </w:p>
    <w:p>
      <w:pPr>
        <w:pStyle w:val="ListParagraph"/>
        <w:numPr>
          <w:ilvl w:val="0"/>
          <w:numId w:val="2"/>
        </w:numPr>
        <w:spacing w:after="40" w:before="40"/>
      </w:pPr>
      <w:r>
        <w:rPr>
          <w:rFonts w:ascii="Arial" w:cs="Arial" w:eastAsia="Arial" w:hAnsi="Arial"/>
          <w:sz w:val="22"/>
          <w:szCs w:val="22"/>
        </w:rPr>
        <w:t xml:space="preserve">TNF-α/NF-κB, Inflammatory Response, and Interferon Gamma appear across all conditions with opposing directions: suppressed in Neuroinflammation, upregulated in TBI and Aging. This duality reveals the context-dependence of GLP-1R agonist immune modulation — anti-inflammatory in chronic neuroinflammation, pro-resolution in acute injury.</w:t>
      </w:r>
    </w:p>
    <w:p>
      <w:pPr>
        <w:pStyle w:val="ListParagraph"/>
        <w:numPr>
          <w:ilvl w:val="0"/>
          <w:numId w:val="2"/>
        </w:numPr>
        <w:spacing w:after="40" w:before="40"/>
      </w:pPr>
      <w:r>
        <w:rPr>
          <w:rFonts w:ascii="Arial" w:cs="Arial" w:eastAsia="Arial" w:hAnsi="Arial"/>
          <w:sz w:val="22"/>
          <w:szCs w:val="22"/>
        </w:rPr>
        <w:t xml:space="preserve">Oxidative Phosphorylation shows the clearest condition-specific directionality: consistently downregulated in Obesity (multiple datasets) and upregulated in Aging — making it the strongest candidate biomarker pathway for distinguishing GLP-1R agonist metabolic effects across disease contexts.</w:t>
      </w:r>
    </w:p>
    <w:p>
      <w:pPr>
        <w:pStyle w:val="ListParagraph"/>
        <w:numPr>
          <w:ilvl w:val="0"/>
          <w:numId w:val="2"/>
        </w:numPr>
        <w:spacing w:after="40" w:before="40"/>
      </w:pPr>
      <w:r>
        <w:rPr>
          <w:rFonts w:ascii="Arial" w:cs="Arial" w:eastAsia="Arial" w:hAnsi="Arial"/>
          <w:sz w:val="22"/>
          <w:szCs w:val="22"/>
        </w:rPr>
        <w:t xml:space="preserve">E2F Targets appears across all five conditions (the widest vertical spread), confirming its status as the most broadly shared GLP-1R transcriptional target. E2F transcription factors regulate G1/S cell cycle progression and apoptosis; their modulation across contexts suggests GLP-1R agonists universally influence neuronal and glial proliferative state.</w:t>
      </w:r>
    </w:p>
    <w:p>
      <w:pPr>
        <w:spacing w:after="0" w:before="0"/>
      </w:pPr>
    </w:p>
    <w:p>
      <w:r>
        <w:br w:type="page"/>
      </w:r>
    </w:p>
    <w:p>
      <w:pPr>
        <w:pStyle w:val="Heading1"/>
        <w:spacing w:after="120" w:before="360"/>
      </w:pPr>
      <w:r>
        <w:rPr>
          <w:rFonts w:ascii="Arial" w:cs="Arial" w:eastAsia="Arial" w:hAnsi="Arial"/>
          <w:b/>
          <w:bCs/>
          <w:color w:val="1F4E79"/>
          <w:sz w:val="32"/>
          <w:szCs w:val="32"/>
        </w:rPr>
        <w:t xml:space="preserve">3. STRING-DB Protein–Protein Interaction Networks</w:t>
      </w:r>
    </w:p>
    <w:p>
      <w:pPr>
        <w:spacing w:after="60" w:before="60"/>
      </w:pPr>
      <w:r>
        <w:rPr>
          <w:rFonts w:ascii="Arial" w:cs="Arial" w:eastAsia="Arial" w:hAnsi="Arial"/>
          <w:b w:val="false"/>
          <w:bCs w:val="false"/>
          <w:sz w:val="22"/>
          <w:szCs w:val="22"/>
        </w:rPr>
        <w:t xml:space="preserve">STRING-DB PPI networks were constructed for each accession and for each condition aggregate. Nodes represent proteins encoded by DEGs (top genes by adjusted p-value or log-fold change). Edges represent known physical or functional interactions from the STRING database (confidence ≥ 0.4). Node colour encodes the direction of regulation: warm colours (red/orange) indicate upregulation by GLP-1R agonist; cool colours (blue/purple) indicate downregulation.</w:t>
      </w:r>
    </w:p>
    <w:p>
      <w:pPr>
        <w:spacing w:after="0" w:before="0"/>
      </w:pPr>
    </w:p>
    <w:p>
      <w:pPr>
        <w:pStyle w:val="Heading2"/>
        <w:spacing w:after="100" w:before="280"/>
      </w:pPr>
      <w:r>
        <w:rPr>
          <w:rFonts w:ascii="Arial" w:cs="Arial" w:eastAsia="Arial" w:hAnsi="Arial"/>
          <w:b/>
          <w:bCs/>
          <w:color w:val="2E75B6"/>
          <w:sz w:val="26"/>
          <w:szCs w:val="26"/>
        </w:rPr>
        <w:t xml:space="preserve">Per-Accession PPI Networks (saved in individual accession folders)</w:t>
      </w:r>
    </w:p>
    <w:p>
      <w:pPr>
        <w:spacing w:after="60" w:before="60"/>
      </w:pPr>
      <w:r>
        <w:rPr>
          <w:rFonts w:ascii="Arial" w:cs="Arial" w:eastAsia="Arial" w:hAnsi="Arial"/>
          <w:b w:val="false"/>
          <w:bCs w:val="false"/>
          <w:sz w:val="22"/>
          <w:szCs w:val="22"/>
        </w:rPr>
        <w:t xml:space="preserve">Each per-accession PPI network reveals the molecular interaction landscape of the top DEGs for that specific experiment. Networks with high connectivity (hub genes with many edges) indicate that GLP-1R agonist treatment perturbs central regulatory nodes rather than isolated genes.</w:t>
      </w:r>
    </w:p>
    <w:p>
      <w:pPr>
        <w:pStyle w:val="ListParagraph"/>
        <w:numPr>
          <w:ilvl w:val="0"/>
          <w:numId w:val="2"/>
        </w:numPr>
        <w:spacing w:after="40" w:before="40"/>
      </w:pPr>
      <w:r>
        <w:rPr>
          <w:rFonts w:ascii="Arial" w:cs="Arial" w:eastAsia="Arial" w:hAnsi="Arial"/>
          <w:sz w:val="22"/>
          <w:szCs w:val="22"/>
        </w:rPr>
        <w:t xml:space="preserve">Acc3 (GLP-1R/NMDA-R, Obesity): Highly connected network reflecting the large DEG list. Hub nodes include immediate-early genes (Fos, Fosb) and metabolic regulators across accumbens, brainstem, and hypothalamus.</w:t>
      </w:r>
    </w:p>
    <w:p>
      <w:pPr>
        <w:pStyle w:val="ListParagraph"/>
        <w:numPr>
          <w:ilvl w:val="0"/>
          <w:numId w:val="2"/>
        </w:numPr>
        <w:spacing w:after="40" w:before="40"/>
      </w:pPr>
      <w:r>
        <w:rPr>
          <w:rFonts w:ascii="Arial" w:cs="Arial" w:eastAsia="Arial" w:hAnsi="Arial"/>
          <w:sz w:val="22"/>
          <w:szCs w:val="22"/>
        </w:rPr>
        <w:t xml:space="preserve">Acc7 (Liraglutide, EAE): A tightly interconnected immune network with Stat1, Irf1, and Mx2 as central hubs — consistent with the suppression of interferon and JAK-STAT signalling confirmed by GSEA.</w:t>
      </w:r>
    </w:p>
    <w:p>
      <w:pPr>
        <w:pStyle w:val="ListParagraph"/>
        <w:numPr>
          <w:ilvl w:val="0"/>
          <w:numId w:val="2"/>
        </w:numPr>
        <w:spacing w:after="40" w:before="40"/>
      </w:pPr>
      <w:r>
        <w:rPr>
          <w:rFonts w:ascii="Arial" w:cs="Arial" w:eastAsia="Arial" w:hAnsi="Arial"/>
          <w:sz w:val="22"/>
          <w:szCs w:val="22"/>
        </w:rPr>
        <w:t xml:space="preserve">Acc8 (Exendin-4, Aging): Dense network spanning mitochondrial, synaptic, and ribosomal protein clusters, reflecting the broad beneficial transcriptional remodelling in the aged brain.</w:t>
      </w:r>
    </w:p>
    <w:p>
      <w:pPr>
        <w:pStyle w:val="ListParagraph"/>
        <w:numPr>
          <w:ilvl w:val="0"/>
          <w:numId w:val="2"/>
        </w:numPr>
        <w:spacing w:after="40" w:before="40"/>
      </w:pPr>
      <w:r>
        <w:rPr>
          <w:rFonts w:ascii="Arial" w:cs="Arial" w:eastAsia="Arial" w:hAnsi="Arial"/>
          <w:sz w:val="22"/>
          <w:szCs w:val="22"/>
        </w:rPr>
        <w:t xml:space="preserve">Acc10/11 (Exendin-4, TBI): Hippocampal networks centred on immediate-early response and DNA damage response genes, consistent with an acute neuroprotective response.</w:t>
      </w:r>
    </w:p>
    <w:p>
      <w:pPr>
        <w:pStyle w:val="ListParagraph"/>
        <w:numPr>
          <w:ilvl w:val="0"/>
          <w:numId w:val="2"/>
        </w:numPr>
        <w:spacing w:after="40" w:before="40"/>
      </w:pPr>
      <w:r>
        <w:rPr>
          <w:rFonts w:ascii="Arial" w:cs="Arial" w:eastAsia="Arial" w:hAnsi="Arial"/>
          <w:sz w:val="22"/>
          <w:szCs w:val="22"/>
        </w:rPr>
        <w:t xml:space="preserve">Acc12 (GLP-1 agonist, HD): Sparse network due to small DEG list (31 genes); limited interpretability but consistent with E2F target suppression.</w:t>
      </w:r>
    </w:p>
    <w:p>
      <w:pPr>
        <w:spacing w:after="0" w:before="0"/>
      </w:pPr>
    </w:p>
    <w:p>
      <w:pPr>
        <w:pStyle w:val="Heading2"/>
        <w:spacing w:after="100" w:before="280"/>
      </w:pPr>
      <w:r>
        <w:rPr>
          <w:rFonts w:ascii="Arial" w:cs="Arial" w:eastAsia="Arial" w:hAnsi="Arial"/>
          <w:b/>
          <w:bCs/>
          <w:color w:val="2E75B6"/>
          <w:sz w:val="26"/>
          <w:szCs w:val="26"/>
        </w:rPr>
        <w:t xml:space="preserve">Condition-Level PPI Networks (saved in StringDB_Networks folder)</w:t>
      </w:r>
    </w:p>
    <w:p>
      <w:pPr>
        <w:spacing w:after="60" w:before="60"/>
      </w:pPr>
      <w:r>
        <w:rPr>
          <w:rFonts w:ascii="Arial" w:cs="Arial" w:eastAsia="Arial" w:hAnsi="Arial"/>
          <w:b w:val="false"/>
          <w:bCs w:val="false"/>
          <w:sz w:val="22"/>
          <w:szCs w:val="22"/>
        </w:rPr>
        <w:t xml:space="preserve">Condition-level networks pool DEGs across all accessions in the same condition group, providing a higher-level view of the protein interaction landscape driven by GLP-1R agonism in each disease context.</w:t>
      </w:r>
    </w:p>
    <w:p>
      <w:pPr>
        <w:pStyle w:val="ListParagraph"/>
        <w:numPr>
          <w:ilvl w:val="0"/>
          <w:numId w:val="2"/>
        </w:numPr>
        <w:spacing w:after="40" w:before="40"/>
      </w:pPr>
      <w:r>
        <w:rPr>
          <w:rFonts w:ascii="Arial" w:cs="Arial" w:eastAsia="Arial" w:hAnsi="Arial"/>
          <w:sz w:val="22"/>
          <w:szCs w:val="22"/>
        </w:rPr>
        <w:t xml:space="preserve">Obesity PPI Network: Integrates DEGs from four accessions. The aggregate network highlights energy-sensing (mTOR pathway proteins), neurotransmitter signalling (glutamate/GABA receptors), and lipid metabolism hubs, reflecting the multi-target metabolic action of GLP-1R agonists in the obese brain.</w:t>
      </w:r>
    </w:p>
    <w:p>
      <w:pPr>
        <w:pStyle w:val="ListParagraph"/>
        <w:numPr>
          <w:ilvl w:val="0"/>
          <w:numId w:val="2"/>
        </w:numPr>
        <w:spacing w:after="40" w:before="40"/>
      </w:pPr>
      <w:r>
        <w:rPr>
          <w:rFonts w:ascii="Arial" w:cs="Arial" w:eastAsia="Arial" w:hAnsi="Arial"/>
          <w:sz w:val="22"/>
          <w:szCs w:val="22"/>
        </w:rPr>
        <w:t xml:space="preserve">Neuroinflammation PPI Network: Dominated by a tightly interconnected cluster of interferon-stimulated genes (ISGs) and NF-κB pathway components, all downregulated by liraglutide. Key hub nodes include Irf1, Stat1, Mx1/2, Oas1, and Ifit family members.</w:t>
      </w:r>
    </w:p>
    <w:p>
      <w:pPr>
        <w:pStyle w:val="ListParagraph"/>
        <w:numPr>
          <w:ilvl w:val="0"/>
          <w:numId w:val="2"/>
        </w:numPr>
        <w:spacing w:after="40" w:before="40"/>
      </w:pPr>
      <w:r>
        <w:rPr>
          <w:rFonts w:ascii="Arial" w:cs="Arial" w:eastAsia="Arial" w:hAnsi="Arial"/>
          <w:sz w:val="22"/>
          <w:szCs w:val="22"/>
        </w:rPr>
        <w:t xml:space="preserve">TBI PPI Network: Shows two functional modules — an upregulated innate immune module (interferon response) and a downregulated inflammatory resolution module — reflecting the bidirectional immune modulation by Exendin-4 following brain trauma.</w:t>
      </w:r>
    </w:p>
    <w:p>
      <w:pPr>
        <w:pStyle w:val="ListParagraph"/>
        <w:numPr>
          <w:ilvl w:val="0"/>
          <w:numId w:val="2"/>
        </w:numPr>
        <w:spacing w:after="40" w:before="40"/>
      </w:pPr>
      <w:r>
        <w:rPr>
          <w:rFonts w:ascii="Arial" w:cs="Arial" w:eastAsia="Arial" w:hAnsi="Arial"/>
          <w:sz w:val="22"/>
          <w:szCs w:val="22"/>
        </w:rPr>
        <w:t xml:space="preserve">Aging PPI Network: Centred on mitochondrial respiratory chain components (oxidative phosphorylation subunits), DNA repair factors, and synaptic proteins. The network architecture is consistent with a broad rejuvenation programme in aged brain circuits.</w:t>
      </w:r>
    </w:p>
    <w:p>
      <w:pPr>
        <w:pStyle w:val="ListParagraph"/>
        <w:numPr>
          <w:ilvl w:val="0"/>
          <w:numId w:val="2"/>
        </w:numPr>
        <w:spacing w:after="40" w:before="40"/>
      </w:pPr>
      <w:r>
        <w:rPr>
          <w:rFonts w:ascii="Arial" w:cs="Arial" w:eastAsia="Arial" w:hAnsi="Arial"/>
          <w:sz w:val="22"/>
          <w:szCs w:val="22"/>
        </w:rPr>
        <w:t xml:space="preserve">Neurodegeneration PPI Network: Limited connectivity due to the small HD DEG list; nodes cluster around cell-cycle and transcriptional regulation proteins (E2F targets).</w:t>
      </w:r>
    </w:p>
    <w:p>
      <w:pPr>
        <w:spacing w:after="0" w:before="0"/>
      </w:pPr>
    </w:p>
    <w:p>
      <w:r>
        <w:br w:type="page"/>
      </w:r>
    </w:p>
    <w:p>
      <w:pPr>
        <w:pStyle w:val="Heading1"/>
        <w:spacing w:after="120" w:before="360"/>
      </w:pPr>
      <w:r>
        <w:rPr>
          <w:rFonts w:ascii="Arial" w:cs="Arial" w:eastAsia="Arial" w:hAnsi="Arial"/>
          <w:b/>
          <w:bCs/>
          <w:color w:val="1F4E79"/>
          <w:sz w:val="32"/>
          <w:szCs w:val="32"/>
        </w:rPr>
        <w:t xml:space="preserve">4. Biological Synthesis: GLP-1R Agonist Effects by Condition</w:t>
      </w:r>
    </w:p>
    <w:p>
      <w:pPr>
        <w:spacing w:after="0" w:before="0"/>
      </w:pPr>
    </w:p>
    <w:p>
      <w:pPr>
        <w:pStyle w:val="Heading2"/>
        <w:spacing w:after="100" w:before="280"/>
      </w:pPr>
      <w:r>
        <w:rPr>
          <w:rFonts w:ascii="Arial" w:cs="Arial" w:eastAsia="Arial" w:hAnsi="Arial"/>
          <w:b/>
          <w:bCs/>
          <w:color w:val="2E75B6"/>
          <w:sz w:val="26"/>
          <w:szCs w:val="26"/>
        </w:rPr>
        <w:t xml:space="preserve">4.1 Obesity</w:t>
      </w:r>
    </w:p>
    <w:p>
      <w:pPr>
        <w:spacing w:after="60" w:before="60"/>
      </w:pPr>
      <w:r>
        <w:rPr>
          <w:rFonts w:ascii="Arial" w:cs="Arial" w:eastAsia="Arial" w:hAnsi="Arial"/>
          <w:b w:val="false"/>
          <w:bCs w:val="false"/>
          <w:sz w:val="22"/>
          <w:szCs w:val="22"/>
        </w:rPr>
        <w:t xml:space="preserve">Datasets: Acc3 (GSE244607, GLP-1R/NMDA-R co-agonism), Acc4 (GSE190218, Liraglutide post-RYGB), Acc5 (GSE160802, PYY + GLP-1 agonist), Acc6 (GSE135862, AC3174 ± CCK agonist)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2"/>
              <w:left w:val="single" w:color="E67E22" w:sz="12"/>
              <w:bottom w:val="single" w:color="CCCCCC" w:sz="2"/>
              <w:right w:val="single" w:color="CCCCCC" w:sz="2"/>
            </w:tcBorders>
            <w:shd w:fill="F8F9FA"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Key Theme</w:t>
            </w:r>
          </w:p>
        </w:tc>
        <w:tc>
          <w:tcPr>
            <w:tcW w:type="dxa" w:w="7160"/>
            <w:tcBorders>
              <w:top w:val="single" w:color="CCCCCC" w:sz="2"/>
              <w:left w:val="single" w:color="E67E22" w:sz="1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Metabolic suppression in hypothalamus and brainstem; divergent immune modulation</w:t>
            </w:r>
          </w:p>
        </w:tc>
      </w:tr>
    </w:tbl>
    <w:p>
      <w:pPr>
        <w:spacing w:after="0" w:before="0"/>
      </w:pPr>
    </w:p>
    <w:p>
      <w:pPr>
        <w:spacing w:after="60" w:before="60"/>
      </w:pPr>
      <w:r>
        <w:rPr>
          <w:rFonts w:ascii="Arial" w:cs="Arial" w:eastAsia="Arial" w:hAnsi="Arial"/>
          <w:b w:val="false"/>
          <w:bCs w:val="false"/>
          <w:sz w:val="22"/>
          <w:szCs w:val="22"/>
        </w:rPr>
        <w:t xml:space="preserve">Top GSEA Hallmark findings:</w:t>
      </w:r>
    </w:p>
    <w:p>
      <w:pPr>
        <w:pStyle w:val="ListParagraph"/>
        <w:numPr>
          <w:ilvl w:val="0"/>
          <w:numId w:val="2"/>
        </w:numPr>
        <w:spacing w:after="40" w:before="40"/>
      </w:pPr>
      <w:r>
        <w:rPr>
          <w:rFonts w:ascii="Arial" w:cs="Arial" w:eastAsia="Arial" w:hAnsi="Arial"/>
          <w:sz w:val="22"/>
          <w:szCs w:val="22"/>
        </w:rPr>
        <w:t xml:space="preserve">Oxidative Phosphorylation strongly suppressed (Acc3: NES = −3.11; Acc6: NES = −2.55 to −2.72). GLP-1R agonists appear to downregulate mitochondrial respiratory chain gene expression in the obese brain, possibly reflecting reduced energy demand after metabolic normalisation or direct hypothalamic effects on energy expenditure programmes.</w:t>
      </w:r>
    </w:p>
    <w:p>
      <w:pPr>
        <w:pStyle w:val="ListParagraph"/>
        <w:numPr>
          <w:ilvl w:val="0"/>
          <w:numId w:val="2"/>
        </w:numPr>
        <w:spacing w:after="40" w:before="40"/>
      </w:pPr>
      <w:r>
        <w:rPr>
          <w:rFonts w:ascii="Arial" w:cs="Arial" w:eastAsia="Arial" w:hAnsi="Arial"/>
          <w:sz w:val="22"/>
          <w:szCs w:val="22"/>
        </w:rPr>
        <w:t xml:space="preserve">Myc Targets V1 suppressed in Acc3 (NES = −2.70 to −2.92), indicating reduced anabolic and proliferative signalling consistent with decreased food intake and body weight.</w:t>
      </w:r>
    </w:p>
    <w:p>
      <w:pPr>
        <w:pStyle w:val="ListParagraph"/>
        <w:numPr>
          <w:ilvl w:val="0"/>
          <w:numId w:val="2"/>
        </w:numPr>
        <w:spacing w:after="40" w:before="40"/>
      </w:pPr>
      <w:r>
        <w:rPr>
          <w:rFonts w:ascii="Arial" w:cs="Arial" w:eastAsia="Arial" w:hAnsi="Arial"/>
          <w:sz w:val="22"/>
          <w:szCs w:val="22"/>
        </w:rPr>
        <w:t xml:space="preserve">TNF-α/NF-κB upregulated in Acc5 (NES = +2.89, gut regions). The gut milieu differs from brain; GLP-1R + PYY dual agonism may engage local immune activation as part of intestinal remodelling.</w:t>
      </w:r>
    </w:p>
    <w:p>
      <w:pPr>
        <w:pStyle w:val="ListParagraph"/>
        <w:numPr>
          <w:ilvl w:val="0"/>
          <w:numId w:val="2"/>
        </w:numPr>
        <w:spacing w:after="40" w:before="40"/>
      </w:pPr>
      <w:r>
        <w:rPr>
          <w:rFonts w:ascii="Arial" w:cs="Arial" w:eastAsia="Arial" w:hAnsi="Arial"/>
          <w:sz w:val="22"/>
          <w:szCs w:val="22"/>
        </w:rPr>
        <w:t xml:space="preserve">Fatty Acid Metabolism upregulated in Acc4 (NES = +2.54), consistent with increased fat oxidation following liraglutide treatment post-RYGB.</w:t>
      </w:r>
    </w:p>
    <w:p>
      <w:pPr>
        <w:pStyle w:val="ListParagraph"/>
        <w:numPr>
          <w:ilvl w:val="0"/>
          <w:numId w:val="2"/>
        </w:numPr>
        <w:spacing w:after="40" w:before="40"/>
      </w:pPr>
      <w:r>
        <w:rPr>
          <w:rFonts w:ascii="Arial" w:cs="Arial" w:eastAsia="Arial" w:hAnsi="Arial"/>
          <w:sz w:val="22"/>
          <w:szCs w:val="22"/>
        </w:rPr>
        <w:t xml:space="preserve">DNA Repair shows bidirectional enrichment in Acc3 (upregulated in some regions, downregulated in others), reflecting the region-specific transcriptional heterogeneity of GLP-1R/NMDA-R co-stimulation across accumbens, brainstem, and hypothalamus.</w:t>
      </w:r>
    </w:p>
    <w:p>
      <w:pPr>
        <w:spacing w:after="60" w:before="60"/>
      </w:pPr>
      <w:r>
        <w:rPr>
          <w:rFonts w:ascii="Arial" w:cs="Arial" w:eastAsia="Arial" w:hAnsi="Arial"/>
          <w:b w:val="false"/>
          <w:bCs w:val="false"/>
          <w:sz w:val="22"/>
          <w:szCs w:val="22"/>
        </w:rPr>
        <w:t xml:space="preserve">Interpretation: GLP-1R agonists in obesity do not produce a single unified transcriptional programme. Instead, they induce region- and drug-specific metabolic and synaptic remodelling. The common thread is suppression of anabolic signalling (Myc targets, mTORC1) and mitochondrial reprogramming in central circuits governing energy balance.</w:t>
      </w:r>
    </w:p>
    <w:p>
      <w:pPr>
        <w:spacing w:after="0" w:before="0"/>
      </w:pPr>
    </w:p>
    <w:p>
      <w:pPr>
        <w:pStyle w:val="Heading2"/>
        <w:spacing w:after="100" w:before="280"/>
      </w:pPr>
      <w:r>
        <w:rPr>
          <w:rFonts w:ascii="Arial" w:cs="Arial" w:eastAsia="Arial" w:hAnsi="Arial"/>
          <w:b/>
          <w:bCs/>
          <w:color w:val="2E75B6"/>
          <w:sz w:val="26"/>
          <w:szCs w:val="26"/>
        </w:rPr>
        <w:t xml:space="preserve">4.2 Neuroinflammation</w:t>
      </w:r>
    </w:p>
    <w:p>
      <w:pPr>
        <w:spacing w:after="60" w:before="60"/>
      </w:pPr>
      <w:r>
        <w:rPr>
          <w:rFonts w:ascii="Arial" w:cs="Arial" w:eastAsia="Arial" w:hAnsi="Arial"/>
          <w:b w:val="false"/>
          <w:bCs w:val="false"/>
          <w:sz w:val="22"/>
          <w:szCs w:val="22"/>
        </w:rPr>
        <w:t xml:space="preserve">Dataset: Acc7 (GSE186318, Liraglutide in experimental autoimmune encephalomyelitis — EAE mouse model)</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2"/>
              <w:left w:val="single" w:color="C0392B" w:sz="12"/>
              <w:bottom w:val="single" w:color="CCCCCC" w:sz="2"/>
              <w:right w:val="single" w:color="CCCCCC" w:sz="2"/>
            </w:tcBorders>
            <w:shd w:fill="F8F9F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Key Theme</w:t>
            </w:r>
          </w:p>
        </w:tc>
        <w:tc>
          <w:tcPr>
            <w:tcW w:type="dxa" w:w="7160"/>
            <w:tcBorders>
              <w:top w:val="single" w:color="CCCCCC" w:sz="2"/>
              <w:left w:val="single" w:color="C0392B" w:sz="1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Broad, potent anti-inflammatory transcriptional programme in the spinal cord</w:t>
            </w:r>
          </w:p>
        </w:tc>
      </w:tr>
    </w:tbl>
    <w:p>
      <w:pPr>
        <w:spacing w:after="0" w:before="0"/>
      </w:pPr>
    </w:p>
    <w:p>
      <w:pPr>
        <w:spacing w:after="60" w:before="60"/>
      </w:pPr>
      <w:r>
        <w:rPr>
          <w:rFonts w:ascii="Arial" w:cs="Arial" w:eastAsia="Arial" w:hAnsi="Arial"/>
          <w:b w:val="false"/>
          <w:bCs w:val="false"/>
          <w:sz w:val="22"/>
          <w:szCs w:val="22"/>
        </w:rPr>
        <w:t xml:space="preserve">Top GSEA Hallmark findings (all downregulated, FDR = 0.005):</w:t>
      </w:r>
    </w:p>
    <w:p>
      <w:pPr>
        <w:pStyle w:val="ListParagraph"/>
        <w:numPr>
          <w:ilvl w:val="0"/>
          <w:numId w:val="2"/>
        </w:numPr>
        <w:spacing w:after="40" w:before="40"/>
      </w:pPr>
      <w:r>
        <w:rPr>
          <w:rFonts w:ascii="Arial" w:cs="Arial" w:eastAsia="Arial" w:hAnsi="Arial"/>
          <w:sz w:val="22"/>
          <w:szCs w:val="22"/>
        </w:rPr>
        <w:t xml:space="preserve">TNF-α Signaling via NF-κB: NES = −2.94 — the most strongly suppressed pathway in the entire analysis.</w:t>
      </w:r>
    </w:p>
    <w:p>
      <w:pPr>
        <w:pStyle w:val="ListParagraph"/>
        <w:numPr>
          <w:ilvl w:val="0"/>
          <w:numId w:val="2"/>
        </w:numPr>
        <w:spacing w:after="40" w:before="40"/>
      </w:pPr>
      <w:r>
        <w:rPr>
          <w:rFonts w:ascii="Arial" w:cs="Arial" w:eastAsia="Arial" w:hAnsi="Arial"/>
          <w:sz w:val="22"/>
          <w:szCs w:val="22"/>
        </w:rPr>
        <w:t xml:space="preserve">Coagulation: NES = −2.67 — suppression of coagulation cascade genes in the EAE spinal cord may reflect reduced endothelial activation and blood-brain barrier leakage.</w:t>
      </w:r>
    </w:p>
    <w:p>
      <w:pPr>
        <w:pStyle w:val="ListParagraph"/>
        <w:numPr>
          <w:ilvl w:val="0"/>
          <w:numId w:val="2"/>
        </w:numPr>
        <w:spacing w:after="40" w:before="40"/>
      </w:pPr>
      <w:r>
        <w:rPr>
          <w:rFonts w:ascii="Arial" w:cs="Arial" w:eastAsia="Arial" w:hAnsi="Arial"/>
          <w:sz w:val="22"/>
          <w:szCs w:val="22"/>
        </w:rPr>
        <w:t xml:space="preserve">Inflammatory Response: NES = −2.67 — broad suppression of cytokine and chemokine-driven inflammation.</w:t>
      </w:r>
    </w:p>
    <w:p>
      <w:pPr>
        <w:pStyle w:val="ListParagraph"/>
        <w:numPr>
          <w:ilvl w:val="0"/>
          <w:numId w:val="2"/>
        </w:numPr>
        <w:spacing w:after="40" w:before="40"/>
      </w:pPr>
      <w:r>
        <w:rPr>
          <w:rFonts w:ascii="Arial" w:cs="Arial" w:eastAsia="Arial" w:hAnsi="Arial"/>
          <w:sz w:val="22"/>
          <w:szCs w:val="22"/>
        </w:rPr>
        <w:t xml:space="preserve">Allograft Rejection: NES = −2.58 — this gene set captures adaptive immune activation; its suppression suggests liraglutide dampens T-cell mediated autoimmune attack on myelin.</w:t>
      </w:r>
    </w:p>
    <w:p>
      <w:pPr>
        <w:pStyle w:val="ListParagraph"/>
        <w:numPr>
          <w:ilvl w:val="0"/>
          <w:numId w:val="2"/>
        </w:numPr>
        <w:spacing w:after="40" w:before="40"/>
      </w:pPr>
      <w:r>
        <w:rPr>
          <w:rFonts w:ascii="Arial" w:cs="Arial" w:eastAsia="Arial" w:hAnsi="Arial"/>
          <w:sz w:val="22"/>
          <w:szCs w:val="22"/>
        </w:rPr>
        <w:t xml:space="preserve">Epithelial Mesenchymal Transition: NES = −2.56 — EMT gene sets are often enriched in fibrotic/reactive gliosis contexts; suppression may indicate reduced astrocyte reactivity.</w:t>
      </w:r>
    </w:p>
    <w:p>
      <w:pPr>
        <w:pStyle w:val="ListParagraph"/>
        <w:numPr>
          <w:ilvl w:val="0"/>
          <w:numId w:val="2"/>
        </w:numPr>
        <w:spacing w:after="40" w:before="40"/>
      </w:pPr>
      <w:r>
        <w:rPr>
          <w:rFonts w:ascii="Arial" w:cs="Arial" w:eastAsia="Arial" w:hAnsi="Arial"/>
          <w:sz w:val="22"/>
          <w:szCs w:val="22"/>
        </w:rPr>
        <w:t xml:space="preserve">IL-6/JAK/STAT3 Signaling: NES = −2.54 — a key driver of neuroinflammation; liraglutide suppresses this axis in the inflamed spinal cord.</w:t>
      </w:r>
    </w:p>
    <w:p>
      <w:pPr>
        <w:pStyle w:val="ListParagraph"/>
        <w:numPr>
          <w:ilvl w:val="0"/>
          <w:numId w:val="2"/>
        </w:numPr>
        <w:spacing w:after="40" w:before="40"/>
      </w:pPr>
      <w:r>
        <w:rPr>
          <w:rFonts w:ascii="Arial" w:cs="Arial" w:eastAsia="Arial" w:hAnsi="Arial"/>
          <w:sz w:val="22"/>
          <w:szCs w:val="22"/>
        </w:rPr>
        <w:t xml:space="preserve">Interferon Gamma Response: NES = −2.54 — suppression of IFN-γ–driven gene expression is consistent with reduced microglial and macrophage activation.</w:t>
      </w:r>
    </w:p>
    <w:p>
      <w:pPr>
        <w:spacing w:after="60" w:before="60"/>
      </w:pPr>
      <w:r>
        <w:rPr>
          <w:rFonts w:ascii="Arial" w:cs="Arial" w:eastAsia="Arial" w:hAnsi="Arial"/>
          <w:b w:val="false"/>
          <w:bCs w:val="false"/>
          <w:sz w:val="22"/>
          <w:szCs w:val="22"/>
        </w:rPr>
        <w:t xml:space="preserve">Interpretation: This dataset provides the strongest evidence that GLP-1R agonism has direct anti-neuroinflammatory effects. Liraglutide appears to simultaneously suppress multiple overlapping inflammatory pathways (NF-κB, JAK-STAT, IFN-γ, coagulation) in the EAE spinal cord, suggesting it acts upstream of several inflammatory cascades — possibly via direct GLP-1R signalling on immune cells or indirectly through metabolic reprogramming of activated glia.</w:t>
      </w:r>
    </w:p>
    <w:p>
      <w:pPr>
        <w:spacing w:after="0" w:before="0"/>
      </w:pPr>
    </w:p>
    <w:p>
      <w:pPr>
        <w:pStyle w:val="Heading2"/>
        <w:spacing w:after="100" w:before="280"/>
      </w:pPr>
      <w:r>
        <w:rPr>
          <w:rFonts w:ascii="Arial" w:cs="Arial" w:eastAsia="Arial" w:hAnsi="Arial"/>
          <w:b/>
          <w:bCs/>
          <w:color w:val="2E75B6"/>
          <w:sz w:val="26"/>
          <w:szCs w:val="26"/>
        </w:rPr>
        <w:t xml:space="preserve">4.3 Aging</w:t>
      </w:r>
    </w:p>
    <w:p>
      <w:pPr>
        <w:spacing w:after="60" w:before="60"/>
      </w:pPr>
      <w:r>
        <w:rPr>
          <w:rFonts w:ascii="Arial" w:cs="Arial" w:eastAsia="Arial" w:hAnsi="Arial"/>
          <w:b w:val="false"/>
          <w:bCs w:val="false"/>
          <w:sz w:val="22"/>
          <w:szCs w:val="22"/>
        </w:rPr>
        <w:t xml:space="preserve">Dataset: Acc8 (GSE280382, Exendin-4 across 5 brain regions in aged mice)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2"/>
              <w:left w:val="single" w:color="8E44AD" w:sz="12"/>
              <w:bottom w:val="single" w:color="CCCCCC" w:sz="2"/>
              <w:right w:val="single" w:color="CCCCCC" w:sz="2"/>
            </w:tcBorders>
            <w:shd w:fill="F8F9FA" w:val="clear"/>
            <w:tcMar>
              <w:top w:type="dxa" w:w="80"/>
              <w:left w:type="dxa" w:w="120"/>
              <w:bottom w:type="dxa" w:w="80"/>
              <w:right w:type="dxa" w:w="120"/>
            </w:tcMar>
            <w:vAlign w:val="center"/>
          </w:tcPr>
          <w:p>
            <w:pPr>
              <w:jc w:val="center"/>
            </w:pPr>
            <w:r>
              <w:rPr>
                <w:rFonts w:ascii="Arial" w:cs="Arial" w:eastAsia="Arial" w:hAnsi="Arial"/>
                <w:b/>
                <w:bCs/>
                <w:color w:val="8E44AD"/>
                <w:sz w:val="20"/>
                <w:szCs w:val="20"/>
              </w:rPr>
              <w:t xml:space="preserve">Key Theme</w:t>
            </w:r>
          </w:p>
        </w:tc>
        <w:tc>
          <w:tcPr>
            <w:tcW w:type="dxa" w:w="7160"/>
            <w:tcBorders>
              <w:top w:val="single" w:color="CCCCCC" w:sz="2"/>
              <w:left w:val="single" w:color="8E44AD" w:sz="1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Restoration of mitochondrial function, DNA repair, and innate immune surveillance in the aged brain</w:t>
            </w:r>
          </w:p>
        </w:tc>
      </w:tr>
    </w:tbl>
    <w:p>
      <w:pPr>
        <w:spacing w:after="0" w:before="0"/>
      </w:pPr>
    </w:p>
    <w:p>
      <w:pPr>
        <w:spacing w:after="60" w:before="60"/>
      </w:pPr>
      <w:r>
        <w:rPr>
          <w:rFonts w:ascii="Arial" w:cs="Arial" w:eastAsia="Arial" w:hAnsi="Arial"/>
          <w:b w:val="false"/>
          <w:bCs w:val="false"/>
          <w:sz w:val="22"/>
          <w:szCs w:val="22"/>
        </w:rPr>
        <w:t xml:space="preserve">Top GSEA Hallmark findings:</w:t>
      </w:r>
    </w:p>
    <w:p>
      <w:pPr>
        <w:pStyle w:val="ListParagraph"/>
        <w:numPr>
          <w:ilvl w:val="0"/>
          <w:numId w:val="2"/>
        </w:numPr>
        <w:spacing w:after="40" w:before="40"/>
      </w:pPr>
      <w:r>
        <w:rPr>
          <w:rFonts w:ascii="Arial" w:cs="Arial" w:eastAsia="Arial" w:hAnsi="Arial"/>
          <w:sz w:val="22"/>
          <w:szCs w:val="22"/>
        </w:rPr>
        <w:t xml:space="preserve">Oxidative Phosphorylation strongly upregulated (NES = +2.63 to +2.96 across multiple brain regions). GLP-1R agonism reverses age-related mitochondrial dysfunction, potentially improving neuronal energy supply.</w:t>
      </w:r>
    </w:p>
    <w:p>
      <w:pPr>
        <w:pStyle w:val="ListParagraph"/>
        <w:numPr>
          <w:ilvl w:val="0"/>
          <w:numId w:val="2"/>
        </w:numPr>
        <w:spacing w:after="40" w:before="40"/>
      </w:pPr>
      <w:r>
        <w:rPr>
          <w:rFonts w:ascii="Arial" w:cs="Arial" w:eastAsia="Arial" w:hAnsi="Arial"/>
          <w:sz w:val="22"/>
          <w:szCs w:val="22"/>
        </w:rPr>
        <w:t xml:space="preserve">DNA Repair upregulated (NES = +2.19 to +2.42) — Exendin-4 may enhance genomic surveillance and repair mechanisms in aged neurons, which are particularly vulnerable to accumulated DNA damage.</w:t>
      </w:r>
    </w:p>
    <w:p>
      <w:pPr>
        <w:pStyle w:val="ListParagraph"/>
        <w:numPr>
          <w:ilvl w:val="0"/>
          <w:numId w:val="2"/>
        </w:numPr>
        <w:spacing w:after="40" w:before="40"/>
      </w:pPr>
      <w:r>
        <w:rPr>
          <w:rFonts w:ascii="Arial" w:cs="Arial" w:eastAsia="Arial" w:hAnsi="Arial"/>
          <w:sz w:val="22"/>
          <w:szCs w:val="22"/>
        </w:rPr>
        <w:t xml:space="preserve">Interferon Gamma Response upregulated (NES = +2.50) and Interferon Alpha Response upregulated (NES = +1.99 to +2.24). Unlike the neuroinflammation context where interferons are suppressed, in aged brain Exendin-4 appears to activate protective innate immune surveillance — consistent with hormesis or immunosenescence reversal.</w:t>
      </w:r>
    </w:p>
    <w:p>
      <w:pPr>
        <w:pStyle w:val="ListParagraph"/>
        <w:numPr>
          <w:ilvl w:val="0"/>
          <w:numId w:val="2"/>
        </w:numPr>
        <w:spacing w:after="40" w:before="40"/>
      </w:pPr>
      <w:r>
        <w:rPr>
          <w:rFonts w:ascii="Arial" w:cs="Arial" w:eastAsia="Arial" w:hAnsi="Arial"/>
          <w:sz w:val="22"/>
          <w:szCs w:val="22"/>
        </w:rPr>
        <w:t xml:space="preserve">TGF-β Signaling downregulated (NES = −2.13) — suppression of TGF-β may reduce fibrotic and senescence-associated signalling in aged brain parenchyma.</w:t>
      </w:r>
    </w:p>
    <w:p>
      <w:pPr>
        <w:pStyle w:val="ListParagraph"/>
        <w:numPr>
          <w:ilvl w:val="0"/>
          <w:numId w:val="2"/>
        </w:numPr>
        <w:spacing w:after="40" w:before="40"/>
      </w:pPr>
      <w:r>
        <w:rPr>
          <w:rFonts w:ascii="Arial" w:cs="Arial" w:eastAsia="Arial" w:hAnsi="Arial"/>
          <w:sz w:val="22"/>
          <w:szCs w:val="22"/>
        </w:rPr>
        <w:t xml:space="preserve">UV Response Dn downregulated (NES = −2.30) — this gene set captures genes repressed after UV-induced DNA damage; its downregulation by GLP-1R agonism suggests reversal of a senescence-like transcriptional state.</w:t>
      </w:r>
    </w:p>
    <w:p>
      <w:pPr>
        <w:spacing w:after="60" w:before="60"/>
      </w:pPr>
      <w:r>
        <w:rPr>
          <w:rFonts w:ascii="Arial" w:cs="Arial" w:eastAsia="Arial" w:hAnsi="Arial"/>
          <w:b w:val="false"/>
          <w:bCs w:val="false"/>
          <w:sz w:val="22"/>
          <w:szCs w:val="22"/>
        </w:rPr>
        <w:t xml:space="preserve">Top KEGG findings: Alzheimer disease (NES ≈ +2.69) and Huntington disease (NES ≈ +2.57) KEGG pathways upregulated — these KEGG gene sets include many mitochondrial and proteostatic genes; upregulation reflects activation of protective metabolic programmes, not disease progression.</w:t>
      </w:r>
    </w:p>
    <w:p>
      <w:pPr>
        <w:spacing w:after="60" w:before="60"/>
      </w:pPr>
      <w:r>
        <w:rPr>
          <w:rFonts w:ascii="Arial" w:cs="Arial" w:eastAsia="Arial" w:hAnsi="Arial"/>
          <w:b w:val="false"/>
          <w:bCs w:val="false"/>
          <w:sz w:val="22"/>
          <w:szCs w:val="22"/>
        </w:rPr>
        <w:t xml:space="preserve">Interpretation: In the aged brain, GLP-1R agonism induces a coordinated transcriptional programme consistent with mitochondrial rejuvenation, enhanced genome maintenance, and reactivation of innate immune surveillance. This profile closely mirrors the hallmarks of successful anti-ageing interventions and supports the rationale for testing GLP-1R agonists in age-related neurodegenerative conditions.</w:t>
      </w:r>
    </w:p>
    <w:p>
      <w:pPr>
        <w:spacing w:after="0" w:before="0"/>
      </w:pPr>
    </w:p>
    <w:p>
      <w:pPr>
        <w:pStyle w:val="Heading2"/>
        <w:spacing w:after="100" w:before="280"/>
      </w:pPr>
      <w:r>
        <w:rPr>
          <w:rFonts w:ascii="Arial" w:cs="Arial" w:eastAsia="Arial" w:hAnsi="Arial"/>
          <w:b/>
          <w:bCs/>
          <w:color w:val="2E75B6"/>
          <w:sz w:val="26"/>
          <w:szCs w:val="26"/>
        </w:rPr>
        <w:t xml:space="preserve">4.4 Traumatic Brain Injury (TBI)</w:t>
      </w:r>
    </w:p>
    <w:p>
      <w:pPr>
        <w:spacing w:after="60" w:before="60"/>
      </w:pPr>
      <w:r>
        <w:rPr>
          <w:rFonts w:ascii="Arial" w:cs="Arial" w:eastAsia="Arial" w:hAnsi="Arial"/>
          <w:b w:val="false"/>
          <w:bCs w:val="false"/>
          <w:sz w:val="22"/>
          <w:szCs w:val="22"/>
        </w:rPr>
        <w:t xml:space="preserve">Datasets: Acc10 (GSE71850, Exendin-4 post-blast TBI), Acc11 (GSE41345, Exendin-4 post-mild TBI)</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2"/>
              <w:left w:val="single" w:color="1ABC9C" w:sz="12"/>
              <w:bottom w:val="single" w:color="CCCCCC" w:sz="2"/>
              <w:right w:val="single" w:color="CCCCCC" w:sz="2"/>
            </w:tcBorders>
            <w:shd w:fill="F8F9FA" w:val="clear"/>
            <w:tcMar>
              <w:top w:type="dxa" w:w="80"/>
              <w:left w:type="dxa" w:w="120"/>
              <w:bottom w:type="dxa" w:w="80"/>
              <w:right w:type="dxa" w:w="120"/>
            </w:tcMar>
            <w:vAlign w:val="center"/>
          </w:tcPr>
          <w:p>
            <w:pPr>
              <w:jc w:val="center"/>
            </w:pPr>
            <w:r>
              <w:rPr>
                <w:rFonts w:ascii="Arial" w:cs="Arial" w:eastAsia="Arial" w:hAnsi="Arial"/>
                <w:b/>
                <w:bCs/>
                <w:color w:val="1ABC9C"/>
                <w:sz w:val="20"/>
                <w:szCs w:val="20"/>
              </w:rPr>
              <w:t xml:space="preserve">Key Theme</w:t>
            </w:r>
          </w:p>
        </w:tc>
        <w:tc>
          <w:tcPr>
            <w:tcW w:type="dxa" w:w="7160"/>
            <w:tcBorders>
              <w:top w:val="single" w:color="CCCCCC" w:sz="2"/>
              <w:left w:val="single" w:color="1ABC9C" w:sz="1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Innate immune activation + DNA repair upregulation with concurrent anti-inflammatory suppression</w:t>
            </w:r>
          </w:p>
        </w:tc>
      </w:tr>
    </w:tbl>
    <w:p>
      <w:pPr>
        <w:spacing w:after="0" w:before="0"/>
      </w:pPr>
    </w:p>
    <w:p>
      <w:pPr>
        <w:spacing w:after="60" w:before="60"/>
      </w:pPr>
      <w:r>
        <w:rPr>
          <w:rFonts w:ascii="Arial" w:cs="Arial" w:eastAsia="Arial" w:hAnsi="Arial"/>
          <w:b w:val="false"/>
          <w:bCs w:val="false"/>
          <w:sz w:val="22"/>
          <w:szCs w:val="22"/>
        </w:rPr>
        <w:t xml:space="preserve">Top GSEA Hallmark findings:</w:t>
      </w:r>
    </w:p>
    <w:p>
      <w:pPr>
        <w:pStyle w:val="ListParagraph"/>
        <w:numPr>
          <w:ilvl w:val="0"/>
          <w:numId w:val="2"/>
        </w:numPr>
        <w:spacing w:after="40" w:before="40"/>
      </w:pPr>
      <w:r>
        <w:rPr>
          <w:rFonts w:ascii="Arial" w:cs="Arial" w:eastAsia="Arial" w:hAnsi="Arial"/>
          <w:sz w:val="22"/>
          <w:szCs w:val="22"/>
        </w:rPr>
        <w:t xml:space="preserve">Interferon Alpha Response: NES = +3.10 (Acc10) — the highest single NES value in the entire analysis. Exendin-4 strongly activates interferon-stimulated gene (ISG) expression in the hippocampus after blast TBI. This may represent an acute antiviral-like response that clears cellular debris and promotes neuroprotection.</w:t>
      </w:r>
    </w:p>
    <w:p>
      <w:pPr>
        <w:pStyle w:val="ListParagraph"/>
        <w:numPr>
          <w:ilvl w:val="0"/>
          <w:numId w:val="2"/>
        </w:numPr>
        <w:spacing w:after="40" w:before="40"/>
      </w:pPr>
      <w:r>
        <w:rPr>
          <w:rFonts w:ascii="Arial" w:cs="Arial" w:eastAsia="Arial" w:hAnsi="Arial"/>
          <w:sz w:val="22"/>
          <w:szCs w:val="22"/>
        </w:rPr>
        <w:t xml:space="preserve">Interferon Gamma Response: NES = +2.92 (Acc10) — convergent with IFN-α upregulation, suggesting broad interferon signalling activation by Exendin-4 post-injury.</w:t>
      </w:r>
    </w:p>
    <w:p>
      <w:pPr>
        <w:pStyle w:val="ListParagraph"/>
        <w:numPr>
          <w:ilvl w:val="0"/>
          <w:numId w:val="2"/>
        </w:numPr>
        <w:spacing w:after="40" w:before="40"/>
      </w:pPr>
      <w:r>
        <w:rPr>
          <w:rFonts w:ascii="Arial" w:cs="Arial" w:eastAsia="Arial" w:hAnsi="Arial"/>
          <w:sz w:val="22"/>
          <w:szCs w:val="22"/>
        </w:rPr>
        <w:t xml:space="preserve">TNF-α/NF-κB: NES = −1.95 (Acc10) — despite the interferon upregulation, classical inflammatory NF-κB signalling is simultaneously suppressed, indicating Exendin-4 produces a nuanced pro-resolution immune state rather than blanket anti-inflammation.</w:t>
      </w:r>
    </w:p>
    <w:p>
      <w:pPr>
        <w:pStyle w:val="ListParagraph"/>
        <w:numPr>
          <w:ilvl w:val="0"/>
          <w:numId w:val="2"/>
        </w:numPr>
        <w:spacing w:after="40" w:before="40"/>
      </w:pPr>
      <w:r>
        <w:rPr>
          <w:rFonts w:ascii="Arial" w:cs="Arial" w:eastAsia="Arial" w:hAnsi="Arial"/>
          <w:sz w:val="22"/>
          <w:szCs w:val="22"/>
        </w:rPr>
        <w:t xml:space="preserve">DNA Repair: NES = +1.77 (Acc11, mTBI) — consistent with neuroprotective engagement of DNA damage response pathways.</w:t>
      </w:r>
    </w:p>
    <w:p>
      <w:pPr>
        <w:pStyle w:val="ListParagraph"/>
        <w:numPr>
          <w:ilvl w:val="0"/>
          <w:numId w:val="2"/>
        </w:numPr>
        <w:spacing w:after="40" w:before="40"/>
      </w:pPr>
      <w:r>
        <w:rPr>
          <w:rFonts w:ascii="Arial" w:cs="Arial" w:eastAsia="Arial" w:hAnsi="Arial"/>
          <w:sz w:val="22"/>
          <w:szCs w:val="22"/>
        </w:rPr>
        <w:t xml:space="preserve">Oxidative Phosphorylation: NES = +1.67 to +1.86 (Acc10) — mitochondrial restoration in the injured hippocampus.</w:t>
      </w:r>
    </w:p>
    <w:p>
      <w:pPr>
        <w:spacing w:after="60" w:before="60"/>
      </w:pPr>
      <w:r>
        <w:rPr>
          <w:rFonts w:ascii="Arial" w:cs="Arial" w:eastAsia="Arial" w:hAnsi="Arial"/>
          <w:b w:val="false"/>
          <w:bCs w:val="false"/>
          <w:sz w:val="22"/>
          <w:szCs w:val="22"/>
        </w:rPr>
        <w:t xml:space="preserve">Interpretation: GLP-1R agonism after TBI appears to promote a pro-resolution immune phenotype — activating type I/II interferon-driven clearance of damaged cellular material while suppressing chronic NF-κB-driven neuroinflammation. Simultaneously, DNA repair and mitochondrial recovery pathways are upregulated, consistent with direct neuroprotection of hippocampal neurons. The bidirectional immune modulation distinguishes TBI from the uniformly anti-inflammatory profile seen in EAE (Acc7).</w:t>
      </w:r>
    </w:p>
    <w:p>
      <w:pPr>
        <w:spacing w:after="0" w:before="0"/>
      </w:pPr>
    </w:p>
    <w:p>
      <w:pPr>
        <w:pStyle w:val="Heading2"/>
        <w:spacing w:after="100" w:before="280"/>
      </w:pPr>
      <w:r>
        <w:rPr>
          <w:rFonts w:ascii="Arial" w:cs="Arial" w:eastAsia="Arial" w:hAnsi="Arial"/>
          <w:b/>
          <w:bCs/>
          <w:color w:val="2E75B6"/>
          <w:sz w:val="26"/>
          <w:szCs w:val="26"/>
        </w:rPr>
        <w:t xml:space="preserve">4.5 Neurodegeneration (Huntington's Disease)</w:t>
      </w:r>
    </w:p>
    <w:p>
      <w:pPr>
        <w:spacing w:after="60" w:before="60"/>
      </w:pPr>
      <w:r>
        <w:rPr>
          <w:rFonts w:ascii="Arial" w:cs="Arial" w:eastAsia="Arial" w:hAnsi="Arial"/>
          <w:b w:val="false"/>
          <w:bCs w:val="false"/>
          <w:sz w:val="22"/>
          <w:szCs w:val="22"/>
        </w:rPr>
        <w:t xml:space="preserve">Dataset: Acc12 (GSE39586, GLP-1 agonist in HD mouse model)</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2"/>
              <w:left w:val="single" w:color="7F8C8D" w:sz="12"/>
              <w:bottom w:val="single" w:color="CCCCCC" w:sz="2"/>
              <w:right w:val="single" w:color="CCCCCC" w:sz="2"/>
            </w:tcBorders>
            <w:shd w:fill="F8F9FA" w:val="clear"/>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Key Theme</w:t>
            </w:r>
          </w:p>
        </w:tc>
        <w:tc>
          <w:tcPr>
            <w:tcW w:type="dxa" w:w="7160"/>
            <w:tcBorders>
              <w:top w:val="single" w:color="CCCCCC" w:sz="2"/>
              <w:left w:val="single" w:color="7F8C8D" w:sz="1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Limited signal due to small DEG list; E2F target suppression suggests cell-cycle modulation</w:t>
            </w:r>
          </w:p>
        </w:tc>
      </w:tr>
    </w:tbl>
    <w:p>
      <w:pPr>
        <w:spacing w:after="0" w:before="0"/>
      </w:pPr>
    </w:p>
    <w:p>
      <w:pPr>
        <w:pStyle w:val="ListParagraph"/>
        <w:numPr>
          <w:ilvl w:val="0"/>
          <w:numId w:val="2"/>
        </w:numPr>
        <w:spacing w:after="40" w:before="40"/>
      </w:pPr>
      <w:r>
        <w:rPr>
          <w:rFonts w:ascii="Arial" w:cs="Arial" w:eastAsia="Arial" w:hAnsi="Arial"/>
          <w:sz w:val="22"/>
          <w:szCs w:val="22"/>
        </w:rPr>
        <w:t xml:space="preserve">Only 31 DEGs were identified in the hypothalamus of HD model mice treated with GLP-1 agonist (HD + GLP-1 vs. WT control). This small sample severely limits pathway analysis power.</w:t>
      </w:r>
    </w:p>
    <w:p>
      <w:pPr>
        <w:pStyle w:val="ListParagraph"/>
        <w:numPr>
          <w:ilvl w:val="0"/>
          <w:numId w:val="2"/>
        </w:numPr>
        <w:spacing w:after="40" w:before="40"/>
      </w:pPr>
      <w:r>
        <w:rPr>
          <w:rFonts w:ascii="Arial" w:cs="Arial" w:eastAsia="Arial" w:hAnsi="Arial"/>
          <w:sz w:val="22"/>
          <w:szCs w:val="22"/>
        </w:rPr>
        <w:t xml:space="preserve">E2F Targets downregulated (NES = −1.66, FDR &lt; 0.25 by GSEA) — E2F-driven transcription governs G1/S cell cycle entry; suppression may reflect GLP-1R modulation of aberrant cell cycle re-entry that contributes to HD neuronal dysfunction.</w:t>
      </w:r>
    </w:p>
    <w:p>
      <w:pPr>
        <w:pStyle w:val="ListParagraph"/>
        <w:numPr>
          <w:ilvl w:val="0"/>
          <w:numId w:val="2"/>
        </w:numPr>
        <w:spacing w:after="40" w:before="40"/>
      </w:pPr>
      <w:r>
        <w:rPr>
          <w:rFonts w:ascii="Arial" w:cs="Arial" w:eastAsia="Arial" w:hAnsi="Arial"/>
          <w:sz w:val="22"/>
          <w:szCs w:val="22"/>
        </w:rPr>
        <w:t xml:space="preserve">No significant ORA hits (adj. p &lt; 0.05) were detected, consistent with the limited DEG list.</w:t>
      </w:r>
    </w:p>
    <w:p>
      <w:pPr>
        <w:spacing w:after="60" w:before="60"/>
      </w:pPr>
      <w:r>
        <w:rPr>
          <w:rFonts w:ascii="Arial" w:cs="Arial" w:eastAsia="Arial" w:hAnsi="Arial"/>
          <w:b w:val="false"/>
          <w:bCs w:val="false"/>
          <w:sz w:val="22"/>
          <w:szCs w:val="22"/>
        </w:rPr>
        <w:t xml:space="preserve">Interpretation: The small effect size in this dataset may reflect the comparison group used (HD + GLP-1 vs. WT control rather than HD vehicle), which introduces genotype effects that obscure drug-specific signals. Caution is warranted in interpreting this dataset in isolation. The E2F target suppression is mechanistically plausible but requires validation in a larger, better-controlled study.</w:t>
      </w:r>
    </w:p>
    <w:p>
      <w:pPr>
        <w:spacing w:after="0" w:before="0"/>
      </w:pPr>
    </w:p>
    <w:p>
      <w:r>
        <w:br w:type="page"/>
      </w:r>
    </w:p>
    <w:p>
      <w:pPr>
        <w:pStyle w:val="Heading1"/>
        <w:spacing w:after="120" w:before="360"/>
      </w:pPr>
      <w:r>
        <w:rPr>
          <w:rFonts w:ascii="Arial" w:cs="Arial" w:eastAsia="Arial" w:hAnsi="Arial"/>
          <w:b/>
          <w:bCs/>
          <w:color w:val="1F4E79"/>
          <w:sz w:val="32"/>
          <w:szCs w:val="32"/>
        </w:rPr>
        <w:t xml:space="preserve">5. Cross-Condition Themes and Shared Pathways</w:t>
      </w:r>
    </w:p>
    <w:p>
      <w:pPr>
        <w:spacing w:after="60" w:before="60"/>
      </w:pPr>
      <w:r>
        <w:rPr>
          <w:rFonts w:ascii="Arial" w:cs="Arial" w:eastAsia="Arial" w:hAnsi="Arial"/>
          <w:b w:val="false"/>
          <w:bCs w:val="false"/>
          <w:sz w:val="22"/>
          <w:szCs w:val="22"/>
        </w:rPr>
        <w:t xml:space="preserve">The cross-accession analysis revealed 44 Hallmark gene sets enriched (FDR &lt; 0.25 by GSEA) in four or more conditions. These represent the most robust candidates for condition-agnostic GLP-1R transcriptional targets. Key shared themes are summarised below.</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2"/>
              <w:left w:val="single" w:color="CCCCCC" w:sz="2"/>
              <w:bottom w:val="single" w:color="CCCCCC" w:sz="2"/>
              <w:right w:val="single" w:color="CCCCCC" w:sz="2"/>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Pathway</w:t>
            </w:r>
          </w:p>
        </w:tc>
        <w:tc>
          <w:tcPr>
            <w:tcW w:type="dxa" w:w="1200"/>
            <w:tcBorders>
              <w:top w:val="single" w:color="CCCCCC" w:sz="2"/>
              <w:left w:val="single" w:color="CCCCCC" w:sz="2"/>
              <w:bottom w:val="single" w:color="CCCCCC" w:sz="2"/>
              <w:right w:val="single" w:color="CCCCCC" w:sz="2"/>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Conditions</w:t>
            </w:r>
          </w:p>
        </w:tc>
        <w:tc>
          <w:tcPr>
            <w:tcW w:type="dxa" w:w="5660"/>
            <w:tcBorders>
              <w:top w:val="single" w:color="CCCCCC" w:sz="2"/>
              <w:left w:val="single" w:color="CCCCCC" w:sz="2"/>
              <w:bottom w:val="single" w:color="CCCCCC" w:sz="2"/>
              <w:right w:val="single" w:color="CCCCCC" w:sz="2"/>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Biological Interpretation</w:t>
            </w:r>
          </w:p>
        </w:tc>
      </w:tr>
      <w:tr>
        <w:tc>
          <w:tcPr>
            <w:tcW w:type="dxa" w:w="25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bCs/>
                <w:sz w:val="18"/>
                <w:szCs w:val="18"/>
              </w:rPr>
              <w:t xml:space="preserve">E2F Targets</w:t>
            </w:r>
          </w:p>
        </w:tc>
        <w:tc>
          <w:tcPr>
            <w:tcW w:type="dxa" w:w="12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5/5 conditions</w:t>
            </w:r>
          </w:p>
        </w:tc>
        <w:tc>
          <w:tcPr>
            <w:tcW w:type="dxa" w:w="56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Cell cycle regulation; GLP-1R agonists universally modulate neuronal and glial proliferative state.</w:t>
            </w:r>
          </w:p>
        </w:tc>
      </w:tr>
      <w:tr>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sz w:val="18"/>
                <w:szCs w:val="18"/>
              </w:rPr>
              <w:t xml:space="preserve">Oxidative Phosphorylation</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4/5 conditions</w:t>
            </w:r>
          </w:p>
        </w:tc>
        <w:tc>
          <w:tcPr>
            <w:tcW w:type="dxa" w:w="5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Mitochondrial function — suppressed in Obesity, upregulated in Aging and TBI. Context-dependent metabolic reprogramming.</w:t>
            </w:r>
          </w:p>
        </w:tc>
      </w:tr>
      <w:tr>
        <w:tc>
          <w:tcPr>
            <w:tcW w:type="dxa" w:w="25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bCs/>
                <w:sz w:val="18"/>
                <w:szCs w:val="18"/>
              </w:rPr>
              <w:t xml:space="preserve">TNF-α/NF-κB Signalling</w:t>
            </w:r>
          </w:p>
        </w:tc>
        <w:tc>
          <w:tcPr>
            <w:tcW w:type="dxa" w:w="12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 conditions</w:t>
            </w:r>
          </w:p>
        </w:tc>
        <w:tc>
          <w:tcPr>
            <w:tcW w:type="dxa" w:w="56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Core inflammatory pathway — strongly suppressed in Neuroinflammation, bidirectional in TBI, variable in Obesity.</w:t>
            </w:r>
          </w:p>
        </w:tc>
      </w:tr>
      <w:tr>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sz w:val="18"/>
                <w:szCs w:val="18"/>
              </w:rPr>
              <w:t xml:space="preserve">Interferon Gamma Response</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4/5 conditions</w:t>
            </w:r>
          </w:p>
        </w:tc>
        <w:tc>
          <w:tcPr>
            <w:tcW w:type="dxa" w:w="5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Innate immune activation — suppressed in Neuroinflammation, activated in TBI and Aging.</w:t>
            </w:r>
          </w:p>
        </w:tc>
      </w:tr>
      <w:tr>
        <w:tc>
          <w:tcPr>
            <w:tcW w:type="dxa" w:w="25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bCs/>
                <w:sz w:val="18"/>
                <w:szCs w:val="18"/>
              </w:rPr>
              <w:t xml:space="preserve">IL-6/JAK/STAT3 Signalling</w:t>
            </w:r>
          </w:p>
        </w:tc>
        <w:tc>
          <w:tcPr>
            <w:tcW w:type="dxa" w:w="12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 conditions</w:t>
            </w:r>
          </w:p>
        </w:tc>
        <w:tc>
          <w:tcPr>
            <w:tcW w:type="dxa" w:w="56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Cytokine signalling; GLP-1R agonists modulate STAT3 activity across all major conditions.</w:t>
            </w:r>
          </w:p>
        </w:tc>
      </w:tr>
      <w:tr>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sz w:val="18"/>
                <w:szCs w:val="18"/>
              </w:rPr>
              <w:t xml:space="preserve">DNA Repair</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4/5 conditions</w:t>
            </w:r>
          </w:p>
        </w:tc>
        <w:tc>
          <w:tcPr>
            <w:tcW w:type="dxa" w:w="5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Genome maintenance — upregulated in TBI and Aging; bidirectional in Obesity.</w:t>
            </w:r>
          </w:p>
        </w:tc>
      </w:tr>
      <w:tr>
        <w:tc>
          <w:tcPr>
            <w:tcW w:type="dxa" w:w="25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bCs/>
                <w:sz w:val="18"/>
                <w:szCs w:val="18"/>
              </w:rPr>
              <w:t xml:space="preserve">Inflammatory Response</w:t>
            </w:r>
          </w:p>
        </w:tc>
        <w:tc>
          <w:tcPr>
            <w:tcW w:type="dxa" w:w="12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 conditions</w:t>
            </w:r>
          </w:p>
        </w:tc>
        <w:tc>
          <w:tcPr>
            <w:tcW w:type="dxa" w:w="56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Broad cytokine/chemokine signature; direction reverses depending on whether disease is chronic or acute.</w:t>
            </w:r>
          </w:p>
        </w:tc>
      </w:tr>
      <w:tr>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sz w:val="18"/>
                <w:szCs w:val="18"/>
              </w:rPr>
              <w:t xml:space="preserve">mTORC1 Signalling</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4/5 conditions</w:t>
            </w:r>
          </w:p>
        </w:tc>
        <w:tc>
          <w:tcPr>
            <w:tcW w:type="dxa" w:w="5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Anabolic signalling hub; generally suppressed, consistent with GLP-1R agonist effects on nutrient sensing.</w:t>
            </w:r>
          </w:p>
        </w:tc>
      </w:tr>
      <w:tr>
        <w:tc>
          <w:tcPr>
            <w:tcW w:type="dxa" w:w="25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bCs/>
                <w:sz w:val="18"/>
                <w:szCs w:val="18"/>
              </w:rPr>
              <w:t xml:space="preserve">TGF-β Signalling</w:t>
            </w:r>
          </w:p>
        </w:tc>
        <w:tc>
          <w:tcPr>
            <w:tcW w:type="dxa" w:w="12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 conditions</w:t>
            </w:r>
          </w:p>
        </w:tc>
        <w:tc>
          <w:tcPr>
            <w:tcW w:type="dxa" w:w="56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Fibrotic and immunosuppressive signalling; generally downregulated.</w:t>
            </w:r>
          </w:p>
        </w:tc>
      </w:tr>
      <w:tr>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sz w:val="18"/>
                <w:szCs w:val="18"/>
              </w:rPr>
              <w:t xml:space="preserve">Adipogenesis</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4/5 conditions</w:t>
            </w:r>
          </w:p>
        </w:tc>
        <w:tc>
          <w:tcPr>
            <w:tcW w:type="dxa" w:w="5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Lipid metabolism and adipocyte differentiation; modulated across metabolic and neural contexts.</w:t>
            </w:r>
          </w:p>
        </w:tc>
      </w:tr>
      <w:tr>
        <w:tc>
          <w:tcPr>
            <w:tcW w:type="dxa" w:w="25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bCs/>
                <w:sz w:val="18"/>
                <w:szCs w:val="18"/>
              </w:rPr>
              <w:t xml:space="preserve">p53 Pathway</w:t>
            </w:r>
          </w:p>
        </w:tc>
        <w:tc>
          <w:tcPr>
            <w:tcW w:type="dxa" w:w="12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 conditions</w:t>
            </w:r>
          </w:p>
        </w:tc>
        <w:tc>
          <w:tcPr>
            <w:tcW w:type="dxa" w:w="56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Stress response and apoptosis checkpoint; consistently regulated by GLP-1R agonism.</w:t>
            </w:r>
          </w:p>
        </w:tc>
      </w:tr>
      <w:tr>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sz w:val="18"/>
                <w:szCs w:val="18"/>
              </w:rPr>
              <w:t xml:space="preserve">Fatty Acid Metabolism</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3/5 conditions</w:t>
            </w:r>
          </w:p>
        </w:tc>
        <w:tc>
          <w:tcPr>
            <w:tcW w:type="dxa" w:w="5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Lipid oxidation; upregulated particularly in Obesity and Aging.</w:t>
            </w:r>
          </w:p>
        </w:tc>
      </w:tr>
    </w:tbl>
    <w:p>
      <w:pPr>
        <w:spacing w:after="0" w:before="0"/>
      </w:pPr>
    </w:p>
    <w:p>
      <w:pPr>
        <w:spacing w:after="0" w:before="0"/>
      </w:pPr>
    </w:p>
    <w:p>
      <w:pPr>
        <w:spacing w:after="60" w:before="60"/>
      </w:pPr>
      <w:r>
        <w:rPr>
          <w:rFonts w:ascii="Arial" w:cs="Arial" w:eastAsia="Arial" w:hAnsi="Arial"/>
          <w:b w:val="false"/>
          <w:bCs w:val="false"/>
          <w:sz w:val="22"/>
          <w:szCs w:val="22"/>
        </w:rPr>
        <w:t xml:space="preserve">Shared gene Mtch1: The single gene dysregulated across all four major condition groups (Obesity, Neuroinflammation, TBI, Aging) is Mtch1 (Mitochondrial Carrier Homologue 1), a regulator of mitochondrial outer membrane integrity and BAX-mediated apoptosis. Its cross-condition regulation by GLP-1R agonists is consistent with a central role for mitochondrial stress modulation in GLP-1R neuroprotection.</w:t>
      </w:r>
    </w:p>
    <w:p>
      <w:pPr>
        <w:spacing w:after="0" w:before="0"/>
      </w:pPr>
    </w:p>
    <w:p>
      <w:r>
        <w:br w:type="page"/>
      </w:r>
    </w:p>
    <w:p>
      <w:pPr>
        <w:pStyle w:val="Heading1"/>
        <w:spacing w:after="120" w:before="360"/>
      </w:pPr>
      <w:r>
        <w:rPr>
          <w:rFonts w:ascii="Arial" w:cs="Arial" w:eastAsia="Arial" w:hAnsi="Arial"/>
          <w:b/>
          <w:bCs/>
          <w:color w:val="1F4E79"/>
          <w:sz w:val="32"/>
          <w:szCs w:val="32"/>
        </w:rPr>
        <w:t xml:space="preserve">6. Methodological Notes and Limitations</w:t>
      </w:r>
    </w:p>
    <w:p>
      <w:pPr>
        <w:pStyle w:val="ListParagraph"/>
        <w:numPr>
          <w:ilvl w:val="0"/>
          <w:numId w:val="2"/>
        </w:numPr>
        <w:spacing w:after="40" w:before="40"/>
      </w:pPr>
      <w:r>
        <w:rPr>
          <w:rFonts w:ascii="Arial" w:cs="Arial" w:eastAsia="Arial" w:hAnsi="Arial"/>
          <w:sz w:val="22"/>
          <w:szCs w:val="22"/>
        </w:rPr>
        <w:t xml:space="preserve">Gene ID harmonisation: Three gene identifier systems (gene symbols, Ensembl IDs, Illumina probe IDs) were resolved to mouse gene symbols using mygene.info API and GPL6885 Illumina BeadArray annotations. Cross-platform mapping may introduce minor noise.</w:t>
      </w:r>
    </w:p>
    <w:p>
      <w:pPr>
        <w:pStyle w:val="ListParagraph"/>
        <w:numPr>
          <w:ilvl w:val="0"/>
          <w:numId w:val="2"/>
        </w:numPr>
        <w:spacing w:after="40" w:before="40"/>
      </w:pPr>
      <w:r>
        <w:rPr>
          <w:rFonts w:ascii="Arial" w:cs="Arial" w:eastAsia="Arial" w:hAnsi="Arial"/>
          <w:sz w:val="22"/>
          <w:szCs w:val="22"/>
        </w:rPr>
        <w:t xml:space="preserve">GSEA permutations: 200 gene-level permutations were used (standard for exploratory analysis). Publication-ready analyses should use 1,000–10,000 permutations. FDR &lt; 0.25 threshold (the conventional GSEA threshold) is more permissive than the ORA threshold (adj. p &lt; 0.05).</w:t>
      </w:r>
    </w:p>
    <w:p>
      <w:pPr>
        <w:pStyle w:val="ListParagraph"/>
        <w:numPr>
          <w:ilvl w:val="0"/>
          <w:numId w:val="2"/>
        </w:numPr>
        <w:spacing w:after="40" w:before="40"/>
      </w:pPr>
      <w:r>
        <w:rPr>
          <w:rFonts w:ascii="Arial" w:cs="Arial" w:eastAsia="Arial" w:hAnsi="Arial"/>
          <w:sz w:val="22"/>
          <w:szCs w:val="22"/>
        </w:rPr>
        <w:t xml:space="preserve">Acc12 (HD): Only 31 DEGs available; the comparison (HD + GLP-1 vs. WT control) conflates genotype and drug effects. Results should be interpreted as hypothesis-generating only.</w:t>
      </w:r>
    </w:p>
    <w:p>
      <w:pPr>
        <w:pStyle w:val="ListParagraph"/>
        <w:numPr>
          <w:ilvl w:val="0"/>
          <w:numId w:val="2"/>
        </w:numPr>
        <w:spacing w:after="40" w:before="40"/>
      </w:pPr>
      <w:r>
        <w:rPr>
          <w:rFonts w:ascii="Arial" w:cs="Arial" w:eastAsia="Arial" w:hAnsi="Arial"/>
          <w:sz w:val="22"/>
          <w:szCs w:val="22"/>
        </w:rPr>
        <w:t xml:space="preserve">Acc11 (mTBI): The comparison Exendin-4 + mTBI vs. Sham (rather than vs. mTBI vehicle) was the best available in the dataset; drug effects are confounded by injury-related gene expression differences.</w:t>
      </w:r>
    </w:p>
    <w:p>
      <w:pPr>
        <w:pStyle w:val="ListParagraph"/>
        <w:numPr>
          <w:ilvl w:val="0"/>
          <w:numId w:val="2"/>
        </w:numPr>
        <w:spacing w:after="40" w:before="40"/>
      </w:pPr>
      <w:r>
        <w:rPr>
          <w:rFonts w:ascii="Arial" w:cs="Arial" w:eastAsia="Arial" w:hAnsi="Arial"/>
          <w:sz w:val="22"/>
          <w:szCs w:val="22"/>
        </w:rPr>
        <w:t xml:space="preserve">Cross-species considerations: Datasets include mouse (majority), rat (Acc10/11), and human gene annotations (KEGG). Cross-species pathway enrichment is valid at the gene set level but individual gene comparisons require caution.</w:t>
      </w:r>
    </w:p>
    <w:p>
      <w:pPr>
        <w:pStyle w:val="ListParagraph"/>
        <w:numPr>
          <w:ilvl w:val="0"/>
          <w:numId w:val="2"/>
        </w:numPr>
        <w:spacing w:after="40" w:before="40"/>
      </w:pPr>
      <w:r>
        <w:rPr>
          <w:rFonts w:ascii="Arial" w:cs="Arial" w:eastAsia="Arial" w:hAnsi="Arial"/>
          <w:sz w:val="22"/>
          <w:szCs w:val="22"/>
        </w:rPr>
        <w:t xml:space="preserve">STRING-DB networks: Only top DEGs by significance were submitted to STRING due to API limits. Networks may not represent the full regulatory landscape.</w:t>
      </w:r>
    </w:p>
    <w:p>
      <w:pPr>
        <w:pStyle w:val="ListParagraph"/>
        <w:numPr>
          <w:ilvl w:val="0"/>
          <w:numId w:val="2"/>
        </w:numPr>
        <w:spacing w:after="40" w:before="40"/>
      </w:pPr>
      <w:r>
        <w:rPr>
          <w:rFonts w:ascii="Arial" w:cs="Arial" w:eastAsia="Arial" w:hAnsi="Arial"/>
          <w:sz w:val="22"/>
          <w:szCs w:val="22"/>
        </w:rPr>
        <w:t xml:space="preserve">ORA vs. GSEA: ORA was used only for significant DEGs (adj. p &lt; 0.05) and lacks directional information. GSEA uses the full ranked gene list and captures subtler transcriptional shifts. Both methods are complementary.</w:t>
      </w:r>
    </w:p>
    <w:p>
      <w:pPr>
        <w:spacing w:after="0" w:before="0"/>
      </w:pPr>
    </w:p>
    <w:p>
      <w:r>
        <w:br w:type="page"/>
      </w:r>
    </w:p>
    <w:p>
      <w:pPr>
        <w:pStyle w:val="Heading1"/>
        <w:spacing w:after="120" w:before="360"/>
      </w:pPr>
      <w:r>
        <w:rPr>
          <w:rFonts w:ascii="Arial" w:cs="Arial" w:eastAsia="Arial" w:hAnsi="Arial"/>
          <w:b/>
          <w:bCs/>
          <w:color w:val="1F4E79"/>
          <w:sz w:val="32"/>
          <w:szCs w:val="32"/>
        </w:rPr>
        <w:t xml:space="preserve">7. Reproducing the Analysis</w:t>
      </w:r>
    </w:p>
    <w:p>
      <w:pPr>
        <w:spacing w:after="60" w:before="60"/>
      </w:pPr>
      <w:r>
        <w:rPr>
          <w:rFonts w:ascii="Arial" w:cs="Arial" w:eastAsia="Arial" w:hAnsi="Arial"/>
          <w:b w:val="false"/>
          <w:bCs w:val="false"/>
          <w:sz w:val="22"/>
          <w:szCs w:val="22"/>
        </w:rPr>
        <w:t xml:space="preserve">All analyses described in this document can be reproduced using the master analysis script:</w:t>
      </w:r>
    </w:p>
    <w:p>
      <w:pPr>
        <w:spacing w:after="60" w:before="60"/>
      </w:pPr>
      <w:r>
        <w:rPr>
          <w:rFonts w:ascii="Arial" w:cs="Arial" w:eastAsia="Arial" w:hAnsi="Arial"/>
          <w:b/>
          <w:bCs/>
          <w:sz w:val="22"/>
          <w:szCs w:val="22"/>
        </w:rPr>
        <w:t xml:space="preserve">File: GLP1R_CrossAccession_MasterAnalysis.py</w:t>
      </w:r>
    </w:p>
    <w:p>
      <w:pPr>
        <w:spacing w:after="0" w:before="0"/>
      </w:pPr>
    </w:p>
    <w:p>
      <w:pPr>
        <w:spacing w:after="60" w:before="60"/>
      </w:pPr>
      <w:r>
        <w:rPr>
          <w:rFonts w:ascii="Arial" w:cs="Arial" w:eastAsia="Arial" w:hAnsi="Arial"/>
          <w:b w:val="false"/>
          <w:bCs w:val="false"/>
          <w:sz w:val="22"/>
          <w:szCs w:val="22"/>
        </w:rPr>
        <w:t xml:space="preserve">The script accepts the following flags to skip computationally intensive steps if results already exist:</w:t>
      </w:r>
    </w:p>
    <w:p>
      <w:pPr>
        <w:pStyle w:val="ListParagraph"/>
        <w:numPr>
          <w:ilvl w:val="0"/>
          <w:numId w:val="2"/>
        </w:numPr>
        <w:spacing w:after="40" w:before="40"/>
      </w:pPr>
      <w:r>
        <w:rPr>
          <w:rFonts w:ascii="Arial" w:cs="Arial" w:eastAsia="Arial" w:hAnsi="Arial"/>
          <w:sz w:val="22"/>
          <w:szCs w:val="22"/>
        </w:rPr>
        <w:t xml:space="preserve">--skip-gsea : Skip GSEA (use existing gsea_all_results.csv)</w:t>
      </w:r>
    </w:p>
    <w:p>
      <w:pPr>
        <w:pStyle w:val="ListParagraph"/>
        <w:numPr>
          <w:ilvl w:val="0"/>
          <w:numId w:val="2"/>
        </w:numPr>
        <w:spacing w:after="40" w:before="40"/>
      </w:pPr>
      <w:r>
        <w:rPr>
          <w:rFonts w:ascii="Arial" w:cs="Arial" w:eastAsia="Arial" w:hAnsi="Arial"/>
          <w:sz w:val="22"/>
          <w:szCs w:val="22"/>
        </w:rPr>
        <w:t xml:space="preserve">--skip-ora : Skip ORA (use existing ora_all_results.csv)</w:t>
      </w:r>
    </w:p>
    <w:p>
      <w:pPr>
        <w:pStyle w:val="ListParagraph"/>
        <w:numPr>
          <w:ilvl w:val="0"/>
          <w:numId w:val="2"/>
        </w:numPr>
        <w:spacing w:after="40" w:before="40"/>
      </w:pPr>
      <w:r>
        <w:rPr>
          <w:rFonts w:ascii="Arial" w:cs="Arial" w:eastAsia="Arial" w:hAnsi="Arial"/>
          <w:sz w:val="22"/>
          <w:szCs w:val="22"/>
        </w:rPr>
        <w:t xml:space="preserve">--skip-figures : Skip figure generation</w:t>
      </w:r>
    </w:p>
    <w:p>
      <w:pPr>
        <w:pStyle w:val="ListParagraph"/>
        <w:numPr>
          <w:ilvl w:val="0"/>
          <w:numId w:val="2"/>
        </w:numPr>
        <w:spacing w:after="40" w:before="40"/>
      </w:pPr>
      <w:r>
        <w:rPr>
          <w:rFonts w:ascii="Arial" w:cs="Arial" w:eastAsia="Arial" w:hAnsi="Arial"/>
          <w:sz w:val="22"/>
          <w:szCs w:val="22"/>
        </w:rPr>
        <w:t xml:space="preserve">--skip-string : Skip STRING-DB PPI network construction</w:t>
      </w:r>
    </w:p>
    <w:p>
      <w:pPr>
        <w:spacing w:after="0" w:before="0"/>
      </w:pPr>
    </w:p>
    <w:p>
      <w:pPr>
        <w:spacing w:after="60" w:before="60"/>
      </w:pPr>
      <w:r>
        <w:rPr>
          <w:rFonts w:ascii="Arial" w:cs="Arial" w:eastAsia="Arial" w:hAnsi="Arial"/>
          <w:b w:val="false"/>
          <w:bCs w:val="false"/>
          <w:sz w:val="22"/>
          <w:szCs w:val="22"/>
        </w:rPr>
        <w:t xml:space="preserve">Required Python packages: gseapy, pandas, numpy, matplotlib, seaborn, upsetplot, matplotlib_venn, mygene, requests, networkx, scipy</w:t>
      </w:r>
    </w:p>
    <w:p>
      <w:pPr>
        <w:spacing w:after="60" w:before="60"/>
      </w:pPr>
      <w:r>
        <w:rPr>
          <w:rFonts w:ascii="Arial" w:cs="Arial" w:eastAsia="Arial" w:hAnsi="Arial"/>
          <w:b w:val="false"/>
          <w:bCs w:val="false"/>
          <w:sz w:val="22"/>
          <w:szCs w:val="22"/>
        </w:rPr>
        <w:t xml:space="preserve">The script outputs all figures, GSEA/ORA results tables, gene overlap tables, and STRING-DB PPI networks to the Cross_Accession_Pathway_Analysis/ subdirectory within the working folder.</w:t>
      </w:r>
    </w:p>
    <w:p>
      <w:pPr>
        <w:spacing w:after="0" w:before="0"/>
      </w:pPr>
    </w:p>
    <w:p>
      <w:pPr>
        <w:spacing w:after="0" w:before="0"/>
      </w:pPr>
    </w:p>
    <w:p>
      <w:pPr>
        <w:pBdr>
          <w:bottom w:val="single" w:color="2E75B6" w:sz="6" w:space="1"/>
        </w:pBdr>
        <w:spacing w:after="120" w:before="120"/>
      </w:pPr>
    </w:p>
    <w:p>
      <w:pPr>
        <w:spacing w:after="0" w:before="120"/>
        <w:jc w:val="center"/>
      </w:pPr>
      <w:r>
        <w:rPr>
          <w:rFonts w:ascii="Arial" w:cs="Arial" w:eastAsia="Arial" w:hAnsi="Arial"/>
          <w:color w:val="7F8C8D"/>
          <w:sz w:val="16"/>
          <w:szCs w:val="16"/>
        </w:rPr>
        <w:t xml:space="preserve">GLP-1R Agonist Bulk RNA-Seq Cross-Accession Analysis  |  Generated by Automated Pipeline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8640"/>
      </w:tabs>
    </w:pPr>
    <w:r>
      <w:rPr>
        <w:rFonts w:ascii="Arial" w:cs="Arial" w:eastAsia="Arial" w:hAnsi="Arial"/>
        <w:color w:val="7F8C8D"/>
        <w:sz w:val="18"/>
        <w:szCs w:val="18"/>
      </w:rPr>
      <w:t xml:space="preserve">GLP-1R Agonist Cross-Accession Analysis</w:t>
    </w:r>
    <w:r>
      <w:rPr>
        <w:sz w:val="18"/>
        <w:szCs w:val="18"/>
      </w:rPr>
      <w:t xml:space="preserve">	</w:t>
    </w:r>
    <w:r>
      <w:rPr>
        <w:rFonts w:ascii="Arial" w:cs="Arial" w:eastAsia="Arial" w:hAnsi="Arial"/>
        <w:color w:val="7F8C8D"/>
        <w:sz w:val="18"/>
        <w:szCs w:val="18"/>
      </w:rPr>
      <w:t xml:space="preserve">Summary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2026-05-07T03:36:12.088Z</dcterms:created>
  <dcterms:modified xsi:type="dcterms:W3CDTF">2026-05-07T03:36:12.089Z</dcterms:modified>
</cp:coreProperties>
</file>

<file path=docProps/custom.xml><?xml version="1.0" encoding="utf-8"?>
<Properties xmlns="http://schemas.openxmlformats.org/officeDocument/2006/custom-properties" xmlns:vt="http://schemas.openxmlformats.org/officeDocument/2006/docPropsVTypes"/>
</file>