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48"/>
          <w:szCs w:val="48"/>
        </w:rPr>
        <w:t xml:space="preserve">GLP-1R Agonist CNS Meta-Analysis</w:t>
      </w:r>
    </w:p>
    <w:p>
      <w:pPr>
        <w:spacing w:after="100"/>
        <w:jc w:val="center"/>
      </w:pPr>
      <w:r>
        <w:rPr>
          <w:rFonts w:ascii="Arial" w:cs="Arial" w:eastAsia="Arial" w:hAnsi="Arial"/>
          <w:color w:val="2E86C1"/>
          <w:sz w:val="32"/>
          <w:szCs w:val="32"/>
        </w:rPr>
        <w:t xml:space="preserve">Comprehensive Plot Interpretation Report</w:t>
      </w:r>
    </w:p>
    <w:p>
      <w:pPr>
        <w:spacing w:after="400"/>
        <w:jc w:val="center"/>
      </w:pPr>
      <w:r>
        <w:rPr>
          <w:rFonts w:ascii="Arial" w:cs="Arial" w:eastAsia="Arial" w:hAnsi="Arial"/>
          <w:color w:val="555555"/>
          <w:sz w:val="24"/>
          <w:szCs w:val="24"/>
        </w:rPr>
        <w:t xml:space="preserve">Bulk RNA-Seq Data from 9 GEO Accessions (CNS Tissues Only)</w:t>
      </w:r>
    </w:p>
    <w:p>
      <w:pPr>
        <w:spacing w:after="100"/>
        <w:jc w:val="center"/>
      </w:pPr>
      <w:r>
        <w:rPr>
          <w:rFonts w:ascii="Arial" w:cs="Arial" w:eastAsia="Arial" w:hAnsi="Arial"/>
          <w:color w:val="777777"/>
          <w:sz w:val="22"/>
          <w:szCs w:val="22"/>
        </w:rPr>
        <w:t xml:space="preserve">May 2026</w:t>
      </w:r>
    </w:p>
    <w:p>
      <w:r>
        <w:br w:type="page"/>
      </w:r>
    </w:p>
    <w:p>
      <w:pPr>
        <w:pStyle w:val="Heading1"/>
        <w:spacing w:after="200" w:before="360"/>
      </w:pPr>
      <w:r>
        <w:rPr>
          <w:rFonts w:ascii="Arial" w:cs="Arial" w:eastAsia="Arial" w:hAnsi="Arial"/>
          <w:b/>
          <w:bCs/>
          <w:sz w:val="32"/>
          <w:szCs w:val="32"/>
        </w:rPr>
        <w:t xml:space="preserve">1. Overview of the Analysis</w:t>
      </w:r>
    </w:p>
    <w:p>
      <w:pPr>
        <w:spacing w:after="120"/>
      </w:pPr>
      <w:r>
        <w:rPr>
          <w:rFonts w:ascii="Arial" w:cs="Arial" w:eastAsia="Arial" w:hAnsi="Arial"/>
          <w:sz w:val="22"/>
          <w:szCs w:val="22"/>
        </w:rPr>
        <w:t xml:space="preserve">This report summarises a bulk RNA-seq meta-analysis of GLP-1 receptor agonist effects across central nervous system (CNS) tissues. The analysis integrates data from 9 GEO accessions (Acc 3–8, 10–12) spanning 5 treatment classes (exendin-4, liraglutide, semaglutide, dulaglutide, and combined GLP-1R agonist treatments) and 16 CNS regions, yielding 26 unique treatment×region groups.</w:t>
      </w:r>
    </w:p>
    <w:p>
      <w:pPr>
        <w:spacing w:after="120"/>
      </w:pPr>
      <w:r>
        <w:rPr>
          <w:rFonts w:ascii="Arial" w:cs="Arial" w:eastAsia="Arial" w:hAnsi="Arial"/>
          <w:sz w:val="22"/>
          <w:szCs w:val="22"/>
        </w:rPr>
        <w:t xml:space="preserve">Non-CNS tissues (adipose, colon, heart, kidney, liver, lung, skeletal muscle, spleen, and white blood cells) were excluded at the data level before any downstream analysis. All enrichment results were further filtered to remove terms pertaining to non-CNS organ pathologies.</w:t>
      </w:r>
    </w:p>
    <w:p>
      <w:pPr>
        <w:pStyle w:val="Heading2"/>
        <w:spacing w:after="160" w:before="280"/>
      </w:pPr>
      <w:r>
        <w:rPr>
          <w:rFonts w:ascii="Arial" w:cs="Arial" w:eastAsia="Arial" w:hAnsi="Arial"/>
          <w:b/>
          <w:bCs/>
          <w:sz w:val="28"/>
          <w:szCs w:val="28"/>
        </w:rPr>
        <w:t xml:space="preserve">1.1 Consensus Gene Strategy</w:t>
      </w:r>
    </w:p>
    <w:p>
      <w:pPr>
        <w:spacing w:after="120"/>
      </w:pPr>
      <w:r>
        <w:rPr>
          <w:rFonts w:ascii="Arial" w:cs="Arial" w:eastAsia="Arial" w:hAnsi="Arial"/>
          <w:sz w:val="22"/>
          <w:szCs w:val="22"/>
        </w:rPr>
        <w:t xml:space="preserve">Consensus genes are defined as those differentially expressed in two or more independent treatment×region groups. This overlap-based approach reduces single-study noise and highlights reproducible transcriptomic signatures of GLP-1R activation in the CNS.</w:t>
      </w:r>
    </w:p>
    <w:p>
      <w:pPr>
        <w:pStyle w:val="Heading2"/>
        <w:spacing w:after="160" w:before="280"/>
      </w:pPr>
      <w:r>
        <w:rPr>
          <w:rFonts w:ascii="Arial" w:cs="Arial" w:eastAsia="Arial" w:hAnsi="Arial"/>
          <w:b/>
          <w:bCs/>
          <w:sz w:val="28"/>
          <w:szCs w:val="28"/>
        </w:rPr>
        <w:t xml:space="preserve">1.2 Three Fold-Change Thresholds</w:t>
      </w:r>
    </w:p>
    <w:p>
      <w:pPr>
        <w:spacing w:after="120"/>
      </w:pPr>
      <w:r>
        <w:rPr>
          <w:rFonts w:ascii="Arial" w:cs="Arial" w:eastAsia="Arial" w:hAnsi="Arial"/>
          <w:sz w:val="22"/>
          <w:szCs w:val="22"/>
        </w:rPr>
        <w:t xml:space="preserve">Every analysis was run at three stringency levels to capture different biological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Threshold</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Criteria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Consensus Genes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LFC0 (lenient)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padj &lt; 0.05 only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7,478 genes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LFC0.5 (moderate)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|log2FC| ≥ 0.5 + padj &lt; 0.05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820 genes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LFC1 (stringent)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|log2FC| ≥ 1.0 + padj &lt; 0.05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283 genes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1.3 Enrichment Databases</w:t>
      </w:r>
    </w:p>
    <w:p>
      <w:pPr>
        <w:spacing w:after="120"/>
      </w:pPr>
      <w:r>
        <w:rPr>
          <w:rFonts w:ascii="Arial" w:cs="Arial" w:eastAsia="Arial" w:hAnsi="Arial"/>
          <w:sz w:val="22"/>
          <w:szCs w:val="22"/>
        </w:rPr>
        <w:t xml:space="preserve">Functional enrichment was performed against five databases using Enrichr (via gseapy): GO Biological Process 2023, GO Molecular Function 2023, GO Cellular Component 2023, KEGG 2021 Human, and Reactome 2022.</w:t>
      </w:r>
    </w:p>
    <w:p>
      <w:r>
        <w:br w:type="page"/>
      </w:r>
    </w:p>
    <w:p>
      <w:pPr>
        <w:pStyle w:val="Heading1"/>
        <w:spacing w:after="200" w:before="360"/>
      </w:pPr>
      <w:r>
        <w:rPr>
          <w:rFonts w:ascii="Arial" w:cs="Arial" w:eastAsia="Arial" w:hAnsi="Arial"/>
          <w:b/>
          <w:bCs/>
          <w:sz w:val="32"/>
          <w:szCs w:val="32"/>
        </w:rPr>
        <w:t xml:space="preserve">2. Consensus Gene Heatmaps</w:t>
      </w:r>
    </w:p>
    <w:p>
      <w:pPr>
        <w:pStyle w:val="Heading2"/>
        <w:spacing w:after="160" w:before="280"/>
      </w:pPr>
      <w:r>
        <w:rPr>
          <w:rFonts w:ascii="Arial" w:cs="Arial" w:eastAsia="Arial" w:hAnsi="Arial"/>
          <w:b/>
          <w:bCs/>
          <w:sz w:val="28"/>
          <w:szCs w:val="28"/>
        </w:rPr>
        <w:t xml:space="preserve">2.1 What Heatmaps Show</w:t>
      </w:r>
    </w:p>
    <w:p>
      <w:pPr>
        <w:spacing w:after="120"/>
      </w:pPr>
      <w:r>
        <w:rPr>
          <w:rFonts w:ascii="Arial" w:cs="Arial" w:eastAsia="Arial" w:hAnsi="Arial"/>
          <w:sz w:val="22"/>
          <w:szCs w:val="22"/>
        </w:rPr>
        <w:t xml:space="preserve">Each heatmap displays the top consensus genes (rows) versus the treatment×region groups in which they are differentially expressed (columns). Colour intensity encodes the mean log2 fold-change: red indicates upregulation, blue indicates downregulation. A gene appearing in many columns is reproducibly affected across multiple experimental contexts.</w:t>
      </w:r>
    </w:p>
    <w:p>
      <w:pPr>
        <w:pStyle w:val="Heading2"/>
        <w:spacing w:after="160" w:before="280"/>
      </w:pPr>
      <w:r>
        <w:rPr>
          <w:rFonts w:ascii="Arial" w:cs="Arial" w:eastAsia="Arial" w:hAnsi="Arial"/>
          <w:b/>
          <w:bCs/>
          <w:sz w:val="28"/>
          <w:szCs w:val="28"/>
        </w:rPr>
        <w:t xml:space="preserve">2.2 Purpose</w:t>
      </w:r>
    </w:p>
    <w:p>
      <w:pPr>
        <w:spacing w:after="120"/>
      </w:pPr>
      <w:r>
        <w:rPr>
          <w:rFonts w:ascii="Arial" w:cs="Arial" w:eastAsia="Arial" w:hAnsi="Arial"/>
          <w:sz w:val="22"/>
          <w:szCs w:val="22"/>
        </w:rPr>
        <w:t xml:space="preserve">Heatmaps provide a global overview of transcriptomic changes, allowing rapid identification of (a) the most reproducible gene-level effects of GLP-1R agonism across CNS regions and (b) region- or treatment-specific expression patterns.</w:t>
      </w:r>
    </w:p>
    <w:p>
      <w:pPr>
        <w:pStyle w:val="Heading2"/>
        <w:spacing w:after="160" w:before="280"/>
      </w:pPr>
      <w:r>
        <w:rPr>
          <w:rFonts w:ascii="Arial" w:cs="Arial" w:eastAsia="Arial" w:hAnsi="Arial"/>
          <w:b/>
          <w:bCs/>
          <w:sz w:val="28"/>
          <w:szCs w:val="28"/>
        </w:rPr>
        <w:t xml:space="preserve">2.3 What the Data Show</w:t>
      </w:r>
    </w:p>
    <w:p>
      <w:pPr>
        <w:pStyle w:val="Heading3"/>
        <w:spacing w:after="120" w:before="200"/>
      </w:pPr>
      <w:r>
        <w:rPr>
          <w:rFonts w:ascii="Arial" w:cs="Arial" w:eastAsia="Arial" w:hAnsi="Arial"/>
          <w:b/>
          <w:bCs/>
          <w:sz w:val="24"/>
          <w:szCs w:val="24"/>
        </w:rPr>
        <w:t xml:space="preserve">LFC0 Heatmap (7,478 genes)</w:t>
      </w:r>
    </w:p>
    <w:p>
      <w:pPr>
        <w:spacing w:after="120"/>
      </w:pPr>
      <w:r>
        <w:rPr>
          <w:rFonts w:ascii="Arial" w:cs="Arial" w:eastAsia="Arial" w:hAnsi="Arial"/>
          <w:sz w:val="22"/>
          <w:szCs w:val="22"/>
        </w:rPr>
        <w:t xml:space="preserve">At the broadest threshold, Fkbp5 is the most reproducible gene, appearing in 11 of 26 groups. Fkbp5 is a co-chaperone for the glucocorticoid receptor and its consistent upregulation (mean log2FC = 0.75) suggests GLP-1R agonists broadly engage the HPA-axis stress response machinery across CNS regions. Other highly reproducible genes include Mertk (9 groups, mean log2FC = 1.21), a receptor tyrosine kinase involved in microglial phagocytosis and anti-inflammatory clearance, and Hif3a (9 groups, mean log2FC = 0.80), a hypoxia-responsive transcription factor. The wide spread of affected genes at this threshold reflects the broad transcriptomic footprint of GLP-1R signalling.</w:t>
      </w:r>
    </w:p>
    <w:p>
      <w:pPr>
        <w:pStyle w:val="Heading3"/>
        <w:spacing w:after="120" w:before="200"/>
      </w:pPr>
      <w:r>
        <w:rPr>
          <w:rFonts w:ascii="Arial" w:cs="Arial" w:eastAsia="Arial" w:hAnsi="Arial"/>
          <w:b/>
          <w:bCs/>
          <w:sz w:val="24"/>
          <w:szCs w:val="24"/>
        </w:rPr>
        <w:t xml:space="preserve">LFC0.5 Heatmap (820 genes)</w:t>
      </w:r>
    </w:p>
    <w:p>
      <w:pPr>
        <w:spacing w:after="120"/>
      </w:pPr>
      <w:r>
        <w:rPr>
          <w:rFonts w:ascii="Arial" w:cs="Arial" w:eastAsia="Arial" w:hAnsi="Arial"/>
          <w:sz w:val="22"/>
          <w:szCs w:val="22"/>
        </w:rPr>
        <w:t xml:space="preserve">With a moderate fold-change filter, the heatmap narrows to genes with more substantial expression changes. Fkbp5 and Hif3a remain at the top (8 and 7 groups respectively). Cdkn1a (p21) appears in 6 groups with a mean log2FC of 0.92, highlighting cell-cycle arrest and DNA damage response pathways. Plin4 (6 groups, mean log2FC = 1.51) points to lipid droplet metabolism, while Zbtb16 (6 groups) is a transcription factor linked to immune regulation and stem cell maintenance.</w:t>
      </w:r>
    </w:p>
    <w:p>
      <w:pPr>
        <w:pStyle w:val="Heading3"/>
        <w:spacing w:after="120" w:before="200"/>
      </w:pPr>
      <w:r>
        <w:rPr>
          <w:rFonts w:ascii="Arial" w:cs="Arial" w:eastAsia="Arial" w:hAnsi="Arial"/>
          <w:b/>
          <w:bCs/>
          <w:sz w:val="24"/>
          <w:szCs w:val="24"/>
        </w:rPr>
        <w:t xml:space="preserve">LFC1 Heatmap (283 genes)</w:t>
      </w:r>
    </w:p>
    <w:p>
      <w:pPr>
        <w:spacing w:after="120"/>
      </w:pPr>
      <w:r>
        <w:rPr>
          <w:rFonts w:ascii="Arial" w:cs="Arial" w:eastAsia="Arial" w:hAnsi="Arial"/>
          <w:sz w:val="22"/>
          <w:szCs w:val="22"/>
        </w:rPr>
        <w:t xml:space="preserve">The most stringent filter retains only large-effect genes. Plin4 (5 groups, mean log2FC = 1.64) and Nwd2 (4 groups, mean log2FC = 8.44) dominate. Nwd2 is a NACHT-domain protein with very high fold-changes in select regions, suggesting a potent but regionally restricted response. Cdkn1a persists at this threshold (4 groups, mean log2FC = 1.32), reinforcing its role as a core mediator of the GLP-1R-induced cell-cycle programme. Mgmt (3 groups, mean log2FC = 10.3), a DNA repair enzyme, shows extremely high induction in a subset of regions.</w:t>
      </w:r>
    </w:p>
    <w:p>
      <w:r>
        <w:br w:type="page"/>
      </w:r>
    </w:p>
    <w:p>
      <w:pPr>
        <w:pStyle w:val="Heading1"/>
        <w:spacing w:after="200" w:before="360"/>
      </w:pPr>
      <w:r>
        <w:rPr>
          <w:rFonts w:ascii="Arial" w:cs="Arial" w:eastAsia="Arial" w:hAnsi="Arial"/>
          <w:b/>
          <w:bCs/>
          <w:sz w:val="32"/>
          <w:szCs w:val="32"/>
        </w:rPr>
        <w:t xml:space="preserve">3. Consensus Gene Barplots</w:t>
      </w:r>
    </w:p>
    <w:p>
      <w:pPr>
        <w:pStyle w:val="Heading2"/>
        <w:spacing w:after="160" w:before="280"/>
      </w:pPr>
      <w:r>
        <w:rPr>
          <w:rFonts w:ascii="Arial" w:cs="Arial" w:eastAsia="Arial" w:hAnsi="Arial"/>
          <w:b/>
          <w:bCs/>
          <w:sz w:val="28"/>
          <w:szCs w:val="28"/>
        </w:rPr>
        <w:t xml:space="preserve">3.1 What Barplots Show</w:t>
      </w:r>
    </w:p>
    <w:p>
      <w:pPr>
        <w:spacing w:after="120"/>
      </w:pPr>
      <w:r>
        <w:rPr>
          <w:rFonts w:ascii="Arial" w:cs="Arial" w:eastAsia="Arial" w:hAnsi="Arial"/>
          <w:sz w:val="22"/>
          <w:szCs w:val="22"/>
        </w:rPr>
        <w:t xml:space="preserve">Barplots rank the top 20 consensus genes by the number of treatment×region groups in which they appear. Bar height encodes group count; bars are coloured by mean log2FC direction (red = upregulated, blue = downregulated).</w:t>
      </w:r>
    </w:p>
    <w:p>
      <w:pPr>
        <w:pStyle w:val="Heading2"/>
        <w:spacing w:after="160" w:before="280"/>
      </w:pPr>
      <w:r>
        <w:rPr>
          <w:rFonts w:ascii="Arial" w:cs="Arial" w:eastAsia="Arial" w:hAnsi="Arial"/>
          <w:b/>
          <w:bCs/>
          <w:sz w:val="28"/>
          <w:szCs w:val="28"/>
        </w:rPr>
        <w:t xml:space="preserve">3.2 Purpose</w:t>
      </w:r>
    </w:p>
    <w:p>
      <w:pPr>
        <w:spacing w:after="120"/>
      </w:pPr>
      <w:r>
        <w:rPr>
          <w:rFonts w:ascii="Arial" w:cs="Arial" w:eastAsia="Arial" w:hAnsi="Arial"/>
          <w:sz w:val="22"/>
          <w:szCs w:val="22"/>
        </w:rPr>
        <w:t xml:space="preserve">Barplots complement heatmaps by providing a simple ranking of the most reproducible gene-level effects, making it easy to communicate the top candidates to collaborators and reviewers.</w:t>
      </w:r>
    </w:p>
    <w:p>
      <w:pPr>
        <w:pStyle w:val="Heading2"/>
        <w:spacing w:after="160" w:before="280"/>
      </w:pPr>
      <w:r>
        <w:rPr>
          <w:rFonts w:ascii="Arial" w:cs="Arial" w:eastAsia="Arial" w:hAnsi="Arial"/>
          <w:b/>
          <w:bCs/>
          <w:sz w:val="28"/>
          <w:szCs w:val="28"/>
        </w:rPr>
        <w:t xml:space="preserve">3.3 What the Data Show</w:t>
      </w:r>
    </w:p>
    <w:p>
      <w:pPr>
        <w:spacing w:after="120"/>
      </w:pPr>
      <w:r>
        <w:rPr>
          <w:rFonts w:ascii="Arial" w:cs="Arial" w:eastAsia="Arial" w:hAnsi="Arial"/>
          <w:sz w:val="22"/>
          <w:szCs w:val="22"/>
        </w:rPr>
        <w:t xml:space="preserve">Across all thresholds, the barplots consistently place Fkbp5 at or near the top, confirming it as the most robust transcriptional target of GLP-1R agonism in the CNS. At LFC0, genes like Ids (8 groups), Xdh (8 groups), and Arrdc2 (8 groups) also rank highly. Ids is involved in glycosaminoglycan degradation in lysosomes, Xdh in purine catabolism and oxidative stress, and Arrdc2 in metabolic sensing through AMPK signalling. At LFC0.5 and LFC1, the list shifts toward higher-magnitude responders such as Acvr1c (mean log2FC = 4.4) and Kcnh5 (a voltage-gated potassium channel with mean log2FC = −1.1), demonstrating that the strongest expression changes involve both neuroprotective signalling molecules and ion channel regulators.</w:t>
      </w:r>
    </w:p>
    <w:p>
      <w:r>
        <w:br w:type="page"/>
      </w:r>
    </w:p>
    <w:p>
      <w:pPr>
        <w:pStyle w:val="Heading1"/>
        <w:spacing w:after="200" w:before="360"/>
      </w:pPr>
      <w:r>
        <w:rPr>
          <w:rFonts w:ascii="Arial" w:cs="Arial" w:eastAsia="Arial" w:hAnsi="Arial"/>
          <w:b/>
          <w:bCs/>
          <w:sz w:val="32"/>
          <w:szCs w:val="32"/>
        </w:rPr>
        <w:t xml:space="preserve">4. Enrichment Dotplots</w:t>
      </w:r>
    </w:p>
    <w:p>
      <w:pPr>
        <w:pStyle w:val="Heading2"/>
        <w:spacing w:after="160" w:before="280"/>
      </w:pPr>
      <w:r>
        <w:rPr>
          <w:rFonts w:ascii="Arial" w:cs="Arial" w:eastAsia="Arial" w:hAnsi="Arial"/>
          <w:b/>
          <w:bCs/>
          <w:sz w:val="28"/>
          <w:szCs w:val="28"/>
        </w:rPr>
        <w:t xml:space="preserve">4.1 What Dotplots Show</w:t>
      </w:r>
    </w:p>
    <w:p>
      <w:pPr>
        <w:spacing w:after="120"/>
      </w:pPr>
      <w:r>
        <w:rPr>
          <w:rFonts w:ascii="Arial" w:cs="Arial" w:eastAsia="Arial" w:hAnsi="Arial"/>
          <w:sz w:val="22"/>
          <w:szCs w:val="22"/>
        </w:rPr>
        <w:t xml:space="preserve">Each dotplot displays the top significantly enriched terms for a given database, ranked by adjusted p-value. Dot size encodes the number of overlapping genes (gene ratio) and dot colour encodes the –log10(adjusted p-value), with darker/redder dots indicating higher significance. A separate dotplot is generated for each combination of enrichment database and fold-change threshold.</w:t>
      </w:r>
    </w:p>
    <w:p>
      <w:pPr>
        <w:pStyle w:val="Heading2"/>
        <w:spacing w:after="160" w:before="280"/>
      </w:pPr>
      <w:r>
        <w:rPr>
          <w:rFonts w:ascii="Arial" w:cs="Arial" w:eastAsia="Arial" w:hAnsi="Arial"/>
          <w:b/>
          <w:bCs/>
          <w:sz w:val="28"/>
          <w:szCs w:val="28"/>
        </w:rPr>
        <w:t xml:space="preserve">4.2 Purpose</w:t>
      </w:r>
    </w:p>
    <w:p>
      <w:pPr>
        <w:spacing w:after="120"/>
      </w:pPr>
      <w:r>
        <w:rPr>
          <w:rFonts w:ascii="Arial" w:cs="Arial" w:eastAsia="Arial" w:hAnsi="Arial"/>
          <w:sz w:val="22"/>
          <w:szCs w:val="22"/>
        </w:rPr>
        <w:t xml:space="preserve">Dotplots are the standard method for visualising functional enrichment results. They allow comparison of term significance and gene coverage at a glance, guiding hypothesis generation about the biological pathways and cellular processes modulated by GLP-1R agonists.</w:t>
      </w:r>
    </w:p>
    <w:p>
      <w:pPr>
        <w:pStyle w:val="Heading2"/>
        <w:spacing w:after="160" w:before="280"/>
      </w:pPr>
      <w:r>
        <w:rPr>
          <w:rFonts w:ascii="Arial" w:cs="Arial" w:eastAsia="Arial" w:hAnsi="Arial"/>
          <w:b/>
          <w:bCs/>
          <w:sz w:val="28"/>
          <w:szCs w:val="28"/>
        </w:rPr>
        <w:t xml:space="preserve">4.3 What the Data Show</w:t>
      </w:r>
    </w:p>
    <w:p>
      <w:pPr>
        <w:pStyle w:val="Heading3"/>
        <w:spacing w:after="120" w:before="200"/>
      </w:pPr>
      <w:r>
        <w:rPr>
          <w:rFonts w:ascii="Arial" w:cs="Arial" w:eastAsia="Arial" w:hAnsi="Arial"/>
          <w:b/>
          <w:bCs/>
          <w:sz w:val="24"/>
          <w:szCs w:val="24"/>
        </w:rPr>
        <w:t xml:space="preserve">GO Biological Process</w:t>
      </w:r>
    </w:p>
    <w:p>
      <w:pPr>
        <w:spacing w:after="120"/>
      </w:pPr>
      <w:r>
        <w:rPr>
          <w:rFonts w:ascii="Arial" w:cs="Arial" w:eastAsia="Arial" w:hAnsi="Arial"/>
          <w:sz w:val="22"/>
          <w:szCs w:val="22"/>
        </w:rPr>
        <w:t xml:space="preserve">At LFC0 (440 significant terms), the dominant biological processes are translation and macromolecule biosynthesis (padj ~ 10⁻²⁶ to 10⁻²⁴), indicating that GLP-1R signalling has a major effect on protein synthesis machinery. Additional enriched processes include mitochondrial electron transport, oxidative phosphorylation, and synaptic signalling, reflecting the metabolic and neuronal impact of GLP-1R activation. At LFC0.5, cytoplasmic translation remains the top hit (padj = 9.1 × 10⁻¹²), alongside ribosome biogenesis and stress-response processes. The LFC1 threshold yields no significant GO_BP terms, consistent with the small gene set (283 genes) having insufficient statistical power for broad ontology enrichment.</w:t>
      </w:r>
    </w:p>
    <w:p>
      <w:pPr>
        <w:pStyle w:val="Heading3"/>
        <w:spacing w:after="120" w:before="200"/>
      </w:pPr>
      <w:r>
        <w:rPr>
          <w:rFonts w:ascii="Arial" w:cs="Arial" w:eastAsia="Arial" w:hAnsi="Arial"/>
          <w:b/>
          <w:bCs/>
          <w:sz w:val="24"/>
          <w:szCs w:val="24"/>
        </w:rPr>
        <w:t xml:space="preserve">GO Molecular Function</w:t>
      </w:r>
    </w:p>
    <w:p>
      <w:pPr>
        <w:spacing w:after="120"/>
      </w:pPr>
      <w:r>
        <w:rPr>
          <w:rFonts w:ascii="Arial" w:cs="Arial" w:eastAsia="Arial" w:hAnsi="Arial"/>
          <w:sz w:val="22"/>
          <w:szCs w:val="22"/>
        </w:rPr>
        <w:t xml:space="preserve">RNA binding is overwhelmingly the top molecular function at LFC0 (padj = 9.6 × 10⁻⁵¹), far exceeding the next terms (cadherin binding, protein serine/threonine kinase activity). This reflects the large number of RNA-binding proteins and ribosomal genes in the consensus set. At LFC0.5, oxidoreduction-driven transmembrane transporter activity and NADH dehydrogenase activity emerge, pointing to mitochondrial function as a key effector pathway.</w:t>
      </w:r>
    </w:p>
    <w:p>
      <w:pPr>
        <w:pStyle w:val="Heading3"/>
        <w:spacing w:after="120" w:before="200"/>
      </w:pPr>
      <w:r>
        <w:rPr>
          <w:rFonts w:ascii="Arial" w:cs="Arial" w:eastAsia="Arial" w:hAnsi="Arial"/>
          <w:b/>
          <w:bCs/>
          <w:sz w:val="24"/>
          <w:szCs w:val="24"/>
        </w:rPr>
        <w:t xml:space="preserve">GO Cellular Component</w:t>
      </w:r>
    </w:p>
    <w:p>
      <w:pPr>
        <w:spacing w:after="120"/>
      </w:pPr>
      <w:r>
        <w:rPr>
          <w:rFonts w:ascii="Arial" w:cs="Arial" w:eastAsia="Arial" w:hAnsi="Arial"/>
          <w:sz w:val="22"/>
          <w:szCs w:val="22"/>
        </w:rPr>
        <w:t xml:space="preserve">Intracellular membrane-bounded organelles, mitochondrial inner membrane, and ribosomal subunit components dominate the LFC0 results (127 significant terms). At LFC0.5, cytosolic large ribosomal subunit and mitochondrial membrane components remain enriched. These findings confirm that GLP-1R agonist effects converge on the translational apparatus and mitochondrial compartment.</w:t>
      </w:r>
    </w:p>
    <w:p>
      <w:pPr>
        <w:pStyle w:val="Heading3"/>
        <w:spacing w:after="120" w:before="200"/>
      </w:pPr>
      <w:r>
        <w:rPr>
          <w:rFonts w:ascii="Arial" w:cs="Arial" w:eastAsia="Arial" w:hAnsi="Arial"/>
          <w:b/>
          <w:bCs/>
          <w:sz w:val="24"/>
          <w:szCs w:val="24"/>
        </w:rPr>
        <w:t xml:space="preserve">KEGG Pathways</w:t>
      </w:r>
    </w:p>
    <w:p>
      <w:pPr>
        <w:spacing w:after="120"/>
      </w:pPr>
      <w:r>
        <w:rPr>
          <w:rFonts w:ascii="Arial" w:cs="Arial" w:eastAsia="Arial" w:hAnsi="Arial"/>
          <w:sz w:val="22"/>
          <w:szCs w:val="22"/>
        </w:rPr>
        <w:t xml:space="preserve">At LFC0 (113 significant terms), the top pathways include Ribosome (padj = 4.1 × 10⁻¹⁷), Pathways of neurodegeneration (padj = 1.9 × 10⁻¹⁶), and Huntington disease (padj = 1.6 × 10⁻¹⁴). Other enriched KEGG pathways include oxidative phosphorylation, Alzheimer disease, Parkinson disease, and thermogenesis. At LFC0.5, Ribosome and Coronavirus disease are the top hits. At LFC1, cholinergic synapse (padj = 0.02) and cGMP-PKG signalling (padj = 0.04) emerge as the only significant KEGG terms, pointing to neurotransmission and second messenger signalling among large-effect genes.</w:t>
      </w:r>
    </w:p>
    <w:p>
      <w:pPr>
        <w:pStyle w:val="Heading3"/>
        <w:spacing w:after="120" w:before="200"/>
      </w:pPr>
      <w:r>
        <w:rPr>
          <w:rFonts w:ascii="Arial" w:cs="Arial" w:eastAsia="Arial" w:hAnsi="Arial"/>
          <w:b/>
          <w:bCs/>
          <w:sz w:val="24"/>
          <w:szCs w:val="24"/>
        </w:rPr>
        <w:t xml:space="preserve">Reactome</w:t>
      </w:r>
    </w:p>
    <w:p>
      <w:pPr>
        <w:spacing w:after="120"/>
      </w:pPr>
      <w:r>
        <w:rPr>
          <w:rFonts w:ascii="Arial" w:cs="Arial" w:eastAsia="Arial" w:hAnsi="Arial"/>
          <w:sz w:val="22"/>
          <w:szCs w:val="22"/>
        </w:rPr>
        <w:t xml:space="preserve">Reactome yields the largest number of significant terms at LFC0 (521 terms). Metabolism of RNA, Axon Guidance, and Nervous System Development are all enriched at padj ~ 5 × 10⁻³². Translation-related pathways (peptide chain elongation, eukaryotic translation) dominate LFC0.5. At LFC1, NGF-stimulated transcription and Signalling by NTRKs are significant, linking large-effect genes to neurotrophin-mediated survival circuits.</w:t>
      </w:r>
    </w:p>
    <w:p>
      <w:r>
        <w:br w:type="page"/>
      </w:r>
    </w:p>
    <w:p>
      <w:pPr>
        <w:pStyle w:val="Heading1"/>
        <w:spacing w:after="200" w:before="360"/>
      </w:pPr>
      <w:r>
        <w:rPr>
          <w:rFonts w:ascii="Arial" w:cs="Arial" w:eastAsia="Arial" w:hAnsi="Arial"/>
          <w:b/>
          <w:bCs/>
          <w:sz w:val="32"/>
          <w:szCs w:val="32"/>
        </w:rPr>
        <w:t xml:space="preserve">5. Consensus-Based Cnet Plots</w:t>
      </w:r>
    </w:p>
    <w:p>
      <w:pPr>
        <w:pStyle w:val="Heading2"/>
        <w:spacing w:after="160" w:before="280"/>
      </w:pPr>
      <w:r>
        <w:rPr>
          <w:rFonts w:ascii="Arial" w:cs="Arial" w:eastAsia="Arial" w:hAnsi="Arial"/>
          <w:b/>
          <w:bCs/>
          <w:sz w:val="28"/>
          <w:szCs w:val="28"/>
        </w:rPr>
        <w:t xml:space="preserve">5.1 What Cnet Plots Show</w:t>
      </w:r>
    </w:p>
    <w:p>
      <w:pPr>
        <w:spacing w:after="120"/>
      </w:pPr>
      <w:r>
        <w:rPr>
          <w:rFonts w:ascii="Arial" w:cs="Arial" w:eastAsia="Arial" w:hAnsi="Arial"/>
          <w:sz w:val="22"/>
          <w:szCs w:val="22"/>
        </w:rPr>
        <w:t xml:space="preserve">A concept network (cnet) plot displays the relationship between enriched functional terms (coloured boxes) and the individual genes driving those enrichments (circular nodes). Edges connect each gene to every term whose gene set includes it. Gene node colour encodes mean log2FC (red = upregulated, blue = downregulated) and node size encodes degree (number of connected terms). Terms are selected via a greedy set-cover algorithm that maximises gene coverage across the top enriched terms from all five databases simultaneously.</w:t>
      </w:r>
    </w:p>
    <w:p>
      <w:pPr>
        <w:pStyle w:val="Heading2"/>
        <w:spacing w:after="160" w:before="280"/>
      </w:pPr>
      <w:r>
        <w:rPr>
          <w:rFonts w:ascii="Arial" w:cs="Arial" w:eastAsia="Arial" w:hAnsi="Arial"/>
          <w:b/>
          <w:bCs/>
          <w:sz w:val="28"/>
          <w:szCs w:val="28"/>
        </w:rPr>
        <w:t xml:space="preserve">5.2 Purpose</w:t>
      </w:r>
    </w:p>
    <w:p>
      <w:pPr>
        <w:spacing w:after="120"/>
      </w:pPr>
      <w:r>
        <w:rPr>
          <w:rFonts w:ascii="Arial" w:cs="Arial" w:eastAsia="Arial" w:hAnsi="Arial"/>
          <w:sz w:val="22"/>
          <w:szCs w:val="22"/>
        </w:rPr>
        <w:t xml:space="preserve">Cnet plots bridge the gap between gene-level and pathway-level results. They reveal which genes are shared across multiple pathways (hub genes), identify clusters of functionally related terms, and show the directionality of gene expression changes within each pathway context.</w:t>
      </w:r>
    </w:p>
    <w:p>
      <w:pPr>
        <w:pStyle w:val="Heading2"/>
        <w:spacing w:after="160" w:before="280"/>
      </w:pPr>
      <w:r>
        <w:rPr>
          <w:rFonts w:ascii="Arial" w:cs="Arial" w:eastAsia="Arial" w:hAnsi="Arial"/>
          <w:b/>
          <w:bCs/>
          <w:sz w:val="28"/>
          <w:szCs w:val="28"/>
        </w:rPr>
        <w:t xml:space="preserve">5.3 What the Data Show</w:t>
      </w:r>
    </w:p>
    <w:p>
      <w:pPr>
        <w:pStyle w:val="Heading3"/>
        <w:spacing w:after="120" w:before="200"/>
      </w:pPr>
      <w:r>
        <w:rPr>
          <w:rFonts w:ascii="Arial" w:cs="Arial" w:eastAsia="Arial" w:hAnsi="Arial"/>
          <w:b/>
          <w:bCs/>
          <w:sz w:val="24"/>
          <w:szCs w:val="24"/>
        </w:rPr>
        <w:t xml:space="preserve">LFC0 Consensus Cnet</w:t>
      </w:r>
    </w:p>
    <w:p>
      <w:pPr>
        <w:spacing w:after="120"/>
      </w:pPr>
      <w:r>
        <w:rPr>
          <w:rFonts w:ascii="Arial" w:cs="Arial" w:eastAsia="Arial" w:hAnsi="Arial"/>
          <w:sz w:val="22"/>
          <w:szCs w:val="22"/>
        </w:rPr>
        <w:t xml:space="preserve">The LFC0 cnet is densely connected, reflecting the large number of consensus genes (7,478) and enriched terms. Central hub genes include ribosomal proteins (Rpl and Rps family members) connecting translation-related GO terms to Reactome RNA metabolism pathways. Mitochondrial complex subunits (Ndufs, Cox, Atp5 families) form a second major hub linking oxidative phosphorylation across KEGG and Reactome. A third cluster involves synaptic and axon guidance genes connecting nervous system development terms. The plot demonstrates that GLP-1R agonism in the CNS coordinately regulates protein synthesis, mitochondrial energy production, and neuronal connectivity at the broadest detection level.</w:t>
      </w:r>
    </w:p>
    <w:p>
      <w:pPr>
        <w:pStyle w:val="Heading3"/>
        <w:spacing w:after="120" w:before="200"/>
      </w:pPr>
      <w:r>
        <w:rPr>
          <w:rFonts w:ascii="Arial" w:cs="Arial" w:eastAsia="Arial" w:hAnsi="Arial"/>
          <w:b/>
          <w:bCs/>
          <w:sz w:val="24"/>
          <w:szCs w:val="24"/>
        </w:rPr>
        <w:t xml:space="preserve">LFC0.5 Consensus Cnet</w:t>
      </w:r>
    </w:p>
    <w:p>
      <w:pPr>
        <w:spacing w:after="120"/>
      </w:pPr>
      <w:r>
        <w:rPr>
          <w:rFonts w:ascii="Arial" w:cs="Arial" w:eastAsia="Arial" w:hAnsi="Arial"/>
          <w:sz w:val="22"/>
          <w:szCs w:val="22"/>
        </w:rPr>
        <w:t xml:space="preserve">At moderate stringency, the network becomes more focused. Ribosomal genes still form the primary hub, but neurodegenerative disease pathways (Huntington, Alzheimer, Parkinson from KEGG) become more prominent, connected through shared mitochondrial and proteasomal genes. The directionality of gene nodes shows a mix of up- and downregulation, suggesting pathway-level rebalancing rather than uniform activation or repression.</w:t>
      </w:r>
    </w:p>
    <w:p>
      <w:pPr>
        <w:pStyle w:val="Heading3"/>
        <w:spacing w:after="120" w:before="200"/>
      </w:pPr>
      <w:r>
        <w:rPr>
          <w:rFonts w:ascii="Arial" w:cs="Arial" w:eastAsia="Arial" w:hAnsi="Arial"/>
          <w:b/>
          <w:bCs/>
          <w:sz w:val="24"/>
          <w:szCs w:val="24"/>
        </w:rPr>
        <w:t xml:space="preserve">LFC1 Consensus Cnet</w:t>
      </w:r>
    </w:p>
    <w:p>
      <w:pPr>
        <w:spacing w:after="120"/>
      </w:pPr>
      <w:r>
        <w:rPr>
          <w:rFonts w:ascii="Arial" w:cs="Arial" w:eastAsia="Arial" w:hAnsi="Arial"/>
          <w:sz w:val="22"/>
          <w:szCs w:val="22"/>
        </w:rPr>
        <w:t xml:space="preserve">The stringent threshold produces a sparse but interpretable network. Cholinergic synapse and cGMP-PKG signalling from KEGG connect through ion channel and kinase genes. NGF-stimulated transcription from Reactome links to survival-pathway genes. This high-confidence cnet highlights the core effector modules of GLP-1R agonism: neurotransmission, second messenger signalling, and neurotrophin-mediated survival.</w:t>
      </w:r>
    </w:p>
    <w:p>
      <w:r>
        <w:br w:type="page"/>
      </w:r>
    </w:p>
    <w:p>
      <w:pPr>
        <w:pStyle w:val="Heading1"/>
        <w:spacing w:after="200" w:before="360"/>
      </w:pPr>
      <w:r>
        <w:rPr>
          <w:rFonts w:ascii="Arial" w:cs="Arial" w:eastAsia="Arial" w:hAnsi="Arial"/>
          <w:b/>
          <w:bCs/>
          <w:sz w:val="32"/>
          <w:szCs w:val="32"/>
        </w:rPr>
        <w:t xml:space="preserve">6. Specific Pathway Cnet Plots</w:t>
      </w:r>
    </w:p>
    <w:p>
      <w:pPr>
        <w:spacing w:after="120"/>
      </w:pPr>
      <w:r>
        <w:rPr>
          <w:rFonts w:ascii="Arial" w:cs="Arial" w:eastAsia="Arial" w:hAnsi="Arial"/>
          <w:sz w:val="22"/>
          <w:szCs w:val="22"/>
        </w:rPr>
        <w:t xml:space="preserve">Three targeted cnet plots were built using curated gene lists from the GLP-1R pathway reference document, combined with keyword-filtered enrichment terms. These plots focus the analysis on biologically motivated pathways of interest.</w:t>
      </w:r>
    </w:p>
    <w:p>
      <w:pPr>
        <w:pStyle w:val="Heading2"/>
        <w:spacing w:after="160" w:before="280"/>
      </w:pPr>
      <w:r>
        <w:rPr>
          <w:rFonts w:ascii="Arial" w:cs="Arial" w:eastAsia="Arial" w:hAnsi="Arial"/>
          <w:b/>
          <w:bCs/>
          <w:sz w:val="28"/>
          <w:szCs w:val="28"/>
        </w:rPr>
        <w:t xml:space="preserve">6.1 Blood-Brain Barrier (BBB) Cnet</w:t>
      </w:r>
    </w:p>
    <w:p>
      <w:pPr>
        <w:spacing w:after="120"/>
      </w:pPr>
      <w:r>
        <w:rPr>
          <w:rFonts w:ascii="Arial" w:cs="Arial" w:eastAsia="Arial" w:hAnsi="Arial"/>
          <w:sz w:val="22"/>
          <w:szCs w:val="22"/>
        </w:rPr>
        <w:t xml:space="preserve">The BBB cnet uses 44 curated genes spanning tight junctions (Cldn5, Tjp1, Ocln), adherens junctions (Cdh5, Ctnnb1), transporters (Slc2a1, Abcb1b, Tfrc, Lrp1), matrix metalloproteinases (Mmp2, Mmp9, Mmp14, Mmp16, Mmp25), basement membrane components (Nid1, Lamc1, Fn1), and endothelial signalling molecules (Vegfa, Kdr, Nos3, Pecam1).</w:t>
      </w:r>
    </w:p>
    <w:p>
      <w:pPr>
        <w:spacing w:after="120"/>
      </w:pPr>
      <w:r>
        <w:rPr>
          <w:rFonts w:ascii="Arial" w:cs="Arial" w:eastAsia="Arial" w:hAnsi="Arial"/>
          <w:sz w:val="22"/>
          <w:szCs w:val="22"/>
        </w:rPr>
        <w:t xml:space="preserve">At LFC0, the BBB cnet reveals that the majority of these genes are consensus-level differentially expressed. Key observations include: Vegfa shows upregulation and connects to angiogenesis, focal adhesion, and HIF-1 signalling terms; Mmp2 and Mmp9 link to extracellular matrix degradation and leukocyte migration terms; tight junction genes (Cldn5, Tjp1) connect to cell junction and barrier-related GO terms. At LFC0.5, the network narrows to the most responsive BBB genes. At LFC1, only genes with large fold-changes remain, primarily matrix remodelling and signalling molecules.</w:t>
      </w:r>
    </w:p>
    <w:p>
      <w:pPr>
        <w:pStyle w:val="Heading2"/>
        <w:spacing w:after="160" w:before="280"/>
      </w:pPr>
      <w:r>
        <w:rPr>
          <w:rFonts w:ascii="Arial" w:cs="Arial" w:eastAsia="Arial" w:hAnsi="Arial"/>
          <w:b/>
          <w:bCs/>
          <w:sz w:val="28"/>
          <w:szCs w:val="28"/>
        </w:rPr>
        <w:t xml:space="preserve">6.2 JAK-STAT3 + PI3K/Akt (Inflammatory/Survival) Cnet</w:t>
      </w:r>
    </w:p>
    <w:p>
      <w:pPr>
        <w:spacing w:after="120"/>
      </w:pPr>
      <w:r>
        <w:rPr>
          <w:rFonts w:ascii="Arial" w:cs="Arial" w:eastAsia="Arial" w:hAnsi="Arial"/>
          <w:sz w:val="22"/>
          <w:szCs w:val="22"/>
        </w:rPr>
        <w:t xml:space="preserve">This combined pathway cnet merges 96 unique genes from the JAK-STAT3 inflammatory cascade and the PI3K/Akt pro-survival pathway. Key gene families include: JAK/STAT components (Jak1, Stat1, Socs3, Socs5), cytokine receptors (Il1r1, Il6ra, Il6st, Lifr, Osmr), PI3K subunits (Pik3ca, Pik3r1, Pik3cb, Pik3cg), Akt pathway members (Akt1, Akt3, Pdpk1, Mtor), FOXO transcription factors (Foxo1, Foxo3, Foxo4, Foxo6), and apoptosis regulators (Bcl2l1, Bad, Bax, Mcl1, Xiap).</w:t>
      </w:r>
    </w:p>
    <w:p>
      <w:pPr>
        <w:spacing w:after="120"/>
      </w:pPr>
      <w:r>
        <w:rPr>
          <w:rFonts w:ascii="Arial" w:cs="Arial" w:eastAsia="Arial" w:hAnsi="Arial"/>
          <w:sz w:val="22"/>
          <w:szCs w:val="22"/>
        </w:rPr>
        <w:t xml:space="preserve">At LFC0, this is the most densely connected specific cnet, with genes like Akt1 and Mapk1 serving as high-degree hubs connecting JAK-STAT, PI3K-Akt, mTOR, FOXO, and apoptosis-related terms. Cdkn1a (p21) connects cell cycle and survival terms. The network illustrates how GLP-1R signalling simultaneously engages inflammatory resolution (via JAK-STAT modulation) and pro-survival signalling (via PI3K/Akt/mTOR). At higher thresholds, the hub structure is preserved but focused on the most responsive nodes: Egfr, Fgfr1, and Socs3 remain connected across multiple terms.</w:t>
      </w:r>
    </w:p>
    <w:p>
      <w:pPr>
        <w:pStyle w:val="Heading2"/>
        <w:spacing w:after="160" w:before="280"/>
      </w:pPr>
      <w:r>
        <w:rPr>
          <w:rFonts w:ascii="Arial" w:cs="Arial" w:eastAsia="Arial" w:hAnsi="Arial"/>
          <w:b/>
          <w:bCs/>
          <w:sz w:val="28"/>
          <w:szCs w:val="28"/>
        </w:rPr>
        <w:t xml:space="preserve">6.3 Ion Channel Cnet</w:t>
      </w:r>
    </w:p>
    <w:p>
      <w:pPr>
        <w:spacing w:after="120"/>
      </w:pPr>
      <w:r>
        <w:rPr>
          <w:rFonts w:ascii="Arial" w:cs="Arial" w:eastAsia="Arial" w:hAnsi="Arial"/>
          <w:sz w:val="22"/>
          <w:szCs w:val="22"/>
        </w:rPr>
        <w:t xml:space="preserve">The ion channel cnet includes 66 curated genes spanning voltage-gated potassium channels (Kcnma1, Kcnj11, Kcnh5, Kcnb1, Kcnk2), sodium channels (Scn1a, Scn2a, Scn3a, Scn9a), calcium channels (Cacna1c, Cacna2d1, Cacnb4), glutamate receptors (Gria1, Gria2, Grin1, Grin2a, Grik1, Grik2), GABA receptors (Gabra1, Gabrb3), TRP channels (Trpv1, Trpm8, Trpc6), HCN channels (Hcn1, Hcn2), and chloride channels (Clcn5).</w:t>
      </w:r>
    </w:p>
    <w:p>
      <w:pPr>
        <w:spacing w:after="120"/>
      </w:pPr>
      <w:r>
        <w:rPr>
          <w:rFonts w:ascii="Arial" w:cs="Arial" w:eastAsia="Arial" w:hAnsi="Arial"/>
          <w:sz w:val="22"/>
          <w:szCs w:val="22"/>
        </w:rPr>
        <w:t xml:space="preserve">At LFC0, the ion channel cnet connects these genes to synaptic transmission, postsynaptic membrane, ion transmembrane transport, and glutamatergic/GABAergic synapse terms. Notably, many glutamate receptor subunits show downregulation (blue nodes), while certain potassium channels show upregulation, suggesting GLP-1R agonists may modulate excitatory/inhibitory balance. At LFC0.5, Kcnh5 (mean log2FC = −1.1) and Scn2a are among the most prominent nodes. The LFC1 threshold was too stringent for meaningful ion channel analysis (only 3 qualifying genes).</w:t>
      </w:r>
    </w:p>
    <w:p>
      <w:r>
        <w:br w:type="page"/>
      </w:r>
    </w:p>
    <w:p>
      <w:pPr>
        <w:pStyle w:val="Heading1"/>
        <w:spacing w:after="200" w:before="360"/>
      </w:pPr>
      <w:r>
        <w:rPr>
          <w:rFonts w:ascii="Arial" w:cs="Arial" w:eastAsia="Arial" w:hAnsi="Arial"/>
          <w:b/>
          <w:bCs/>
          <w:sz w:val="32"/>
          <w:szCs w:val="32"/>
        </w:rPr>
        <w:t xml:space="preserve">7. Pathway-Based Cnet Plots</w:t>
      </w:r>
    </w:p>
    <w:p>
      <w:pPr>
        <w:pStyle w:val="Heading2"/>
        <w:spacing w:after="160" w:before="280"/>
      </w:pPr>
      <w:r>
        <w:rPr>
          <w:rFonts w:ascii="Arial" w:cs="Arial" w:eastAsia="Arial" w:hAnsi="Arial"/>
          <w:b/>
          <w:bCs/>
          <w:sz w:val="28"/>
          <w:szCs w:val="28"/>
        </w:rPr>
        <w:t xml:space="preserve">7.1 What These Show</w:t>
      </w:r>
    </w:p>
    <w:p>
      <w:pPr>
        <w:spacing w:after="120"/>
      </w:pPr>
      <w:r>
        <w:rPr>
          <w:rFonts w:ascii="Arial" w:cs="Arial" w:eastAsia="Arial" w:hAnsi="Arial"/>
          <w:sz w:val="22"/>
          <w:szCs w:val="22"/>
        </w:rPr>
        <w:t xml:space="preserve">In addition to the specific pathway cnets (Section 6), a second set of pathway-based cnets was generated for three pathways: BBB/MMP, JAK-STAT3 Inflammatory, and Akt/PI3K Pro-Survival. These use the same curated gene lists but with independent enrichment filtering, producing complementary views of each pathway.</w:t>
      </w:r>
    </w:p>
    <w:p>
      <w:pPr>
        <w:pStyle w:val="Heading2"/>
        <w:spacing w:after="160" w:before="280"/>
      </w:pPr>
      <w:r>
        <w:rPr>
          <w:rFonts w:ascii="Arial" w:cs="Arial" w:eastAsia="Arial" w:hAnsi="Arial"/>
          <w:b/>
          <w:bCs/>
          <w:sz w:val="28"/>
          <w:szCs w:val="28"/>
        </w:rPr>
        <w:t xml:space="preserve">7.2 Key Differences from Section 6</w:t>
      </w:r>
    </w:p>
    <w:p>
      <w:pPr>
        <w:spacing w:after="120"/>
      </w:pPr>
      <w:r>
        <w:rPr>
          <w:rFonts w:ascii="Arial" w:cs="Arial" w:eastAsia="Arial" w:hAnsi="Arial"/>
          <w:sz w:val="22"/>
          <w:szCs w:val="22"/>
        </w:rPr>
        <w:t xml:space="preserve">The Section 6 plots use broader keyword filters to capture all enrichment terms tangentially related to a pathway, while the Section 7 plots use the same gene lists with more focused term selection. Both approaches converge on the same core biology but may highlight different peripheral connections.</w:t>
      </w:r>
    </w:p>
    <w:p>
      <w:pPr>
        <w:pStyle w:val="Heading2"/>
        <w:spacing w:after="160" w:before="280"/>
      </w:pPr>
      <w:r>
        <w:rPr>
          <w:rFonts w:ascii="Arial" w:cs="Arial" w:eastAsia="Arial" w:hAnsi="Arial"/>
          <w:b/>
          <w:bCs/>
          <w:sz w:val="28"/>
          <w:szCs w:val="28"/>
        </w:rPr>
        <w:t xml:space="preserve">7.3 What the Data Show</w:t>
      </w:r>
    </w:p>
    <w:p>
      <w:pPr>
        <w:spacing w:after="120"/>
      </w:pPr>
      <w:r>
        <w:rPr>
          <w:rFonts w:ascii="Arial" w:cs="Arial" w:eastAsia="Arial" w:hAnsi="Arial"/>
          <w:sz w:val="22"/>
          <w:szCs w:val="22"/>
        </w:rPr>
        <w:t xml:space="preserve">The BBB/MMP pathway cnet emphasises matrix metalloproteinase activity, with Mmp2 and Mmp9 as central hubs connecting to extracellular matrix organisation, collagen degradation, and basement membrane terms. The JAK-STAT3 cnet highlights cytokine signalling and interleukin receptor pathways. The Akt/PI3K cnet centres on mTOR signalling, autophagy (Ulk1, Ulk2, Becn1), and FOXO-mediated transcription. Together these three networks map the major downstream effector arms of GLP-1R signalling in the CNS.</w:t>
      </w:r>
    </w:p>
    <w:p>
      <w:r>
        <w:br w:type="page"/>
      </w:r>
    </w:p>
    <w:p>
      <w:pPr>
        <w:pStyle w:val="Heading1"/>
        <w:spacing w:after="200" w:before="360"/>
      </w:pPr>
      <w:r>
        <w:rPr>
          <w:rFonts w:ascii="Arial" w:cs="Arial" w:eastAsia="Arial" w:hAnsi="Arial"/>
          <w:b/>
          <w:bCs/>
          <w:sz w:val="32"/>
          <w:szCs w:val="32"/>
        </w:rPr>
        <w:t xml:space="preserve">8. STRING Protein-Protein Interaction Networks</w:t>
      </w:r>
    </w:p>
    <w:p>
      <w:pPr>
        <w:pStyle w:val="Heading2"/>
        <w:spacing w:after="160" w:before="280"/>
      </w:pPr>
      <w:r>
        <w:rPr>
          <w:rFonts w:ascii="Arial" w:cs="Arial" w:eastAsia="Arial" w:hAnsi="Arial"/>
          <w:b/>
          <w:bCs/>
          <w:sz w:val="28"/>
          <w:szCs w:val="28"/>
        </w:rPr>
        <w:t xml:space="preserve">8.1 What STRING Plots Show</w:t>
      </w:r>
    </w:p>
    <w:p>
      <w:pPr>
        <w:spacing w:after="120"/>
      </w:pPr>
      <w:r>
        <w:rPr>
          <w:rFonts w:ascii="Arial" w:cs="Arial" w:eastAsia="Arial" w:hAnsi="Arial"/>
          <w:sz w:val="22"/>
          <w:szCs w:val="22"/>
        </w:rPr>
        <w:t xml:space="preserve">STRING (Search Tool for the Retrieval of Interacting Genes/Proteins) maps known and predicted protein-protein interactions. Each node represents a protein; edges represent interactions supported by experimental evidence, co-expression, text mining, or database annotations. Edge thickness reflects confidence score (medium confidence threshold: combined score ≥ 400). Protein clusters indicate functional modules.</w:t>
      </w:r>
    </w:p>
    <w:p>
      <w:pPr>
        <w:pStyle w:val="Heading2"/>
        <w:spacing w:after="160" w:before="280"/>
      </w:pPr>
      <w:r>
        <w:rPr>
          <w:rFonts w:ascii="Arial" w:cs="Arial" w:eastAsia="Arial" w:hAnsi="Arial"/>
          <w:b/>
          <w:bCs/>
          <w:sz w:val="28"/>
          <w:szCs w:val="28"/>
        </w:rPr>
        <w:t xml:space="preserve">8.2 Purpose</w:t>
      </w:r>
    </w:p>
    <w:p>
      <w:pPr>
        <w:spacing w:after="120"/>
      </w:pPr>
      <w:r>
        <w:rPr>
          <w:rFonts w:ascii="Arial" w:cs="Arial" w:eastAsia="Arial" w:hAnsi="Arial"/>
          <w:sz w:val="22"/>
          <w:szCs w:val="22"/>
        </w:rPr>
        <w:t xml:space="preserve">STRING plots complement enrichment analysis by showing physical and functional relationships between gene products. Dense clusters indicate protein complexes or signalling cascades that function as coordinated units. Isolated nodes represent genes without strong interaction evidence in the current context.</w:t>
      </w:r>
    </w:p>
    <w:p>
      <w:pPr>
        <w:pStyle w:val="Heading2"/>
        <w:spacing w:after="160" w:before="280"/>
      </w:pPr>
      <w:r>
        <w:rPr>
          <w:rFonts w:ascii="Arial" w:cs="Arial" w:eastAsia="Arial" w:hAnsi="Arial"/>
          <w:b/>
          <w:bCs/>
          <w:sz w:val="28"/>
          <w:szCs w:val="28"/>
        </w:rPr>
        <w:t xml:space="preserve">8.3 What the Data Show</w:t>
      </w:r>
    </w:p>
    <w:p>
      <w:pPr>
        <w:pStyle w:val="Heading3"/>
        <w:spacing w:after="120" w:before="200"/>
      </w:pPr>
      <w:r>
        <w:rPr>
          <w:rFonts w:ascii="Arial" w:cs="Arial" w:eastAsia="Arial" w:hAnsi="Arial"/>
          <w:b/>
          <w:bCs/>
          <w:sz w:val="24"/>
          <w:szCs w:val="24"/>
        </w:rPr>
        <w:t xml:space="preserve">Consensus Gene STRING Networks</w:t>
      </w:r>
    </w:p>
    <w:p>
      <w:pPr>
        <w:spacing w:after="120"/>
      </w:pPr>
      <w:r>
        <w:rPr>
          <w:rFonts w:ascii="Arial" w:cs="Arial" w:eastAsia="Arial" w:hAnsi="Arial"/>
          <w:sz w:val="22"/>
          <w:szCs w:val="22"/>
        </w:rPr>
        <w:t xml:space="preserve">The LFC0 consensus STRING network (7,478 genes) reveals massive interconnectivity, with the ribosomal protein complex forming the densest cluster. Mitochondrial respiratory chain complexes form a second major module. Synaptic proteins, kinase cascades, and proteasomal subunits form additional identifiable clusters. At LFC0.5 (820 genes), the ribosomal cluster remains dominant but the overall network is more tractable, with clearer separation between functional modules. At LFC1 (283 genes), the network is sparse but shows tight clustering around neurotrophin signalling and ion channel modules.</w:t>
      </w:r>
    </w:p>
    <w:p>
      <w:pPr>
        <w:pStyle w:val="Heading3"/>
        <w:spacing w:after="120" w:before="200"/>
      </w:pPr>
      <w:r>
        <w:rPr>
          <w:rFonts w:ascii="Arial" w:cs="Arial" w:eastAsia="Arial" w:hAnsi="Arial"/>
          <w:b/>
          <w:bCs/>
          <w:sz w:val="24"/>
          <w:szCs w:val="24"/>
        </w:rPr>
        <w:t xml:space="preserve">BBB Pathway STRING Networks</w:t>
      </w:r>
    </w:p>
    <w:p>
      <w:pPr>
        <w:spacing w:after="120"/>
      </w:pPr>
      <w:r>
        <w:rPr>
          <w:rFonts w:ascii="Arial" w:cs="Arial" w:eastAsia="Arial" w:hAnsi="Arial"/>
          <w:sz w:val="22"/>
          <w:szCs w:val="22"/>
        </w:rPr>
        <w:t xml:space="preserve">The BBB STRING networks show tight clustering of tight junction proteins (Cldn5-Tjp1-Ocln-F11r), a separate MMP cluster (Mmp2-Mmp9-Mmp14-Mmp16), and an endothelial signalling cluster (Vegfa-Kdr-Nos3-Pecam1). Notably, Vegfa serves as a bridge between the endothelial and MMP clusters, consistent with its known role in BBB permeability regulation.</w:t>
      </w:r>
    </w:p>
    <w:p>
      <w:pPr>
        <w:pStyle w:val="Heading3"/>
        <w:spacing w:after="120" w:before="200"/>
      </w:pPr>
      <w:r>
        <w:rPr>
          <w:rFonts w:ascii="Arial" w:cs="Arial" w:eastAsia="Arial" w:hAnsi="Arial"/>
          <w:b/>
          <w:bCs/>
          <w:sz w:val="24"/>
          <w:szCs w:val="24"/>
        </w:rPr>
        <w:t xml:space="preserve">Inflammatory/Survival Pathway STRING Networks</w:t>
      </w:r>
    </w:p>
    <w:p>
      <w:pPr>
        <w:spacing w:after="120"/>
      </w:pPr>
      <w:r>
        <w:rPr>
          <w:rFonts w:ascii="Arial" w:cs="Arial" w:eastAsia="Arial" w:hAnsi="Arial"/>
          <w:sz w:val="22"/>
          <w:szCs w:val="22"/>
        </w:rPr>
        <w:t xml:space="preserve">The JAK-STAT3 + PI3K/Akt STRING network is highly interconnected, reflecting the extensive crosstalk between these cascades. The PI3K-Akt-mTOR axis forms a dense core connected to FOXO transcription factors on one side and apoptosis regulators on the other. JAK-STAT components cluster separately but connect through shared nodes (Akt1, Mapk1). This architecture confirms that GLP-1R agonist effects on inflammation and survival are mediated through a tightly integrated signalling network rather than independent pathways.</w:t>
      </w:r>
    </w:p>
    <w:p>
      <w:pPr>
        <w:pStyle w:val="Heading3"/>
        <w:spacing w:after="120" w:before="200"/>
      </w:pPr>
      <w:r>
        <w:rPr>
          <w:rFonts w:ascii="Arial" w:cs="Arial" w:eastAsia="Arial" w:hAnsi="Arial"/>
          <w:b/>
          <w:bCs/>
          <w:sz w:val="24"/>
          <w:szCs w:val="24"/>
        </w:rPr>
        <w:t xml:space="preserve">Ion Channel STRING Networks</w:t>
      </w:r>
    </w:p>
    <w:p>
      <w:pPr>
        <w:spacing w:after="120"/>
      </w:pPr>
      <w:r>
        <w:rPr>
          <w:rFonts w:ascii="Arial" w:cs="Arial" w:eastAsia="Arial" w:hAnsi="Arial"/>
          <w:sz w:val="22"/>
          <w:szCs w:val="22"/>
        </w:rPr>
        <w:t xml:space="preserve">The ion channel STRING networks reveal distinct subclusters: glutamate receptor subunits form a tight cluster (Gria1-Gria2-Grin1-Grin2a), as do potassium channels (Kcnma1-Kcnj11-Kcnb1) and sodium channels (Scn1a-Scn2a-Scn3a). GABA receptor subunits cluster together. Cross-cluster edges suggest functional coupling between channel families, particularly between glutamate receptors and potassium channels, which is consistent with their coordinated role in synaptic transmission and neuronal excitability.</w:t>
      </w:r>
    </w:p>
    <w:p>
      <w:r>
        <w:br w:type="page"/>
      </w:r>
    </w:p>
    <w:p>
      <w:pPr>
        <w:pStyle w:val="Heading1"/>
        <w:spacing w:after="200" w:before="360"/>
      </w:pPr>
      <w:r>
        <w:rPr>
          <w:rFonts w:ascii="Arial" w:cs="Arial" w:eastAsia="Arial" w:hAnsi="Arial"/>
          <w:b/>
          <w:bCs/>
          <w:sz w:val="32"/>
          <w:szCs w:val="32"/>
        </w:rPr>
        <w:t xml:space="preserve">9. Integrated Synthesis</w:t>
      </w:r>
    </w:p>
    <w:p>
      <w:pPr>
        <w:spacing w:after="120"/>
      </w:pPr>
      <w:r>
        <w:rPr>
          <w:rFonts w:ascii="Arial" w:cs="Arial" w:eastAsia="Arial" w:hAnsi="Arial"/>
          <w:sz w:val="22"/>
          <w:szCs w:val="22"/>
        </w:rPr>
        <w:t xml:space="preserve">Combining evidence from all plot types and thresholds, seven convergent themes emerge from this meta-analysis:</w:t>
      </w:r>
    </w:p>
    <w:p>
      <w:pPr>
        <w:pStyle w:val="Heading2"/>
        <w:spacing w:after="160" w:before="280"/>
      </w:pPr>
      <w:r>
        <w:rPr>
          <w:rFonts w:ascii="Arial" w:cs="Arial" w:eastAsia="Arial" w:hAnsi="Arial"/>
          <w:b/>
          <w:bCs/>
          <w:sz w:val="28"/>
          <w:szCs w:val="28"/>
        </w:rPr>
        <w:t xml:space="preserve">Theme 1: Translational Machinery</w:t>
      </w:r>
    </w:p>
    <w:p>
      <w:pPr>
        <w:spacing w:after="120"/>
      </w:pPr>
      <w:r>
        <w:rPr>
          <w:rFonts w:ascii="Arial" w:cs="Arial" w:eastAsia="Arial" w:hAnsi="Arial"/>
          <w:sz w:val="22"/>
          <w:szCs w:val="22"/>
        </w:rPr>
        <w:t xml:space="preserve">GLP-1R agonists consistently upregulate ribosomal proteins and translational regulators across CNS regions. This is the single strongest signal in the data, appearing as the top enriched term in GO_BP, GO_CC, KEGG, and Reactome at both LFC0 and LFC0.5. The STRING networks confirm that these genes form a tight physical complex. This suggests GLP-1R signalling enhances protein synthesis capacity in the CNS, which may support neuronal plasticity and repair.</w:t>
      </w:r>
    </w:p>
    <w:p>
      <w:pPr>
        <w:pStyle w:val="Heading2"/>
        <w:spacing w:after="160" w:before="280"/>
      </w:pPr>
      <w:r>
        <w:rPr>
          <w:rFonts w:ascii="Arial" w:cs="Arial" w:eastAsia="Arial" w:hAnsi="Arial"/>
          <w:b/>
          <w:bCs/>
          <w:sz w:val="28"/>
          <w:szCs w:val="28"/>
        </w:rPr>
        <w:t xml:space="preserve">Theme 2: Mitochondrial Bioenergetics</w:t>
      </w:r>
    </w:p>
    <w:p>
      <w:pPr>
        <w:spacing w:after="120"/>
      </w:pPr>
      <w:r>
        <w:rPr>
          <w:rFonts w:ascii="Arial" w:cs="Arial" w:eastAsia="Arial" w:hAnsi="Arial"/>
          <w:sz w:val="22"/>
          <w:szCs w:val="22"/>
        </w:rPr>
        <w:t xml:space="preserve">Oxidative phosphorylation components (NADH dehydrogenase, cytochrome c oxidase, ATP synthase subunits) are reproducibly affected. This appears across GO_MF, GO_CC, KEGG, and Reactome enrichments and in the STRING mitochondrial module. Enhanced mitochondrial function may underlie the neuroprotective effects observed in preclinical GLP-1R agonist studies.</w:t>
      </w:r>
    </w:p>
    <w:p>
      <w:pPr>
        <w:pStyle w:val="Heading2"/>
        <w:spacing w:after="160" w:before="280"/>
      </w:pPr>
      <w:r>
        <w:rPr>
          <w:rFonts w:ascii="Arial" w:cs="Arial" w:eastAsia="Arial" w:hAnsi="Arial"/>
          <w:b/>
          <w:bCs/>
          <w:sz w:val="28"/>
          <w:szCs w:val="28"/>
        </w:rPr>
        <w:t xml:space="preserve">Theme 3: Neurodegeneration and Neuroprotection</w:t>
      </w:r>
    </w:p>
    <w:p>
      <w:pPr>
        <w:spacing w:after="120"/>
      </w:pPr>
      <w:r>
        <w:rPr>
          <w:rFonts w:ascii="Arial" w:cs="Arial" w:eastAsia="Arial" w:hAnsi="Arial"/>
          <w:sz w:val="22"/>
          <w:szCs w:val="22"/>
        </w:rPr>
        <w:t xml:space="preserve">KEGG pathways for Alzheimer, Parkinson, and Huntington disease are all enriched, sharing many genes with the oxidative phosphorylation and proteasomal gene sets. This does not mean GLP-1R agonists cause neurodegeneration; rather, the genes annotated in these disease pathways are being modulated, potentially in a protective direction. The enrichment of neurotrophin signalling (NGF, NTRKs) at LFC1 further supports a neuroprotective interpretation.</w:t>
      </w:r>
    </w:p>
    <w:p>
      <w:pPr>
        <w:pStyle w:val="Heading2"/>
        <w:spacing w:after="160" w:before="280"/>
      </w:pPr>
      <w:r>
        <w:rPr>
          <w:rFonts w:ascii="Arial" w:cs="Arial" w:eastAsia="Arial" w:hAnsi="Arial"/>
          <w:b/>
          <w:bCs/>
          <w:sz w:val="28"/>
          <w:szCs w:val="28"/>
        </w:rPr>
        <w:t xml:space="preserve">Theme 4: Blood-Brain Barrier Remodelling</w:t>
      </w:r>
    </w:p>
    <w:p>
      <w:pPr>
        <w:spacing w:after="120"/>
      </w:pPr>
      <w:r>
        <w:rPr>
          <w:rFonts w:ascii="Arial" w:cs="Arial" w:eastAsia="Arial" w:hAnsi="Arial"/>
          <w:sz w:val="22"/>
          <w:szCs w:val="22"/>
        </w:rPr>
        <w:t xml:space="preserve">The BBB-specific analyses reveal coordinated regulation of tight junction, adhesion, transporter, and MMP genes. The simultaneous modulation of barrier-forming (Cldn5, Tjp1) and barrier-disrupting (Mmp2, Mmp9, Vegfa) genes suggests GLP-1R agonists may dynamically regulate BBB permeability rather than simply opening or closing it. This has implications for drug delivery and neuroinflammatory regulation.</w:t>
      </w:r>
    </w:p>
    <w:p>
      <w:pPr>
        <w:pStyle w:val="Heading2"/>
        <w:spacing w:after="160" w:before="280"/>
      </w:pPr>
      <w:r>
        <w:rPr>
          <w:rFonts w:ascii="Arial" w:cs="Arial" w:eastAsia="Arial" w:hAnsi="Arial"/>
          <w:b/>
          <w:bCs/>
          <w:sz w:val="28"/>
          <w:szCs w:val="28"/>
        </w:rPr>
        <w:t xml:space="preserve">Theme 5: Inflammatory Resolution via JAK-STAT</w:t>
      </w:r>
    </w:p>
    <w:p>
      <w:pPr>
        <w:spacing w:after="120"/>
      </w:pPr>
      <w:r>
        <w:rPr>
          <w:rFonts w:ascii="Arial" w:cs="Arial" w:eastAsia="Arial" w:hAnsi="Arial"/>
          <w:sz w:val="22"/>
          <w:szCs w:val="22"/>
        </w:rPr>
        <w:t xml:space="preserve">The JAK-STAT3 pathway components, including SOCS family negative regulators (Socs3, Socs5), are part of the consensus gene set. Combined with modulation of cytokine receptors (Il6ra, Il6st, Lifr), this suggests GLP-1R agonists engage anti-inflammatory signalling cascades in the CNS. The presence of both activating (Jak1, Stat1) and inhibitory (Socs3, Pias1) components indicates homeostatic regulation rather than blanket suppression.</w:t>
      </w:r>
    </w:p>
    <w:p>
      <w:pPr>
        <w:pStyle w:val="Heading2"/>
        <w:spacing w:after="160" w:before="280"/>
      </w:pPr>
      <w:r>
        <w:rPr>
          <w:rFonts w:ascii="Arial" w:cs="Arial" w:eastAsia="Arial" w:hAnsi="Arial"/>
          <w:b/>
          <w:bCs/>
          <w:sz w:val="28"/>
          <w:szCs w:val="28"/>
        </w:rPr>
        <w:t xml:space="preserve">Theme 6: PI3K/Akt/mTOR Survival Signalling</w:t>
      </w:r>
    </w:p>
    <w:p>
      <w:pPr>
        <w:spacing w:after="120"/>
      </w:pPr>
      <w:r>
        <w:rPr>
          <w:rFonts w:ascii="Arial" w:cs="Arial" w:eastAsia="Arial" w:hAnsi="Arial"/>
          <w:sz w:val="22"/>
          <w:szCs w:val="22"/>
        </w:rPr>
        <w:t xml:space="preserve">Multiple nodes of the PI3K/Akt pathway are modulated: PI3K subunits, Akt isoforms, mTOR complex components, and downstream effectors (FOXO factors, autophagy regulators, cell-cycle genes). Cdkn1a (p21) appears consistently across thresholds, indicating activation of cell-cycle checkpoint responses. The combined cnet of JAK-STAT3 and PI3K/Akt reveals extensive crosstalk between these pathways, suggesting coordinated regulation of inflammation and cell survival.</w:t>
      </w:r>
    </w:p>
    <w:p>
      <w:pPr>
        <w:pStyle w:val="Heading2"/>
        <w:spacing w:after="160" w:before="280"/>
      </w:pPr>
      <w:r>
        <w:rPr>
          <w:rFonts w:ascii="Arial" w:cs="Arial" w:eastAsia="Arial" w:hAnsi="Arial"/>
          <w:b/>
          <w:bCs/>
          <w:sz w:val="28"/>
          <w:szCs w:val="28"/>
        </w:rPr>
        <w:t xml:space="preserve">Theme 7: Ion Channel and Synaptic Regulation</w:t>
      </w:r>
    </w:p>
    <w:p>
      <w:pPr>
        <w:spacing w:after="120"/>
      </w:pPr>
      <w:r>
        <w:rPr>
          <w:rFonts w:ascii="Arial" w:cs="Arial" w:eastAsia="Arial" w:hAnsi="Arial"/>
          <w:sz w:val="22"/>
          <w:szCs w:val="22"/>
        </w:rPr>
        <w:t xml:space="preserve">GLP-1R agonism affects multiple ion channel families, with glutamate receptors generally downregulated and certain potassium channels upregulated. This pattern is consistent with reduced excitotoxicity and enhanced potassium-mediated repolarisation, which together would shift the excitatory/inhibitory balance toward neuroprotection. The cholinergic synapse enrichment at LFC1 highlights acetylcholine signalling as a high-confidence target of GLP-1R agonists.</w:t>
      </w:r>
    </w:p>
    <w:p>
      <w:r>
        <w:br w:type="page"/>
      </w:r>
    </w:p>
    <w:p>
      <w:pPr>
        <w:pStyle w:val="Heading1"/>
        <w:spacing w:after="200" w:before="360"/>
      </w:pPr>
      <w:r>
        <w:rPr>
          <w:rFonts w:ascii="Arial" w:cs="Arial" w:eastAsia="Arial" w:hAnsi="Arial"/>
          <w:b/>
          <w:bCs/>
          <w:sz w:val="32"/>
          <w:szCs w:val="32"/>
        </w:rPr>
        <w:t xml:space="preserve">10. Complete Plot Index</w:t>
      </w:r>
    </w:p>
    <w:p>
      <w:pPr>
        <w:spacing w:after="120"/>
      </w:pPr>
      <w:r>
        <w:rPr>
          <w:rFonts w:ascii="Arial" w:cs="Arial" w:eastAsia="Arial" w:hAnsi="Arial"/>
          <w:sz w:val="22"/>
          <w:szCs w:val="22"/>
        </w:rPr>
        <w:t xml:space="preserve">All plots are saved in the Final analysis folder with transparent backgrounds in both PNG and PDF format.</w:t>
      </w:r>
    </w:p>
    <w:p>
      <w:pPr>
        <w:pStyle w:val="Heading2"/>
        <w:spacing w:after="160" w:before="280"/>
      </w:pPr>
      <w:r>
        <w:rPr>
          <w:rFonts w:ascii="Arial" w:cs="Arial" w:eastAsia="Arial" w:hAnsi="Arial"/>
          <w:b/>
          <w:bCs/>
          <w:sz w:val="28"/>
          <w:szCs w:val="28"/>
        </w:rPr>
        <w:t xml:space="preserve">Barplots and Heatmaps</w:t>
      </w:r>
    </w:p>
    <w:p>
      <w:pPr>
        <w:spacing w:after="120"/>
      </w:pPr>
      <w:r>
        <w:rPr>
          <w:rFonts w:ascii="Arial" w:cs="Arial" w:eastAsia="Arial" w:hAnsi="Arial"/>
          <w:sz w:val="22"/>
          <w:szCs w:val="22"/>
        </w:rPr>
        <w:t xml:space="preserve">Located in: Final analysis/Plots/Barplots_Heatmaps/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Heatmap_Consensus_LFC0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consensus genes vs. groups, |log2FC| unrestricted</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Heatmap_Consensus_LFC05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consensus genes vs. groups, |log2FC| ≥ 0.5</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Heatmap_Consensus_LFC1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consensus genes vs. groups, |log2FC| ≥ 1.0</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Barplot_Consensus_LFC0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20 genes by group count, lenient threshold</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Barplot_Consensus_LFC05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20 genes by group count, moderate threshold</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Barplot_Consensus_LFC1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 20 genes by group count, stringent threshold</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Enrichment Dotplots</w:t>
      </w:r>
    </w:p>
    <w:p>
      <w:pPr>
        <w:spacing w:after="120"/>
      </w:pPr>
      <w:r>
        <w:rPr>
          <w:rFonts w:ascii="Arial" w:cs="Arial" w:eastAsia="Arial" w:hAnsi="Arial"/>
          <w:sz w:val="22"/>
          <w:szCs w:val="22"/>
        </w:rPr>
        <w:t xml:space="preserve">Located in: Final analysis/Plots/Enrichment_Dotplots/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Dotplot_GOBP_LFC0/05/1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 Biological Process at three thresholds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Dotplot_GOMF_LFC0/05/1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 Molecular Function at three thresholds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Dotplot_GOCC_LFC0/05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 Cellular Component (LFC1 omitted: no sig terms)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Dotplot_KEGG_LFC0/05/1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KEGG 2021 at three thresholds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Dotplot_Reactome_LFC0/05/1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Reactome 2022 at three thresholds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Consensus-Based Cnet Plots</w:t>
      </w:r>
    </w:p>
    <w:p>
      <w:pPr>
        <w:spacing w:after="120"/>
      </w:pPr>
      <w:r>
        <w:rPr>
          <w:rFonts w:ascii="Arial" w:cs="Arial" w:eastAsia="Arial" w:hAnsi="Arial"/>
          <w:sz w:val="22"/>
          <w:szCs w:val="22"/>
        </w:rPr>
        <w:t xml:space="preserve">Located in: Final analysis/Plots/Cnet_Plots_Consensus_Based/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Cnet_Consensus_LFC0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consensus genes, multi-database enrichment network</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Cnet_Consensus_LFC05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Moderate-threshold consensus cnet</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Cnet_Consensus_LFC1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Stringent consensus cnet</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Pathway-Based Cnet Plots</w:t>
      </w:r>
    </w:p>
    <w:p>
      <w:pPr>
        <w:spacing w:after="120"/>
      </w:pPr>
      <w:r>
        <w:rPr>
          <w:rFonts w:ascii="Arial" w:cs="Arial" w:eastAsia="Arial" w:hAnsi="Arial"/>
          <w:sz w:val="22"/>
          <w:szCs w:val="22"/>
        </w:rPr>
        <w:t xml:space="preserve">Located in: Final analysis/Plots/Cnet_Plots_Pathway_Based/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Cnet_BBB_MMP_LFC0/05/1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BBB and MMP pathway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Cnet_JAKSTAT3_Inflammatory_LFC0/05/1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JAK-STAT3 inflammatory pathway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Cnet_AktPI3K_ProSurvival_LFC0/05/1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PI3K/Akt pro-survival pathway genes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Specific Pathway Cnet Plots</w:t>
      </w:r>
    </w:p>
    <w:p>
      <w:pPr>
        <w:spacing w:after="120"/>
      </w:pPr>
      <w:r>
        <w:rPr>
          <w:rFonts w:ascii="Arial" w:cs="Arial" w:eastAsia="Arial" w:hAnsi="Arial"/>
          <w:sz w:val="22"/>
          <w:szCs w:val="22"/>
        </w:rPr>
        <w:t xml:space="preserve">Located in: Final analysis/Specific Pathway Cnets/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Cnet_BBB_LFC0/05/1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BBB curated gene list (44 genes), keyword-filtered terms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Cnet_InflamSurv_LFC0/05/1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JAK-STAT3 + PI3K/Akt combined (96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Cnet_IonChannel_LFC0/05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Ion channel genes (66 genes; LFC1 omitted: too few genes)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STRING PPI Networks</w:t>
      </w:r>
    </w:p>
    <w:p>
      <w:pPr>
        <w:spacing w:after="120"/>
      </w:pPr>
      <w:r>
        <w:rPr>
          <w:rFonts w:ascii="Arial" w:cs="Arial" w:eastAsia="Arial" w:hAnsi="Arial"/>
          <w:sz w:val="22"/>
          <w:szCs w:val="22"/>
        </w:rPr>
        <w:t xml:space="preserve">Located in: Final analysis/StringDB_Plots/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StringDB_Consensus_LFC0/05/1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PPI network of all consensus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StringDB_BBB_LFC0/05/1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PPI network of BBB pathway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StringDB_InflamSurv_LFC0/05/1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PPI network of JAK-STAT3 + PI3K/Akt genes</w:t>
            </w:r>
          </w:p>
        </w:tc>
      </w:tr>
      <w:tr>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StringDB_IonChannel_LFC0/05/1</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PPI network of ion channel genes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GLP-1R Agonist CNS Meta-Analysis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2026-05-07T11:51:43.134Z</dcterms:created>
  <dcterms:modified xsi:type="dcterms:W3CDTF">2026-05-07T11:51:43.138Z</dcterms:modified>
</cp:coreProperties>
</file>

<file path=docProps/custom.xml><?xml version="1.0" encoding="utf-8"?>
<Properties xmlns="http://schemas.openxmlformats.org/officeDocument/2006/custom-properties" xmlns:vt="http://schemas.openxmlformats.org/officeDocument/2006/docPropsVTypes"/>
</file>