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1F4E79"/>
          <w:sz w:val="44"/>
          <w:szCs w:val="44"/>
        </w:rPr>
        <w:t xml:space="preserve">GLP-1R Agonist CNS Bulk-RNA Meta-Analysis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Consensus Differential Expression, Functional Enrichment &amp; Concept-Network Analysis</w:t>
      </w:r>
    </w:p>
    <w:p>
      <w:pPr>
        <w:spacing w:after="1000"/>
        <w:jc w:val="center"/>
      </w:pPr>
      <w:r>
        <w:rPr>
          <w:i/>
          <w:iCs/>
          <w:sz w:val="22"/>
          <w:szCs w:val="22"/>
        </w:rPr>
        <w:t xml:space="preserve">Finalized Bioinformatics Workflow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summarizes a consensus meta-analysis of GLP-1R-agonist and multi-agonist (dual / conjugate / combination) effects on the central nervous system, assembled from 34 distinct treatment-vs-control comparisons ("groups") spanning nine GEO accessions and ten CNS regions. Each group was analyzed as a separate, un-merged comparison; genes were standardized to mouse symbols; and consensus genes were defined as those significantly differentially expressed in two or more groups.</w:t>
      </w:r>
    </w:p>
    <w:p>
      <w:pPr>
        <w:spacing w:after="120"/>
      </w:pPr>
      <w:r>
        <w:t xml:space="preserve">At the |log2FC| &gt;= 0.2, padj &lt; 0.05 threshold, 4,769 consensus genes were identified; at the strict |log2FC| &gt;= 1.0 threshold, 297 consensus genes remained. Functional enrichment converged on mitochondrial oxidative phosphorylation / electron transport, cytoplasmic translation (ribosome), and neurodegeneration-associated pathways - a coherent metabolic-neuroprotective signature for GLP-1R agonism in the CNS.</w:t>
      </w:r>
    </w:p>
    <w:p>
      <w:pPr>
        <w:pStyle w:val="Heading1"/>
      </w:pPr>
      <w:r>
        <w:t xml:space="preserve">2. Datasets &amp; Methods</w:t>
      </w:r>
    </w:p>
    <w:p>
      <w:pPr>
        <w:pStyle w:val="Heading2"/>
      </w:pPr>
      <w:r>
        <w:t xml:space="preserve">2.1 Scope and group definition</w:t>
      </w:r>
    </w:p>
    <w:p>
      <w:pPr>
        <w:spacing w:after="120"/>
      </w:pPr>
      <w:r>
        <w:t xml:space="preserve">Included: GLP-1R-agonist monotherapies (e.g. liraglutide, exendin-4, GLP-1, AC3174, semaglutide) and multi-agonists containing a GLP-1R-agonist component (e.g. GLP-1+MK-801 conjugate, PYY+liraglutide, AC710222, IP118/PY115, COMBO). Restricted to CNS tissue; peripheral tissues and non-GLP arms were excluded. Each treatment-vs-control comparison within a region is its own group; groups are never merged.</w:t>
      </w:r>
    </w:p>
    <w:p>
      <w:pPr>
        <w:pStyle w:val="Heading2"/>
      </w:pPr>
      <w:r>
        <w:t xml:space="preserve">2.2 Gene standardization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Ensembl mouse IDs (ENSMUSG; Acc 5, 6) -&gt; symbols via mygene.info.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 / mouse symbol tables (Acc 3, 4, 7, 8) -&gt; mouse title-case.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Illumina GPL6885 arrays (Acc 10, 11, 12) -&gt; symbols via the GPL6885 AnnotGPL annotation.</w:t>
      </w:r>
    </w:p>
    <w:p>
      <w:pPr>
        <w:pStyle w:val="Heading2"/>
      </w:pPr>
      <w:r>
        <w:t xml:space="preserve">2.3 Array re-analysis (GEO2R / limma)</w:t>
      </w:r>
    </w:p>
    <w:p>
      <w:pPr>
        <w:spacing w:after="120"/>
      </w:pPr>
      <w:r>
        <w:t xml:space="preserve">The three Illumina GPL6885 microarray datasets were re-derived using the GEO2R limma workflow in R 4.5.3 + Bioconductor limma 3.66.0: log2 auto-transform -&gt; lmFit(~0+group) -&gt; makeContrasts -&gt; eBayes(0.01) -&gt; topTable(adjust=fdr). Contrasts: GSE71850 (Exendin4, Ex4-Pre-TBI, Ex4-Post-TBI vs Control); GSE41345 (Ex4, Ex4/mTBI vs sham); GSE39586 (glp vs nORM, using the supplied sample grouping).</w:t>
      </w:r>
    </w:p>
    <w:p>
      <w:pPr>
        <w:pStyle w:val="Heading2"/>
      </w:pPr>
      <w:r>
        <w:t xml:space="preserve">2.4 Consensus, enrichment &amp; thresholds</w:t>
      </w:r>
    </w:p>
    <w:p>
      <w:pPr>
        <w:spacing w:after="120"/>
      </w:pPr>
      <w:r>
        <w:t xml:space="preserve">Consensus = significant DEG in &gt;= 2 groups, computed per threshold (LFC0.2 and LFC1, both padj &lt; 0.05). Enrichment used Enrichr (gseapy, organism = mouse) across GO Biological Process, GO Molecular Function, GO Cellular Component (GO:All), KEGG, and Reactome.</w:t>
      </w:r>
    </w:p>
    <w:p>
      <w:pPr>
        <w:pStyle w:val="Heading1"/>
      </w:pPr>
      <w:r>
        <w:t xml:space="preserve">3. Datasets and Groups</w:t>
      </w:r>
    </w:p>
    <w:p>
      <w:pPr>
        <w:spacing w:after="120"/>
      </w:pPr>
      <w:r>
        <w:t xml:space="preserve">34 groups were analyzed (source breakdown: 19 gene_name, 9 ensembl, 6 array). Summary by accession: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300"/>
        <w:gridCol w:w="720"/>
        <w:gridCol w:w="2300"/>
        <w:gridCol w:w="44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GEO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Groups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Regions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GLP-1R / multi-agonist arms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GSE244607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accumbens, brainstem, hypothalamus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GLP_1, GLP_1_MK_801, conjugate_2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GSE190218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hypothalamus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Lira, PYY_Lira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GSE160802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arc, nts, pvn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IP118_PY115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GSE135862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dvc, mbh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AC3174, AC710222, COMBO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GSE280382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frontalcortex, hippocampus, hypothalamus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LT_A_Ex, ST_A_Ex, ST_A_Ex_KD, YA_Ex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GSE71850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hippocampus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Ex4_Po_t_TBI, Ex4_Pre_TBI, Exendin4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GSE41345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hippocampus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Ex4, Ex4_mTBI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GSE39586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hypothalamus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GLP</w:t>
            </w:r>
          </w:p>
        </w:tc>
      </w:tr>
    </w:tbl>
    <w:p>
      <w:pPr>
        <w:pStyle w:val="Heading1"/>
      </w:pPr>
      <w:r>
        <w:t xml:space="preserve">4. Consensus Genes</w:t>
      </w:r>
    </w:p>
    <w:p>
      <w:pPr>
        <w:spacing w:after="120"/>
      </w:pPr>
      <w:r>
        <w:t xml:space="preserve">Top recurring consensus genes (ranked by number of groups) at |log2FC| &gt;= 0.2, padj &lt; 0.05 (4,769 total):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6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 Groups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 log2FC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Fkbp5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Plin4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1.38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Hif3a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Rbm3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Mpp5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-0.24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Xdh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0.73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Cdkn1a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Vstm2a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-0.24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Ednrb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DOWN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-0.42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Cd53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4.34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Msantd2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Mertk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1.43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467100"/>
            <wp:effectExtent t="0" r="0" b="0" l="0"/>
            <wp:docPr id="1" name="Figure 1. Top-20 consensus genes (by group frequency) - mean log2FC across groups (LFC0.2). Groups are lettered; see each plot's group_legend.txt." descr="Figure 1. Top-20 consensus genes (by group frequency) - mean log2FC across groups (LFC0.2). Groups are lettered; see each plot's group_legend.txt." title="Figure 1. Top-20 consensus genes (by group frequency) - mean log2FC across groups (LFC0.2). Groups are lettered; see each plot's group_legend.tx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1. Top-20 consensus genes (by group frequency) - mean log2FC across groups (LFC0.2). Groups are lettered; see each plot's group_legend.txt.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219450"/>
            <wp:effectExtent t="0" r="0" b="0" l="0"/>
            <wp:docPr id="1" name="Figure 2. Top-20 consensus genes by recurrence, coloured by predominant direction (LFC0.2)." descr="Figure 2. Top-20 consensus genes by recurrence, coloured by predominant direction (LFC0.2)." title="Figure 2. Top-20 consensus genes by recurrence, coloured by predominant direction (LFC0.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Top-20 consensus genes by recurrence, coloured by predominant direction (LFC0.2).</w:t>
      </w:r>
    </w:p>
    <w:p>
      <w:pPr>
        <w:spacing w:after="120"/>
      </w:pPr>
      <w:r>
        <w:t xml:space="preserve">At the strict |log2FC| &gt;= 1.0 threshold, 297 consensus genes remained; the most recurrent were Plin4, Nwd2, Cdkn1a, Zfp41, Myo1e, Szt2. Plin4 and Cdkn1a are consensus at both thresholds.</w:t>
      </w:r>
    </w:p>
    <w:p>
      <w:pPr>
        <w:pStyle w:val="Heading1"/>
      </w:pPr>
      <w:r>
        <w:t xml:space="preserve">5. Functional Enrichment</w:t>
      </w:r>
    </w:p>
    <w:p>
      <w:pPr>
        <w:spacing w:after="120"/>
      </w:pPr>
      <w:r>
        <w:t xml:space="preserve">Significant terms (padj &lt; 0.05) at LFC0.2: GO BP 57, GO CC 48, GO MF 12, KEGG 43, Reactome 138. Leading terms per database: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Enriched term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padj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BP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Translation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3.8e-20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Macromolecule Biosynthetic Process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2.1e-18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Peptide Biosynthetic Process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6.9e-18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CC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Organelle Inner Membrane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7.5e-17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Mitochondrial Inner Membrane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4.9e-16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Mitochondrial Respiratory Chain Complex 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3.4e-12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 MF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RNA Binding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9.4e-25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Oxidoreduction-Driven Active Transmembrane Transporter 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4.6e-12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NADH Dehydrogenase (Ubiquinone) Activity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7.7e-11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KEGG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Ribosome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5.7e-20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Parkinson disease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1.2e-9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Huntington disease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1.2e-9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Reactome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Influenza Infection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3.7e-23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SRP-dependent Cotranslational Protein Targeting To Memb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1.5e-21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Eukaryotic Translation Elongation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1.8e-21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Figure 3. Reactome enrichment dot plot (LFC0.2): dot size = gene overlap, colour = -log10(padj). Top 20 terms." descr="Figure 3. Reactome enrichment dot plot (LFC0.2): dot size = gene overlap, colour = -log10(padj). Top 20 terms." title="Figure 3. Reactome enrichment dot plot (LFC0.2): dot size = gene overlap, colour = -log10(padj). Top 20 te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3. Reactome enrichment dot plot (LFC0.2): dot size = gene overlap, colour = -log10(padj). Top 20 terms.</w:t>
      </w:r>
    </w:p>
    <w:p>
      <w:pPr>
        <w:spacing w:after="120"/>
      </w:pPr>
      <w:r>
        <w:t xml:space="preserve">Biological interpretation: the consensus signature is dominated by mitochondrial electron transport / oxidative phosphorylation (NADH dehydrogenase, respiratory chain complex I), cytoplasmic translation / ribosome, and neurodegeneration pathways (Parkinson, Huntington), consistent with GLP-1R agonists enhancing neuronal bioenergetics and proteostasis while modulating neuroinflammatory and survival signalling.</w:t>
      </w:r>
    </w:p>
    <w:p>
      <w:pPr>
        <w:pStyle w:val="Heading1"/>
      </w:pPr>
      <w:r>
        <w:t xml:space="preserve">6. Concept-Network (Cnet) Analysis</w:t>
      </w:r>
    </w:p>
    <w:p>
      <w:pPr>
        <w:spacing w:after="120"/>
      </w:pPr>
      <w:r>
        <w:t xml:space="preserve">Concept-network plots link consensus genes to their enriched terms (gene nodes coloured by mean log2FC; term squares coloured by database). A global consensus cnet and three mechanism-restricted cnets (Blood-Brain Barrier/MMP, JAK-STAT3 inflammatory, PI3K/Akt pro-survival) were generated at both thresholds, with enlarged gene nodes and thickened edges.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Figure 4. Consensus concept-network (LFC0.2): all consensus genes vs all enriched terms." descr="Figure 4. Consensus concept-network (LFC0.2): all consensus genes vs all enriched terms." title="Figure 4. Consensus concept-network (LFC0.2): all consensus genes vs all enriched te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4. Consensus concept-network (LFC0.2): all consensus genes vs all enriched terms.</w:t>
      </w:r>
    </w:p>
    <w:p>
      <w:pPr>
        <w:spacing w:after="40" w:before="120"/>
        <w:jc w:val="center"/>
      </w:pPr>
      <w:r>
        <w:drawing>
          <wp:inline distT="0" distB="0" distL="0" distR="0">
            <wp:extent cx="4476750" cy="4381500"/>
            <wp:effectExtent t="0" r="0" b="0" l="0"/>
            <wp:docPr id="1" name="Figure 5. Blood-Brain-Barrier / MMP concept-network (LFC0.2)." descr="Figure 5. Blood-Brain-Barrier / MMP concept-network (LFC0.2)." title="Figure 5. Blood-Brain-Barrier / MMP concept-network (LFC0.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5. Blood-Brain-Barrier / MMP concept-network (LFC0.2).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Figure 6. BBB mechanism heatmap (LFC0.2): top relevant genes plus the full MMP family (incl. Mmp9, shown explicitly)." descr="Figure 6. BBB mechanism heatmap (LFC0.2): top relevant genes plus the full MMP family (incl. Mmp9, shown explicitly)." title="Figure 6. BBB mechanism heatmap (LFC0.2): top relevant genes plus the full MMP family (incl. Mmp9, shown explicitl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6. BBB mechanism heatmap (LFC0.2): top relevant genes plus the full MMP family (incl. Mmp9, shown explicitly).</w:t>
      </w:r>
    </w:p>
    <w:p>
      <w:pPr>
        <w:pStyle w:val="Heading1"/>
      </w:pPr>
      <w:r>
        <w:t xml:space="preserve">7. Deliverables &amp; Folder Map</w:t>
      </w:r>
    </w:p>
    <w:p>
      <w:pPr>
        <w:spacing w:after="120"/>
      </w:pPr>
      <w:r>
        <w:t xml:space="preserve">All outputs are in 'Finalized Bioinformatics Workflow/': scripts/ (Python + R pipeline), Data/ (master DEG tables, consensus lists, enrichment, group legends), and Plots/ organized as Plots / [plot type] / [LFC0.2 | LFC1] / [PDF | PNG]. Every heatmap folder includes a group_legend.txt mapping the A/B/C... axis letters to groups. All plots are provided as transparent PNG and PDF.</w:t>
      </w:r>
    </w:p>
    <w:p>
      <w:pPr>
        <w:pStyle w:val="Heading1"/>
      </w:pPr>
      <w:r>
        <w:t xml:space="preserve">8. Limitations &amp;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Seven RNA-seq DEG files (4 from Accession 1, 1 from Accession 3, plus Accession 4 liraglutide and Accession 7) were locked (open in Excel / mid-sync) at run time and were excluded; re-running steps 02-07 folds them in automatically once released.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strict |log2FC| &gt;= 1.0 threshold combined with the &gt;=2-group recurrence filter leaves few significant enriched terms, so LFC1 dot/bar/cnet plots are intentionally sparse.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Rat-&gt;mouse orthology uses symbol case-normalization (the reference-pipeline convention); array fold-changes can be large for low-expression probes and are robustly capped in heatmap colour scales (exact values annotated).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GLP-1R Agonist CNS Meta-Analysis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75583c0a7ecc0c2088d39ff465645f43ebd186b.png"/><Relationship Id="rId9" Type="http://schemas.openxmlformats.org/officeDocument/2006/relationships/image" Target="media/a1540c28a7b6cc6b6eda834817423cab01edfb78.png"/><Relationship Id="rId10" Type="http://schemas.openxmlformats.org/officeDocument/2006/relationships/image" Target="media/56d9950fb8beb7f6499080b62406f89ddd3c9ca0.png"/><Relationship Id="rId11" Type="http://schemas.openxmlformats.org/officeDocument/2006/relationships/image" Target="media/92b552efb33a4ac663e411c96ba5ae36e627bd63.png"/><Relationship Id="rId12" Type="http://schemas.openxmlformats.org/officeDocument/2006/relationships/image" Target="media/115194d1fdaa7fe28fbe72fea111d82e565b5ecf.png"/><Relationship Id="rId13" Type="http://schemas.openxmlformats.org/officeDocument/2006/relationships/image" Target="media/e8fd8b0d8e748a1b886565358aa8a4c9db3d5e1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2026-06-01T05:23:50.222Z</dcterms:created>
  <dcterms:modified xsi:type="dcterms:W3CDTF">2026-06-01T05:23:50.222Z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