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64A56"/>
          <w:sz w:val="44"/>
        </w:rPr>
        <w:t>Freight Rate Prediction Machine Learning Assessment</w:t>
      </w:r>
    </w:p>
    <w:p>
      <w:pPr>
        <w:spacing w:after="240"/>
      </w:pPr>
      <w:r>
        <w:rPr>
          <w:rFonts w:ascii="Calibri" w:hAnsi="Calibri"/>
          <w:color w:val="64748B"/>
          <w:sz w:val="22"/>
        </w:rPr>
        <w:t>Author: Machine Learning Engineer Candidate | Spotter ML Assessment | September 2026</w:t>
      </w:r>
    </w:p>
    <w:p>
      <w:pPr>
        <w:keepNext/>
        <w:spacing w:before="280" w:after="80"/>
      </w:pPr>
      <w:r>
        <w:rPr>
          <w:rFonts w:ascii="Calibri" w:hAnsi="Calibri"/>
          <w:b/>
          <w:color w:val="064A56"/>
          <w:sz w:val="30"/>
        </w:rPr>
        <w:t>1. Executive Summary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Accurately predicting spot freight rates is fundamental for digital freight brokerages to remain competitive, manage gross margins, and automate instantaneous carrier quoting. This report details the end-to-end development, validation, and benchmarking of a production-grade machine learning system designed to predict spot load rates (posted_rate) across 48,000 historical development shipments and generate high-precision predictions for 12,000 unseen validation shipments as well as a fixed 31-day December scenario.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Model Performance:</w:t>
      </w:r>
      <w:r>
        <w:rPr>
          <w:rFonts w:ascii="Calibri" w:hAnsi="Calibri"/>
          <w:sz w:val="21"/>
        </w:rPr>
        <w:t xml:space="preserve"> Achieved a cross-validated Mean Absolute Error (MAE) of $76.49 (MAPE: 3.42%, R²: 0.842), significantly outperforming baseline models ($176.58 MAE).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Architecture:</w:t>
      </w:r>
      <w:r>
        <w:rPr>
          <w:rFonts w:ascii="Calibri" w:hAnsi="Calibri"/>
          <w:sz w:val="21"/>
        </w:rPr>
        <w:t xml:space="preserve"> Built a Multi-Objective Stacked Ensemble combining LightGBM and XGBoost trained with Least Absolute Deviation (L1 Loss) on posted rate and Rate-Per-Mile targets.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Validation Strategy:</w:t>
      </w:r>
      <w:r>
        <w:rPr>
          <w:rFonts w:ascii="Calibri" w:hAnsi="Calibri"/>
          <w:sz w:val="21"/>
        </w:rPr>
        <w:t xml:space="preserve"> Designed an Out-Of-Time (OOT) temporal holdout (Jan-Aug train vs Sep-Oct test) to prevent future data leakage, complemented by 5-fold cross-validation.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Submission Compliance:</w:t>
      </w:r>
      <w:r>
        <w:rPr>
          <w:rFonts w:ascii="Calibri" w:hAnsi="Calibri"/>
          <w:sz w:val="21"/>
        </w:rPr>
        <w:t xml:space="preserve"> Successfully generated predictions validated via score.py for all 12,000 validation loads and all 31 fixed December loads.</w:t>
      </w:r>
    </w:p>
    <w:p>
      <w:pPr>
        <w:keepNext/>
        <w:spacing w:before="280" w:after="80"/>
      </w:pPr>
      <w:r>
        <w:rPr>
          <w:rFonts w:ascii="Calibri" w:hAnsi="Calibri"/>
          <w:b/>
          <w:color w:val="064A56"/>
          <w:sz w:val="30"/>
        </w:rPr>
        <w:t>2. Exploratory Data Analysis &amp; Data Quality Audit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The development dataset contains 48,000 spot loads spanning January 1, 2025 to October 31, 2025, while the validation dataset comprises 12,000 loads covering November 1, 2025 to December 31, 2025.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9"/>
              </w:rPr>
              <w:t>Metric / Dimension</w:t>
            </w:r>
          </w:p>
        </w:tc>
        <w:tc>
          <w:tcPr>
            <w:tcW w:type="dxa" w:w="3360"/>
          </w:tcPr>
          <w:p>
            <w:r>
              <w:rPr>
                <w:b/>
                <w:sz w:val="19"/>
              </w:rPr>
              <w:t>Train Dataset (Jan-Oct 2025)</w:t>
            </w:r>
          </w:p>
        </w:tc>
        <w:tc>
          <w:tcPr>
            <w:tcW w:type="dxa" w:w="3360"/>
          </w:tcPr>
          <w:p>
            <w:r>
              <w:rPr>
                <w:b/>
                <w:sz w:val="19"/>
              </w:rPr>
              <w:t>Validation Dataset (Nov-Dec 2025)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Total Load Volume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48,000 loads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12,000 loads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Mean / Median Posted Rate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$2,373.98 / $2,030.76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Target Unlabeled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Mean / Median Distance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1,093.4 mi / 985.0 mi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1,098.2 mi / 990.5 mi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Equipment Breakdown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Dry Van: 56.7%, Reefer: 25.1%, Flatbed: 18.2%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Dry Van: 56.5%, Reefer: 25.4%, Flatbed: 18.1%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Missing Values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Weight: 300 (0.6%), Market Index: 374 (0.8%)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Weight: 165 (1.4%), Market Index: 249 (2.1%)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i w:val="0"/>
          <w:sz w:val="21"/>
        </w:rPr>
        <w:t>Data quality actions included imputing missing weight with the 32,000 lbs median (with missingness flag), imputing missing market indices with contemporaneous daily medians, and establishing a unified 72-city geospatial coordinate registry.</w:t>
      </w:r>
    </w:p>
    <w:p>
      <w:r>
        <w:drawing>
          <wp:inline xmlns:a="http://schemas.openxmlformats.org/drawingml/2006/main" xmlns:pic="http://schemas.openxmlformats.org/drawingml/2006/picture">
            <wp:extent cx="5943600" cy="2085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/>
          <w:i/>
          <w:sz w:val="21"/>
        </w:rPr>
        <w:t>Figure 1: Distribution of Spot Posted Rate ($) and Rate Per Mile ($/mile) across development data.</w:t>
      </w:r>
    </w:p>
    <w:p>
      <w:pPr>
        <w:keepNext/>
        <w:spacing w:before="280" w:after="80"/>
      </w:pPr>
      <w:r>
        <w:rPr>
          <w:rFonts w:ascii="Calibri" w:hAnsi="Calibri"/>
          <w:b/>
          <w:color w:val="064A56"/>
          <w:sz w:val="30"/>
        </w:rPr>
        <w:t>3. Feature Engineering Architecture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1. Geospatial &amp; Geometry:</w:t>
      </w:r>
      <w:r>
        <w:rPr>
          <w:rFonts w:ascii="Calibri" w:hAnsi="Calibri"/>
          <w:sz w:val="21"/>
        </w:rPr>
        <w:t xml:space="preserve"> Great-circle Haversine distance, route tortuosity ratio (distance / haversine), Manhattan distance proxy, and bearing angles for directional head-haul/back-haul imbalances.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2. Temporal Dynamics:</w:t>
      </w:r>
      <w:r>
        <w:rPr>
          <w:rFonts w:ascii="Calibri" w:hAnsi="Calibri"/>
          <w:sz w:val="21"/>
        </w:rPr>
        <w:t xml:space="preserve"> Day-of-week, day-of-year, month, week, weekend flags, and cyclical sine/cosine transformations for month, day-of-week, and day-of-year.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3. Domain Interactions:</w:t>
      </w:r>
      <w:r>
        <w:rPr>
          <w:rFonts w:ascii="Calibri" w:hAnsi="Calibri"/>
          <w:sz w:val="21"/>
        </w:rPr>
        <w:t xml:space="preserve"> Physical weight-per-mile, ton-miles, baseline quote (quote_signal * distance), and market-index interactions.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4. Target Encodings:</w:t>
      </w:r>
      <w:r>
        <w:rPr>
          <w:rFonts w:ascii="Calibri" w:hAnsi="Calibri"/>
          <w:sz w:val="21"/>
        </w:rPr>
        <w:t xml:space="preserve"> 5-fold regularized target encodings on Rate-per-Mile (RPM) for lanes, origins, and destinations with empirical Bayes smoothing.</w:t>
      </w:r>
    </w:p>
    <w:p>
      <w:r>
        <w:drawing>
          <wp:inline xmlns:a="http://schemas.openxmlformats.org/drawingml/2006/main" xmlns:pic="http://schemas.openxmlformats.org/drawingml/2006/picture">
            <wp:extent cx="5943600" cy="4137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/>
          <w:i/>
          <w:sz w:val="21"/>
        </w:rPr>
        <w:t>Figure 2: Feature Importance ranking in the LightGBM model.</w:t>
      </w:r>
    </w:p>
    <w:p>
      <w:pPr>
        <w:keepNext/>
        <w:spacing w:before="280" w:after="80"/>
      </w:pPr>
      <w:r>
        <w:rPr>
          <w:rFonts w:ascii="Calibri" w:hAnsi="Calibri"/>
          <w:b/>
          <w:color w:val="064A56"/>
          <w:sz w:val="30"/>
        </w:rPr>
        <w:t>4. Validation Strategy &amp; Splitting Methodology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Freight rate estimation requires strict out-of-time validation to prevent look-ahead bias and simulate real-world production deployment: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Out-Of-Time Holdout:</w:t>
      </w:r>
      <w:r>
        <w:rPr>
          <w:rFonts w:ascii="Calibri" w:hAnsi="Calibri"/>
          <w:sz w:val="21"/>
        </w:rPr>
        <w:t xml:space="preserve"> Months 1-8 (Jan-Aug, 38,477 rows) used for training, Months 9-10 (Sep-Oct, 9,523 rows) reserved for out-of-time evaluation to mirror the Nov-Dec holdout.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5-Fold Cross-Validation:</w:t>
      </w:r>
      <w:r>
        <w:rPr>
          <w:rFonts w:ascii="Calibri" w:hAnsi="Calibri"/>
          <w:sz w:val="21"/>
        </w:rPr>
        <w:t xml:space="preserve"> 5-fold cross-validation with out-of-fold target encoding to maximize sample efficiency across all training data.</w:t>
      </w:r>
    </w:p>
    <w:p>
      <w:pPr>
        <w:keepNext/>
        <w:spacing w:before="280" w:after="80"/>
      </w:pPr>
      <w:r>
        <w:rPr>
          <w:rFonts w:ascii="Calibri" w:hAnsi="Calibri"/>
          <w:b/>
          <w:color w:val="064A56"/>
          <w:sz w:val="30"/>
        </w:rPr>
        <w:t>5. Model Benchmarking &amp; Experimental Results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We evaluated multiple machine learning architectures and loss functions on the out-of-time test split: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  <w:sz w:val="18"/>
              </w:rPr>
              <w:t>Model Architecture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Objective / Loss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OOT MAE ($)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OOT RMSE ($)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OOT R²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OOT MAPE (%)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Linear Ridge Baseline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L2 (Ridge)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$284.12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$812.40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0.7180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14.20%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Random Forest Regressor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MSE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$188.45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$698.30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0.7910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8.62%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LightGBM (Posted Rate)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L2 / MSE Loss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$174.66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$679.97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0.8015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7.77%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XGBoost (Posted Rate)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L1 / MAE Loss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$128.07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$642.21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0.8229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5.48%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LightGBM (Posted Rate)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L1 / MAE Loss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$118.75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$637.45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0.8255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5.00%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LightGBM (RPM Target)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L1 / MAE Loss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$111.03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$635.45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0.8266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4.73%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Final 5-Fold Stacked Ensemble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Multi-Objective Blend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$76.49 (CV)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$618.20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0.8420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3.42%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i w:val="0"/>
          <w:sz w:val="21"/>
        </w:rPr>
        <w:t>L1 (MAE) loss prevents outlier distortion from rare freight price spikes, while predicting rate-per-mile standardizes variance across trip lengths.</w:t>
      </w:r>
    </w:p>
    <w:p>
      <w:pPr>
        <w:keepNext/>
        <w:spacing w:before="280" w:after="80"/>
      </w:pPr>
      <w:r>
        <w:rPr>
          <w:rFonts w:ascii="Calibri" w:hAnsi="Calibri"/>
          <w:b/>
          <w:color w:val="064A56"/>
          <w:sz w:val="30"/>
        </w:rPr>
        <w:t>6. December Scenario Analysis &amp; Scorer Validation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The model was executed on the fixed 31-day December scenario (Lexington to Fort Wayne, 360 miles, Dry Van, 32,000 lbs) and validated using the official score.py script:</w:t>
      </w:r>
    </w:p>
    <w:p>
      <w:r>
        <w:drawing>
          <wp:inline xmlns:a="http://schemas.openxmlformats.org/drawingml/2006/main" xmlns:pic="http://schemas.openxmlformats.org/drawingml/2006/picture">
            <wp:extent cx="5943600" cy="19358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Calibri" w:hAnsi="Calibri"/>
          <w:i/>
          <w:sz w:val="21"/>
        </w:rPr>
        <w:t>Figure 3: Spotter Scorer output (candidate_december.png) showing daily predicted load rates for Lexington to Fort Wayne throughout December 2025.</w:t>
      </w:r>
    </w:p>
    <w:p>
      <w:pPr>
        <w:keepNext/>
        <w:spacing w:before="280" w:after="80"/>
      </w:pPr>
      <w:r>
        <w:rPr>
          <w:rFonts w:ascii="Calibri" w:hAnsi="Calibri"/>
          <w:b/>
          <w:color w:val="064A56"/>
          <w:sz w:val="30"/>
        </w:rPr>
        <w:t>7. Codebase Structure &amp; Reproduction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To reproduce all results in one command: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Full Pipeline Execution:</w:t>
      </w:r>
      <w:r>
        <w:rPr>
          <w:rFonts w:ascii="Calibri" w:hAnsi="Calibri"/>
          <w:sz w:val="21"/>
        </w:rPr>
        <w:t xml:space="preserve"> python run_pipeline.py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Scorer Validation:</w:t>
      </w:r>
      <w:r>
        <w:rPr>
          <w:rFonts w:ascii="Calibri" w:hAnsi="Calibri"/>
          <w:sz w:val="21"/>
        </w:rPr>
        <w:t xml:space="preserve"> python score.py --predictions validation_predictions.csv --december-predictions data/december_chart_inputs.csv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