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Features Analysis Report</w:t>
      </w:r>
    </w:p>
    <w:p>
      <w:r>
        <w:t>Analysis Date: 2026-04-30 12:49:43</w:t>
      </w:r>
    </w:p>
    <w:p>
      <w:r>
        <w:t>Total Accidents Analyzed: 240,225</w:t>
      </w:r>
    </w:p>
    <w:p/>
    <w:p>
      <w:pPr>
        <w:pStyle w:val="Heading1"/>
      </w:pPr>
      <w:r>
        <w:t>1. Key Findings Summary</w:t>
      </w:r>
    </w:p>
    <w:p>
      <w:r>
        <w:t>• MOST DANGEROUS: Stop sign (+0.111 severity)</w:t>
      </w:r>
    </w:p>
    <w:p>
      <w:r>
        <w:t>• SAFEST: Speed bumps, raised crosswalks (-0.423 severity)</w:t>
      </w:r>
    </w:p>
    <w:p>
      <w:pPr>
        <w:pStyle w:val="Heading1"/>
      </w:pPr>
      <w:r>
        <w:t>2. Road Features Impact on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Road Feature</w:t>
            </w:r>
          </w:p>
        </w:tc>
        <w:tc>
          <w:tcPr>
            <w:tcW w:type="dxa" w:w="2160"/>
          </w:tcPr>
          <w:p>
            <w:r>
              <w:t>Severity With</w:t>
            </w:r>
          </w:p>
        </w:tc>
        <w:tc>
          <w:tcPr>
            <w:tcW w:type="dxa" w:w="2160"/>
          </w:tcPr>
          <w:p>
            <w:r>
              <w:t>Severity Without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Speed bumps, raised crosswalks</w:t>
            </w:r>
          </w:p>
        </w:tc>
        <w:tc>
          <w:tcPr>
            <w:tcW w:type="dxa" w:w="2160"/>
          </w:tcPr>
          <w:p>
            <w:r>
              <w:t>2.04</w:t>
            </w:r>
          </w:p>
        </w:tc>
        <w:tc>
          <w:tcPr>
            <w:tcW w:type="dxa" w:w="2160"/>
          </w:tcPr>
          <w:p>
            <w:r>
              <w:t>2.46</w:t>
            </w:r>
          </w:p>
        </w:tc>
        <w:tc>
          <w:tcPr>
            <w:tcW w:type="dxa" w:w="2160"/>
          </w:tcPr>
          <w:p>
            <w:r>
              <w:t>-0.423</w:t>
            </w:r>
          </w:p>
        </w:tc>
      </w:tr>
      <w:tr>
        <w:tc>
          <w:tcPr>
            <w:tcW w:type="dxa" w:w="2160"/>
          </w:tcPr>
          <w:p>
            <w:r>
              <w:t>Dead end street</w:t>
            </w:r>
          </w:p>
        </w:tc>
        <w:tc>
          <w:tcPr>
            <w:tcW w:type="dxa" w:w="2160"/>
          </w:tcPr>
          <w:p>
            <w:r>
              <w:t>2.09</w:t>
            </w:r>
          </w:p>
        </w:tc>
        <w:tc>
          <w:tcPr>
            <w:tcW w:type="dxa" w:w="2160"/>
          </w:tcPr>
          <w:p>
            <w:r>
              <w:t>2.46</w:t>
            </w:r>
          </w:p>
        </w:tc>
        <w:tc>
          <w:tcPr>
            <w:tcW w:type="dxa" w:w="2160"/>
          </w:tcPr>
          <w:p>
            <w:r>
              <w:t>-0.373</w:t>
            </w:r>
          </w:p>
        </w:tc>
      </w:tr>
      <w:tr>
        <w:tc>
          <w:tcPr>
            <w:tcW w:type="dxa" w:w="2160"/>
          </w:tcPr>
          <w:p>
            <w:r>
              <w:t>Train/bus station nearby</w:t>
            </w:r>
          </w:p>
        </w:tc>
        <w:tc>
          <w:tcPr>
            <w:tcW w:type="dxa" w:w="2160"/>
          </w:tcPr>
          <w:p>
            <w:r>
              <w:t>2.14</w:t>
            </w:r>
          </w:p>
        </w:tc>
        <w:tc>
          <w:tcPr>
            <w:tcW w:type="dxa" w:w="2160"/>
          </w:tcPr>
          <w:p>
            <w:r>
              <w:t>2.46</w:t>
            </w:r>
          </w:p>
        </w:tc>
        <w:tc>
          <w:tcPr>
            <w:tcW w:type="dxa" w:w="2160"/>
          </w:tcPr>
          <w:p>
            <w:r>
              <w:t>-0.321</w:t>
            </w:r>
          </w:p>
        </w:tc>
      </w:tr>
      <w:tr>
        <w:tc>
          <w:tcPr>
            <w:tcW w:type="dxa" w:w="2160"/>
          </w:tcPr>
          <w:p>
            <w:r>
              <w:t>Restaurants, cafes nearby</w:t>
            </w:r>
          </w:p>
        </w:tc>
        <w:tc>
          <w:tcPr>
            <w:tcW w:type="dxa" w:w="2160"/>
          </w:tcPr>
          <w:p>
            <w:r>
              <w:t>2.17</w:t>
            </w:r>
          </w:p>
        </w:tc>
        <w:tc>
          <w:tcPr>
            <w:tcW w:type="dxa" w:w="2160"/>
          </w:tcPr>
          <w:p>
            <w:r>
              <w:t>2.46</w:t>
            </w:r>
          </w:p>
        </w:tc>
        <w:tc>
          <w:tcPr>
            <w:tcW w:type="dxa" w:w="2160"/>
          </w:tcPr>
          <w:p>
            <w:r>
              <w:t>-0.295</w:t>
            </w:r>
          </w:p>
        </w:tc>
      </w:tr>
      <w:tr>
        <w:tc>
          <w:tcPr>
            <w:tcW w:type="dxa" w:w="2160"/>
          </w:tcPr>
          <w:p>
            <w:r>
              <w:t>Traffic light</w:t>
            </w:r>
          </w:p>
        </w:tc>
        <w:tc>
          <w:tcPr>
            <w:tcW w:type="dxa" w:w="2160"/>
          </w:tcPr>
          <w:p>
            <w:r>
              <w:t>2.23</w:t>
            </w:r>
          </w:p>
        </w:tc>
        <w:tc>
          <w:tcPr>
            <w:tcW w:type="dxa" w:w="2160"/>
          </w:tcPr>
          <w:p>
            <w:r>
              <w:t>2.48</w:t>
            </w:r>
          </w:p>
        </w:tc>
        <w:tc>
          <w:tcPr>
            <w:tcW w:type="dxa" w:w="2160"/>
          </w:tcPr>
          <w:p>
            <w:r>
              <w:t>-0.246</w:t>
            </w:r>
          </w:p>
        </w:tc>
      </w:tr>
      <w:tr>
        <w:tc>
          <w:tcPr>
            <w:tcW w:type="dxa" w:w="2160"/>
          </w:tcPr>
          <w:p>
            <w:r>
              <w:t>Pedestrian crosswalk</w:t>
            </w:r>
          </w:p>
        </w:tc>
        <w:tc>
          <w:tcPr>
            <w:tcW w:type="dxa" w:w="2160"/>
          </w:tcPr>
          <w:p>
            <w:r>
              <w:t>2.23</w:t>
            </w:r>
          </w:p>
        </w:tc>
        <w:tc>
          <w:tcPr>
            <w:tcW w:type="dxa" w:w="2160"/>
          </w:tcPr>
          <w:p>
            <w:r>
              <w:t>2.47</w:t>
            </w:r>
          </w:p>
        </w:tc>
        <w:tc>
          <w:tcPr>
            <w:tcW w:type="dxa" w:w="2160"/>
          </w:tcPr>
          <w:p>
            <w:r>
              <w:t>-0.241</w:t>
            </w:r>
          </w:p>
        </w:tc>
      </w:tr>
      <w:tr>
        <w:tc>
          <w:tcPr>
            <w:tcW w:type="dxa" w:w="2160"/>
          </w:tcPr>
          <w:p>
            <w:r>
              <w:t>Intersection</w:t>
            </w:r>
          </w:p>
        </w:tc>
        <w:tc>
          <w:tcPr>
            <w:tcW w:type="dxa" w:w="2160"/>
          </w:tcPr>
          <w:p>
            <w:r>
              <w:t>2.43</w:t>
            </w:r>
          </w:p>
        </w:tc>
        <w:tc>
          <w:tcPr>
            <w:tcW w:type="dxa" w:w="2160"/>
          </w:tcPr>
          <w:p>
            <w:r>
              <w:t>2.46</w:t>
            </w:r>
          </w:p>
        </w:tc>
        <w:tc>
          <w:tcPr>
            <w:tcW w:type="dxa" w:w="2160"/>
          </w:tcPr>
          <w:p>
            <w:r>
              <w:t>-0.032</w:t>
            </w:r>
          </w:p>
        </w:tc>
      </w:tr>
      <w:tr>
        <w:tc>
          <w:tcPr>
            <w:tcW w:type="dxa" w:w="2160"/>
          </w:tcPr>
          <w:p>
            <w:r>
              <w:t>Railroad crossing</w:t>
            </w:r>
          </w:p>
        </w:tc>
        <w:tc>
          <w:tcPr>
            <w:tcW w:type="dxa" w:w="2160"/>
          </w:tcPr>
          <w:p>
            <w:r>
              <w:t>2.44</w:t>
            </w:r>
          </w:p>
        </w:tc>
        <w:tc>
          <w:tcPr>
            <w:tcW w:type="dxa" w:w="2160"/>
          </w:tcPr>
          <w:p>
            <w:r>
              <w:t>2.46</w:t>
            </w:r>
          </w:p>
        </w:tc>
        <w:tc>
          <w:tcPr>
            <w:tcW w:type="dxa" w:w="2160"/>
          </w:tcPr>
          <w:p>
            <w:r>
              <w:t>-0.020</w:t>
            </w:r>
          </w:p>
        </w:tc>
      </w:tr>
      <w:tr>
        <w:tc>
          <w:tcPr>
            <w:tcW w:type="dxa" w:w="2160"/>
          </w:tcPr>
          <w:p>
            <w:r>
              <w:t>Stop sign</w:t>
            </w:r>
          </w:p>
        </w:tc>
        <w:tc>
          <w:tcPr>
            <w:tcW w:type="dxa" w:w="2160"/>
          </w:tcPr>
          <w:p>
            <w:r>
              <w:t>2.57</w:t>
            </w:r>
          </w:p>
        </w:tc>
        <w:tc>
          <w:tcPr>
            <w:tcW w:type="dxa" w:w="2160"/>
          </w:tcPr>
          <w:p>
            <w:r>
              <w:t>2.46</w:t>
            </w:r>
          </w:p>
        </w:tc>
        <w:tc>
          <w:tcPr>
            <w:tcW w:type="dxa" w:w="2160"/>
          </w:tcPr>
          <w:p>
            <w:r>
              <w:t>+0.111</w:t>
            </w:r>
          </w:p>
        </w:tc>
      </w:tr>
    </w:tbl>
    <w:p/>
    <w:p>
      <w:pPr>
        <w:pStyle w:val="Heading1"/>
      </w:pPr>
      <w:r>
        <w:t>3. Top 5 Most Dangerous Cities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Avg Severity</w:t>
            </w:r>
          </w:p>
        </w:tc>
        <w:tc>
          <w:tcPr>
            <w:tcW w:type="dxa" w:w="2880"/>
          </w:tcPr>
          <w:p>
            <w:r>
              <w:t>Severe %</w:t>
            </w:r>
          </w:p>
        </w:tc>
      </w:tr>
      <w:tr>
        <w:tc>
          <w:tcPr>
            <w:tcW w:type="dxa" w:w="2880"/>
          </w:tcPr>
          <w:p>
            <w:r>
              <w:t>Pomfret Center</w:t>
            </w:r>
          </w:p>
        </w:tc>
        <w:tc>
          <w:tcPr>
            <w:tcW w:type="dxa" w:w="2880"/>
          </w:tcPr>
          <w:p>
            <w:r>
              <w:t>3.02</w:t>
            </w:r>
          </w:p>
        </w:tc>
        <w:tc>
          <w:tcPr>
            <w:tcW w:type="dxa" w:w="2880"/>
          </w:tcPr>
          <w:p>
            <w:r>
              <w:t>52.8%</w:t>
            </w:r>
          </w:p>
        </w:tc>
      </w:tr>
      <w:tr>
        <w:tc>
          <w:tcPr>
            <w:tcW w:type="dxa" w:w="2880"/>
          </w:tcPr>
          <w:p>
            <w:r>
              <w:t>Kathleen</w:t>
            </w:r>
          </w:p>
        </w:tc>
        <w:tc>
          <w:tcPr>
            <w:tcW w:type="dxa" w:w="2880"/>
          </w:tcPr>
          <w:p>
            <w:r>
              <w:t>2.98</w:t>
            </w:r>
          </w:p>
        </w:tc>
        <w:tc>
          <w:tcPr>
            <w:tcW w:type="dxa" w:w="2880"/>
          </w:tcPr>
          <w:p>
            <w:r>
              <w:t>51.0%</w:t>
            </w:r>
          </w:p>
        </w:tc>
      </w:tr>
      <w:tr>
        <w:tc>
          <w:tcPr>
            <w:tcW w:type="dxa" w:w="2880"/>
          </w:tcPr>
          <w:p>
            <w:r>
              <w:t>Cedartown</w:t>
            </w:r>
          </w:p>
        </w:tc>
        <w:tc>
          <w:tcPr>
            <w:tcW w:type="dxa" w:w="2880"/>
          </w:tcPr>
          <w:p>
            <w:r>
              <w:t>2.94</w:t>
            </w:r>
          </w:p>
        </w:tc>
        <w:tc>
          <w:tcPr>
            <w:tcW w:type="dxa" w:w="2880"/>
          </w:tcPr>
          <w:p>
            <w:r>
              <w:t>49.5%</w:t>
            </w:r>
          </w:p>
        </w:tc>
      </w:tr>
      <w:tr>
        <w:tc>
          <w:tcPr>
            <w:tcW w:type="dxa" w:w="2880"/>
          </w:tcPr>
          <w:p>
            <w:r>
              <w:t>Ellijay</w:t>
            </w:r>
          </w:p>
        </w:tc>
        <w:tc>
          <w:tcPr>
            <w:tcW w:type="dxa" w:w="2880"/>
          </w:tcPr>
          <w:p>
            <w:r>
              <w:t>2.89</w:t>
            </w:r>
          </w:p>
        </w:tc>
        <w:tc>
          <w:tcPr>
            <w:tcW w:type="dxa" w:w="2880"/>
          </w:tcPr>
          <w:p>
            <w:r>
              <w:t>46.3%</w:t>
            </w:r>
          </w:p>
        </w:tc>
      </w:tr>
      <w:tr>
        <w:tc>
          <w:tcPr>
            <w:tcW w:type="dxa" w:w="2880"/>
          </w:tcPr>
          <w:p>
            <w:r>
              <w:t>Elberton</w:t>
            </w:r>
          </w:p>
        </w:tc>
        <w:tc>
          <w:tcPr>
            <w:tcW w:type="dxa" w:w="2880"/>
          </w:tcPr>
          <w:p>
            <w:r>
              <w:t>2.85</w:t>
            </w:r>
          </w:p>
        </w:tc>
        <w:tc>
          <w:tcPr>
            <w:tcW w:type="dxa" w:w="2880"/>
          </w:tcPr>
          <w:p>
            <w:r>
              <w:t>43.0%</w:t>
            </w:r>
          </w:p>
        </w:tc>
      </w:tr>
    </w:tbl>
    <w:p/>
    <w:p>
      <w:pPr>
        <w:pStyle w:val="Heading1"/>
      </w:pPr>
      <w:r>
        <w:t>4. Top 5 Safest Cities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Avg Severity</w:t>
            </w:r>
          </w:p>
        </w:tc>
        <w:tc>
          <w:tcPr>
            <w:tcW w:type="dxa" w:w="2880"/>
          </w:tcPr>
          <w:p>
            <w:r>
              <w:t>Severe %</w:t>
            </w:r>
          </w:p>
        </w:tc>
      </w:tr>
      <w:tr>
        <w:tc>
          <w:tcPr>
            <w:tcW w:type="dxa" w:w="2880"/>
          </w:tcPr>
          <w:p>
            <w:r>
              <w:t>Meriden</w:t>
            </w:r>
          </w:p>
        </w:tc>
        <w:tc>
          <w:tcPr>
            <w:tcW w:type="dxa" w:w="2880"/>
          </w:tcPr>
          <w:p>
            <w:r>
              <w:t>2.14</w:t>
            </w:r>
          </w:p>
        </w:tc>
        <w:tc>
          <w:tcPr>
            <w:tcW w:type="dxa" w:w="2880"/>
          </w:tcPr>
          <w:p>
            <w:r>
              <w:t>12.3%</w:t>
            </w:r>
          </w:p>
        </w:tc>
      </w:tr>
      <w:tr>
        <w:tc>
          <w:tcPr>
            <w:tcW w:type="dxa" w:w="2880"/>
          </w:tcPr>
          <w:p>
            <w:r>
              <w:t>Glastonbury</w:t>
            </w:r>
          </w:p>
        </w:tc>
        <w:tc>
          <w:tcPr>
            <w:tcW w:type="dxa" w:w="2880"/>
          </w:tcPr>
          <w:p>
            <w:r>
              <w:t>2.14</w:t>
            </w:r>
          </w:p>
        </w:tc>
        <w:tc>
          <w:tcPr>
            <w:tcW w:type="dxa" w:w="2880"/>
          </w:tcPr>
          <w:p>
            <w:r>
              <w:t>8.6%</w:t>
            </w:r>
          </w:p>
        </w:tc>
      </w:tr>
      <w:tr>
        <w:tc>
          <w:tcPr>
            <w:tcW w:type="dxa" w:w="2880"/>
          </w:tcPr>
          <w:p>
            <w:r>
              <w:t>Woodbridge</w:t>
            </w:r>
          </w:p>
        </w:tc>
        <w:tc>
          <w:tcPr>
            <w:tcW w:type="dxa" w:w="2880"/>
          </w:tcPr>
          <w:p>
            <w:r>
              <w:t>2.14</w:t>
            </w:r>
          </w:p>
        </w:tc>
        <w:tc>
          <w:tcPr>
            <w:tcW w:type="dxa" w:w="2880"/>
          </w:tcPr>
          <w:p>
            <w:r>
              <w:t>6.8%</w:t>
            </w:r>
          </w:p>
        </w:tc>
      </w:tr>
      <w:tr>
        <w:tc>
          <w:tcPr>
            <w:tcW w:type="dxa" w:w="2880"/>
          </w:tcPr>
          <w:p>
            <w:r>
              <w:t>Alpharetta</w:t>
            </w:r>
          </w:p>
        </w:tc>
        <w:tc>
          <w:tcPr>
            <w:tcW w:type="dxa" w:w="2880"/>
          </w:tcPr>
          <w:p>
            <w:r>
              <w:t>2.11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Trumbull</w:t>
            </w:r>
          </w:p>
        </w:tc>
        <w:tc>
          <w:tcPr>
            <w:tcW w:type="dxa" w:w="2880"/>
          </w:tcPr>
          <w:p>
            <w:r>
              <w:t>2.11</w:t>
            </w:r>
          </w:p>
        </w:tc>
        <w:tc>
          <w:tcPr>
            <w:tcW w:type="dxa" w:w="2880"/>
          </w:tcPr>
          <w:p>
            <w:r>
              <w:t>7.0%</w:t>
            </w:r>
          </w:p>
        </w:tc>
      </w:tr>
    </w:tbl>
    <w:p/>
    <w:p>
      <w:pPr>
        <w:pStyle w:val="Heading1"/>
      </w:pPr>
      <w:r>
        <w:t>5. Seasonal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Season</w:t>
            </w:r>
          </w:p>
        </w:tc>
        <w:tc>
          <w:tcPr>
            <w:tcW w:type="dxa" w:w="2880"/>
          </w:tcPr>
          <w:p>
            <w:r>
              <w:t>Avg Severity</w:t>
            </w:r>
          </w:p>
        </w:tc>
        <w:tc>
          <w:tcPr>
            <w:tcW w:type="dxa" w:w="2880"/>
          </w:tcPr>
          <w:p>
            <w:r>
              <w:t>Accidents</w:t>
            </w:r>
          </w:p>
        </w:tc>
      </w:tr>
      <w:tr>
        <w:tc>
          <w:tcPr>
            <w:tcW w:type="dxa" w:w="2880"/>
          </w:tcPr>
          <w:p>
            <w:r>
              <w:t>Summer</w:t>
            </w:r>
          </w:p>
        </w:tc>
        <w:tc>
          <w:tcPr>
            <w:tcW w:type="dxa" w:w="2880"/>
          </w:tcPr>
          <w:p>
            <w:r>
              <w:t>2.51</w:t>
            </w:r>
          </w:p>
        </w:tc>
        <w:tc>
          <w:tcPr>
            <w:tcW w:type="dxa" w:w="2880"/>
          </w:tcPr>
          <w:p>
            <w:r>
              <w:t>54,366</w:t>
            </w:r>
          </w:p>
        </w:tc>
      </w:tr>
      <w:tr>
        <w:tc>
          <w:tcPr>
            <w:tcW w:type="dxa" w:w="2880"/>
          </w:tcPr>
          <w:p>
            <w:r>
              <w:t>Spring</w:t>
            </w:r>
          </w:p>
        </w:tc>
        <w:tc>
          <w:tcPr>
            <w:tcW w:type="dxa" w:w="2880"/>
          </w:tcPr>
          <w:p>
            <w:r>
              <w:t>2.50</w:t>
            </w:r>
          </w:p>
        </w:tc>
        <w:tc>
          <w:tcPr>
            <w:tcW w:type="dxa" w:w="2880"/>
          </w:tcPr>
          <w:p>
            <w:r>
              <w:t>50,254</w:t>
            </w:r>
          </w:p>
        </w:tc>
      </w:tr>
      <w:tr>
        <w:tc>
          <w:tcPr>
            <w:tcW w:type="dxa" w:w="2880"/>
          </w:tcPr>
          <w:p>
            <w:r>
              <w:t>Fall</w:t>
            </w:r>
          </w:p>
        </w:tc>
        <w:tc>
          <w:tcPr>
            <w:tcW w:type="dxa" w:w="2880"/>
          </w:tcPr>
          <w:p>
            <w:r>
              <w:t>2.43</w:t>
            </w:r>
          </w:p>
        </w:tc>
        <w:tc>
          <w:tcPr>
            <w:tcW w:type="dxa" w:w="2880"/>
          </w:tcPr>
          <w:p>
            <w:r>
              <w:t>67,094</w:t>
            </w:r>
          </w:p>
        </w:tc>
      </w:tr>
      <w:tr>
        <w:tc>
          <w:tcPr>
            <w:tcW w:type="dxa" w:w="2880"/>
          </w:tcPr>
          <w:p>
            <w:r>
              <w:t>Winter</w:t>
            </w:r>
          </w:p>
        </w:tc>
        <w:tc>
          <w:tcPr>
            <w:tcW w:type="dxa" w:w="2880"/>
          </w:tcPr>
          <w:p>
            <w:r>
              <w:t>2.42</w:t>
            </w:r>
          </w:p>
        </w:tc>
        <w:tc>
          <w:tcPr>
            <w:tcW w:type="dxa" w:w="2880"/>
          </w:tcPr>
          <w:p>
            <w:r>
              <w:t>68,511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