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Rename Table</w:t>
      </w:r>
    </w:p>
    <w:tbl>
      <w:tblPr>
        <w:tblStyle w:val="TableGrid"/>
        <w:tblW w:w="93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12"/>
        <w:gridCol w:w="3076"/>
        <w:gridCol w:w="2968"/>
      </w:tblGrid>
      <w:tr>
        <w:trPr>
          <w:trHeight w:val="317" w:hRule="atLeast"/>
        </w:trPr>
        <w:tc>
          <w:tcPr>
            <w:tcW w:w="33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2"/>
                <w:lang w:val="en-US" w:eastAsia="en-US" w:bidi="ar-SA"/>
              </w:rPr>
              <w:t>Architectural Register</w:t>
            </w:r>
          </w:p>
        </w:tc>
        <w:tc>
          <w:tcPr>
            <w:tcW w:w="30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specTag</w:t>
            </w:r>
          </w:p>
        </w:tc>
        <w:tc>
          <w:tcPr>
            <w:tcW w:w="2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comTag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Shows latest mapping of architectural registers to physical registers (tags)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SpecTag is the last physical register assigned to a given architectural register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comTag is the last physical register committed for a given architectural register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comTag registers will never be available unless replaced </w:t>
      </w:r>
    </w:p>
    <w:p>
      <w:pPr>
        <w:pStyle w:val="ListParagrap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Example: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x3’s comTag was p5 and specTag was p6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After commit p6 became comTag of x3. Hence, p6 will now act as x3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p5 is now available</w:t>
      </w:r>
    </w:p>
    <w:p>
      <w:pPr>
        <w:pStyle w:val="ListParagraph"/>
        <w:ind w:left="113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Tag Buffer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6"/>
        <w:gridCol w:w="3117"/>
        <w:gridCol w:w="3117"/>
      </w:tblGrid>
      <w:tr>
        <w:trPr/>
        <w:tc>
          <w:tcPr>
            <w:tcW w:w="3116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Tag</w:t>
            </w:r>
          </w:p>
        </w:tc>
        <w:tc>
          <w:tcPr>
            <w:tcW w:w="3117" w:type="dxa"/>
            <w:tcBorders>
              <w:right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Available</w:t>
            </w:r>
          </w:p>
        </w:tc>
        <w:tc>
          <w:tcPr>
            <w:tcW w:w="3117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Ready</w:t>
            </w:r>
          </w:p>
        </w:tc>
      </w:tr>
    </w:tbl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Shows available tags, free for assignment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Ready implies that result in a tag is ready to be read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comTag registers are free only when replaced, as discussed 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Rename table informs which tags were freed </w:t>
      </w:r>
    </w:p>
    <w:p>
      <w:pPr>
        <w:pStyle w:val="ListParagrap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Issue Buffer (Arithmetic)</w:t>
      </w:r>
    </w:p>
    <w:tbl>
      <w:tblPr>
        <w:tblStyle w:val="TableGrid"/>
        <w:tblW w:w="954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6"/>
        <w:gridCol w:w="925"/>
        <w:gridCol w:w="924"/>
        <w:gridCol w:w="761"/>
        <w:gridCol w:w="721"/>
        <w:gridCol w:w="775"/>
        <w:gridCol w:w="547"/>
        <w:gridCol w:w="785"/>
        <w:gridCol w:w="818"/>
        <w:gridCol w:w="762"/>
        <w:gridCol w:w="721"/>
        <w:gridCol w:w="687"/>
        <w:gridCol w:w="579"/>
      </w:tblGrid>
      <w:tr>
        <w:trPr>
          <w:trHeight w:val="341" w:hRule="atLeast"/>
        </w:trPr>
        <w:tc>
          <w:tcPr>
            <w:tcW w:w="536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SqN</w:t>
            </w:r>
          </w:p>
        </w:tc>
        <w:tc>
          <w:tcPr>
            <w:tcW w:w="925" w:type="dxa"/>
            <w:tcBorders>
              <w:right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operation</w:t>
            </w:r>
          </w:p>
        </w:tc>
        <w:tc>
          <w:tcPr>
            <w:tcW w:w="92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pc</w:t>
            </w:r>
          </w:p>
        </w:tc>
        <w:tc>
          <w:tcPr>
            <w:tcW w:w="761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rs1_tag</w:t>
            </w:r>
          </w:p>
        </w:tc>
        <w:tc>
          <w:tcPr>
            <w:tcW w:w="721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ready1</w:t>
            </w:r>
          </w:p>
        </w:tc>
        <w:tc>
          <w:tcPr>
            <w:tcW w:w="77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is_imm</w:t>
            </w:r>
          </w:p>
        </w:tc>
        <w:tc>
          <w:tcPr>
            <w:tcW w:w="547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imm</w:t>
            </w:r>
          </w:p>
        </w:tc>
        <w:tc>
          <w:tcPr>
            <w:tcW w:w="78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br_type</w:t>
            </w:r>
          </w:p>
        </w:tc>
        <w:tc>
          <w:tcPr>
            <w:tcW w:w="81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is_jump</w:t>
            </w:r>
          </w:p>
        </w:tc>
        <w:tc>
          <w:tcPr>
            <w:tcW w:w="76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rs2_tag</w:t>
            </w:r>
          </w:p>
        </w:tc>
        <w:tc>
          <w:tcPr>
            <w:tcW w:w="721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ready2</w:t>
            </w:r>
          </w:p>
        </w:tc>
        <w:tc>
          <w:tcPr>
            <w:tcW w:w="687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rd_tag</w:t>
            </w:r>
          </w:p>
        </w:tc>
        <w:tc>
          <w:tcPr>
            <w:tcW w:w="57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valid</w:t>
            </w:r>
          </w:p>
        </w:tc>
      </w:tr>
    </w:tbl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Holds an instruction’s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Sequence number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The operation for ALU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Type of possible instruction. Based on the type decisions for oper 1 and 2 are taken. For instance, if it is a jump type. oper 1 = pc and oper 2 = 4, so valid1 and 2 will be ready instantly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Tags of operands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Ready if the corresponding operand is available 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Destination tag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Valid tells if instruction is valid </w:t>
      </w:r>
    </w:p>
    <w:p>
      <w:pPr>
        <w:pStyle w:val="ListParagrap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Purpose: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Holds instructions until both operands valid (result becomes available)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When both valids are set, instruction is issued without consideration of program order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Allows OoO issue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 case of stall, previous stages can continue to work unless the buffer is full</w:t>
      </w:r>
    </w:p>
    <w:p>
      <w:pPr>
        <w:pStyle w:val="ListParagrap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Reorder Buffer (ROB)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88"/>
        <w:gridCol w:w="1457"/>
        <w:gridCol w:w="1498"/>
        <w:gridCol w:w="1662"/>
        <w:gridCol w:w="1535"/>
        <w:gridCol w:w="1609"/>
      </w:tblGrid>
      <w:tr>
        <w:trPr/>
        <w:tc>
          <w:tcPr>
            <w:tcW w:w="158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SqN</w:t>
            </w:r>
          </w:p>
        </w:tc>
        <w:tc>
          <w:tcPr>
            <w:tcW w:w="1457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pc</w:t>
            </w:r>
          </w:p>
        </w:tc>
        <w:tc>
          <w:tcPr>
            <w:tcW w:w="149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rd</w:t>
            </w:r>
          </w:p>
        </w:tc>
        <w:tc>
          <w:tcPr>
            <w:tcW w:w="166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rd_tag</w:t>
            </w:r>
          </w:p>
        </w:tc>
        <w:tc>
          <w:tcPr>
            <w:tcW w:w="153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ready</w:t>
            </w:r>
          </w:p>
        </w:tc>
        <w:tc>
          <w:tcPr>
            <w:tcW w:w="16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valid</w:t>
            </w:r>
          </w:p>
        </w:tc>
      </w:tr>
    </w:tbl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When an instruction enters ROB, its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Sequence number (SqN)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Architectural Destination Register (rd)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Physical Destination Register (rd_tag)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Pc of that instruction, which can be used to restore program order in case of a flush</w:t>
      </w:r>
      <w:bookmarkStart w:id="0" w:name="_GoBack"/>
      <w:bookmarkEnd w:id="0"/>
    </w:p>
    <w:p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Are stored.</w:t>
      </w:r>
    </w:p>
    <w:p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ready bit signifies that instruction is ready for commit</w:t>
      </w:r>
    </w:p>
    <w:p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valid bit signifies if instruction is valid </w:t>
      </w:r>
    </w:p>
    <w:p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Working: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ready bit for an instruction is set when result is broadcasted and its rd_tag matches with broadcasted tag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The two instructions at the head of ROB are committed in each cycle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After commit the comTag mapping changes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ROB allows instructions to be committed in order </w:t>
      </w:r>
    </w:p>
    <w:p>
      <w:pPr>
        <w:pStyle w:val="ListParagrap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Register File: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Single register file in the core that only contains physical registers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Architectural registers are just a concept. They don’t exist physically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Result is written to this RF once computed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Commit in this case implies a particular register becoming comTag for an architectural register 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For instance, if p5 is the comTag of x3, then p5 can be considered an architectural register 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sz w:val="32"/>
        </w:rPr>
      </w:pPr>
      <w:r>
        <w:rPr>
          <w:rFonts w:cs="Times New Roman" w:ascii="Times New Roman" w:hAnsi="Times New Roman"/>
          <w:b/>
          <w:sz w:val="32"/>
        </w:rPr>
        <w:t>Instructions:</w:t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decode_instr: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rs1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rs2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rd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oper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f_unit[0:1]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sqN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imm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is_imm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br_type (0 for non-branch instructions)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is_jump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pc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valid</w:t>
      </w:r>
    </w:p>
    <w:p>
      <w:pPr>
        <w:pStyle w:val="ListParagraph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rename_instr: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rs1_tag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rs2_tag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rd_tag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oper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f_unit[0:1]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sqN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imm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is_imm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br_type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is_jump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pc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valid</w:t>
      </w:r>
    </w:p>
    <w:p>
      <w:pPr>
        <w:pStyle w:val="ListParagraph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ListParagraph"/>
        <w:ind w:left="36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dispatch_instr: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rs1_tag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rs2_tag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rd_tag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oper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sqN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imm  (only for ALU and LSU)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is_imm (only for ALU and LSU)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br_type (only for ALU)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is_jump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pc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valid</w:t>
      </w:r>
    </w:p>
    <w:p>
      <w:pPr>
        <w:pStyle w:val="ListParagraph"/>
        <w:ind w:left="1080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p>
      <w:pPr>
        <w:pStyle w:val="ListParagraph"/>
        <w:spacing w:before="0" w:after="160"/>
        <w:contextualSpacing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13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5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7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9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1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3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5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7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93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8d498d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d498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Application>LibreOffice/24.2.7.2$Linux_X86_64 LibreOffice_project/420$Build-2</Application>
  <AppVersion>15.0000</AppVersion>
  <Pages>3</Pages>
  <Words>536</Words>
  <Characters>2482</Characters>
  <CharactersWithSpaces>2844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2025-12-28T22:12:00Z</dcterms:created>
  <dc:creator>hp</dc:creator>
  <dc:description/>
  <dc:language>en-US</dc:language>
  <cp:lastModifiedBy/>
  <dcterms:modified xsi:type="dcterms:W3CDTF">2026-03-12T03:04:22Z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