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Rename Table</w:t>
      </w:r>
    </w:p>
    <w:tbl>
      <w:tblPr>
        <w:tblStyle w:val="TableGrid"/>
        <w:tblW w:w="935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12"/>
        <w:gridCol w:w="3076"/>
        <w:gridCol w:w="2968"/>
      </w:tblGrid>
      <w:tr>
        <w:trPr>
          <w:trHeight w:val="317" w:hRule="atLeast"/>
        </w:trPr>
        <w:tc>
          <w:tcPr>
            <w:tcW w:w="331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2"/>
                <w:lang w:val="en-US" w:eastAsia="en-US" w:bidi="ar-SA"/>
              </w:rPr>
              <w:t>Architectural Register</w:t>
            </w:r>
          </w:p>
        </w:tc>
        <w:tc>
          <w:tcPr>
            <w:tcW w:w="30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specTag</w:t>
            </w:r>
          </w:p>
        </w:tc>
        <w:tc>
          <w:tcPr>
            <w:tcW w:w="29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comTag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Shows latest mapping of architectural registers to physical registers (tags)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SpecTag is the last physical register assigned to a given architectural register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comTag is the last physical register committed for a given architectural register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comTag registers will never be available unless replaced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Example: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x3’s comTag was p5 and specTag was p6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After commit p6 became comTag of x3. Hence, p6 will now act as x3</w:t>
      </w:r>
    </w:p>
    <w:p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p5 is now available</w:t>
      </w:r>
    </w:p>
    <w:p>
      <w:pPr>
        <w:pStyle w:val="ListParagraph"/>
        <w:ind w:left="1133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Tag Buffer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116"/>
        <w:gridCol w:w="3117"/>
        <w:gridCol w:w="3116"/>
      </w:tblGrid>
      <w:tr>
        <w:trPr/>
        <w:tc>
          <w:tcPr>
            <w:tcW w:w="311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Tag</w:t>
            </w:r>
          </w:p>
        </w:tc>
        <w:tc>
          <w:tcPr>
            <w:tcW w:w="3117" w:type="dxa"/>
            <w:tcBorders>
              <w:right w:val="nil"/>
            </w:tcBorders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Available</w:t>
            </w:r>
          </w:p>
        </w:tc>
        <w:tc>
          <w:tcPr>
            <w:tcW w:w="311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Shows available tags, free for assignment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implies that result in a tag is ready to be read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comTag registers are free only when replaced, as discussed </w:t>
      </w:r>
    </w:p>
    <w:p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Rename table informs which tags were freed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Issue Buffer (Arithmetic)</w:t>
      </w:r>
    </w:p>
    <w:tbl>
      <w:tblPr>
        <w:tblStyle w:val="TableGrid"/>
        <w:tblW w:w="954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94"/>
        <w:gridCol w:w="1024"/>
        <w:gridCol w:w="844"/>
        <w:gridCol w:w="797"/>
        <w:gridCol w:w="858"/>
        <w:gridCol w:w="606"/>
        <w:gridCol w:w="869"/>
        <w:gridCol w:w="905"/>
        <w:gridCol w:w="844"/>
        <w:gridCol w:w="798"/>
        <w:gridCol w:w="761"/>
        <w:gridCol w:w="641"/>
      </w:tblGrid>
      <w:tr>
        <w:trPr>
          <w:trHeight w:val="341" w:hRule="atLeast"/>
        </w:trPr>
        <w:tc>
          <w:tcPr>
            <w:tcW w:w="59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SqN</w:t>
            </w:r>
          </w:p>
        </w:tc>
        <w:tc>
          <w:tcPr>
            <w:tcW w:w="102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operation</w:t>
            </w:r>
          </w:p>
        </w:tc>
        <w:tc>
          <w:tcPr>
            <w:tcW w:w="84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rs1_tag</w:t>
            </w:r>
          </w:p>
        </w:tc>
        <w:tc>
          <w:tcPr>
            <w:tcW w:w="79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ready1</w:t>
            </w:r>
          </w:p>
        </w:tc>
        <w:tc>
          <w:tcPr>
            <w:tcW w:w="858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is_imm</w:t>
            </w:r>
          </w:p>
        </w:tc>
        <w:tc>
          <w:tcPr>
            <w:tcW w:w="606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imm</w:t>
            </w:r>
          </w:p>
        </w:tc>
        <w:tc>
          <w:tcPr>
            <w:tcW w:w="86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br_type</w:t>
            </w:r>
          </w:p>
        </w:tc>
        <w:tc>
          <w:tcPr>
            <w:tcW w:w="905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is_jump</w:t>
            </w:r>
          </w:p>
        </w:tc>
        <w:tc>
          <w:tcPr>
            <w:tcW w:w="844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rs2_tag</w:t>
            </w:r>
          </w:p>
        </w:tc>
        <w:tc>
          <w:tcPr>
            <w:tcW w:w="798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ready2</w:t>
            </w:r>
          </w:p>
        </w:tc>
        <w:tc>
          <w:tcPr>
            <w:tcW w:w="761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rd_tag</w:t>
            </w:r>
          </w:p>
        </w:tc>
        <w:tc>
          <w:tcPr>
            <w:tcW w:w="641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valid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Holds an instruction’s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Sequence number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The operation for ALU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Type of possible instruction. Based on the type decisions for oper 1 and 2 are taken. For instance, if it is a jump type. oper 1 = pc and oper 2 = 4, so valid1 and 2 will be ready instantly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Tags of operands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Ready if the corresponding operand is available 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Destination tag</w:t>
      </w:r>
    </w:p>
    <w:p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Valid tells if instruction is valid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Purpose: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Holds instructions until both operands valid (result becomes available)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When both valids are set, instruction is issued without consideration of program order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Allows OoO issue</w:t>
      </w:r>
    </w:p>
    <w:p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In case of stall, previous stages can continue to work unless the buffer is full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Reorder Buffer (ROB)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88"/>
        <w:gridCol w:w="1457"/>
        <w:gridCol w:w="1498"/>
        <w:gridCol w:w="1662"/>
        <w:gridCol w:w="1535"/>
        <w:gridCol w:w="1609"/>
      </w:tblGrid>
      <w:tr>
        <w:trPr/>
        <w:tc>
          <w:tcPr>
            <w:tcW w:w="1588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SqN</w:t>
            </w:r>
          </w:p>
        </w:tc>
        <w:tc>
          <w:tcPr>
            <w:tcW w:w="1457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pc</w:t>
            </w:r>
          </w:p>
        </w:tc>
        <w:tc>
          <w:tcPr>
            <w:tcW w:w="1498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</w:t>
            </w:r>
          </w:p>
        </w:tc>
        <w:tc>
          <w:tcPr>
            <w:tcW w:w="1662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rd_tag</w:t>
            </w:r>
          </w:p>
        </w:tc>
        <w:tc>
          <w:tcPr>
            <w:tcW w:w="1535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ready</w:t>
            </w:r>
          </w:p>
        </w:tc>
        <w:tc>
          <w:tcPr>
            <w:tcW w:w="1609" w:type="dxa"/>
            <w:tcBorders/>
          </w:tcPr>
          <w:p>
            <w:pPr>
              <w:pStyle w:val="ListParagraph"/>
              <w:widowControl/>
              <w:spacing w:lineRule="auto" w:line="240" w:before="0" w:after="0"/>
              <w:ind w:left="0"/>
              <w:contextualSpacing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valid</w:t>
            </w:r>
          </w:p>
        </w:tc>
      </w:tr>
    </w:tbl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When an instruction enters ROB, its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Sequence number (SqN)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Architectural Destination Register (rd)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Physical Destination Register (rd_tag)</w:t>
      </w:r>
    </w:p>
    <w:p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Pc of that instruction, which can be used to restore program order in case of a flush</w:t>
      </w:r>
      <w:bookmarkStart w:id="0" w:name="_GoBack"/>
      <w:bookmarkEnd w:id="0"/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Are stored.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bit signifies that instruction is ready for commit</w:t>
      </w:r>
    </w:p>
    <w:p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valid bit signifies if instruction is valid </w:t>
      </w:r>
    </w:p>
    <w:p>
      <w:pPr>
        <w:pStyle w:val="ListParagraph"/>
        <w:ind w:left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Working: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ready bit for an instruction is set when result is broadcasted and its rd_tag matches with broadcasted tag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The two instructions at the head of ROB are committed in each cycle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After commit the comTag mapping changes</w:t>
      </w:r>
    </w:p>
    <w:p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ROB allows instructions to be committed in order </w:t>
      </w:r>
    </w:p>
    <w:p>
      <w:pPr>
        <w:pStyle w:val="ListParagrap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Register File: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Single register file in the core that only contains physical registers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Architectural registers are just a concept. They don’t exist physically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Result is written to this RF once computed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Commit in this case implies a particular register becoming comTag for an architectural register </w:t>
      </w:r>
    </w:p>
    <w:p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For instance, if p5 is the comTag of x3, then p5 can be considered an architectural register 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sz w:val="32"/>
        </w:rPr>
      </w:pPr>
      <w:r>
        <w:rPr>
          <w:rFonts w:cs="Times New Roman" w:ascii="Times New Roman" w:hAnsi="Times New Roman"/>
          <w:b/>
          <w:sz w:val="32"/>
        </w:rPr>
        <w:t>Instructions:</w:t>
      </w:r>
    </w:p>
    <w:p>
      <w:pPr>
        <w:pStyle w:val="Normal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decode_instr: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f_unit[0:1]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 (0 for non-branch instructions)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ListParagraph"/>
        <w:ind w:left="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rename_instr: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rd_tag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f_unit[0:1]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rPr>
          <w:rFonts w:ascii="Times New Roman" w:hAnsi="Times New Roman" w:cs="Times New Roman"/>
          <w:b/>
          <w:sz w:val="24"/>
        </w:rPr>
      </w:pPr>
      <w:r>
        <w:rPr>
          <w:rFonts w:cs="Times New Roman" w:ascii="Times New Roman" w:hAnsi="Times New Roman"/>
          <w:b/>
          <w:sz w:val="24"/>
        </w:rPr>
      </w:r>
    </w:p>
    <w:p>
      <w:pPr>
        <w:pStyle w:val="ListParagraph"/>
        <w:ind w:left="360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dispatch_instr: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rs1_tag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rs2_tag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rd_tag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oper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sqN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imm  (only for ALU and LSU)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is_imm (only for ALU and LSU)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br_type (only for ALU)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is_jump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pc</w:t>
      </w:r>
    </w:p>
    <w:p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valid</w:t>
      </w:r>
    </w:p>
    <w:p>
      <w:pPr>
        <w:pStyle w:val="ListParagraph"/>
        <w:ind w:left="1080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p>
      <w:pPr>
        <w:pStyle w:val="ListParagraph"/>
        <w:spacing w:before="0" w:after="160"/>
        <w:contextualSpacing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1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0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7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93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8d498d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d498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Application>LibreOffice/24.2.7.2$Linux_X86_64 LibreOffice_project/420$Build-2</Application>
  <AppVersion>15.0000</AppVersion>
  <Pages>3</Pages>
  <Words>535</Words>
  <Characters>2480</Characters>
  <CharactersWithSpaces>2842</CharactersWithSpaces>
  <Paragraphs>111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2025-12-28T22:12:00Z</dcterms:created>
  <dc:creator>hp</dc:creator>
  <dc:description/>
  <dc:language>en-US</dc:language>
  <cp:lastModifiedBy/>
  <dcterms:modified xsi:type="dcterms:W3CDTF">2026-03-07T04:04:41Z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