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498D" w:rsidRPr="008D498D" w:rsidRDefault="008D498D">
      <w:pPr>
        <w:rPr>
          <w:rFonts w:ascii="Times New Roman" w:hAnsi="Times New Roman" w:cs="Times New Roman"/>
          <w:b/>
          <w:sz w:val="28"/>
        </w:rPr>
      </w:pPr>
      <w:r w:rsidRPr="008D498D">
        <w:rPr>
          <w:rFonts w:ascii="Times New Roman" w:hAnsi="Times New Roman" w:cs="Times New Roman"/>
          <w:b/>
          <w:sz w:val="28"/>
        </w:rPr>
        <w:t>Rename Table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3312"/>
        <w:gridCol w:w="3076"/>
        <w:gridCol w:w="2968"/>
      </w:tblGrid>
      <w:tr w:rsidR="00AF7375" w:rsidRPr="008D498D" w:rsidTr="00AF7375">
        <w:trPr>
          <w:trHeight w:val="317"/>
        </w:trPr>
        <w:tc>
          <w:tcPr>
            <w:tcW w:w="3312" w:type="dxa"/>
          </w:tcPr>
          <w:p w:rsidR="00AF7375" w:rsidRPr="008D498D" w:rsidRDefault="00AF7375">
            <w:pPr>
              <w:rPr>
                <w:rFonts w:ascii="Times New Roman" w:hAnsi="Times New Roman" w:cs="Times New Roman"/>
                <w:sz w:val="24"/>
              </w:rPr>
            </w:pPr>
            <w:r w:rsidRPr="008D498D">
              <w:rPr>
                <w:rFonts w:ascii="Times New Roman" w:hAnsi="Times New Roman" w:cs="Times New Roman"/>
                <w:sz w:val="24"/>
              </w:rPr>
              <w:t>Architectural Register</w:t>
            </w:r>
          </w:p>
        </w:tc>
        <w:tc>
          <w:tcPr>
            <w:tcW w:w="3076" w:type="dxa"/>
          </w:tcPr>
          <w:p w:rsidR="00AF7375" w:rsidRPr="008D498D" w:rsidRDefault="00AF73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specTag</w:t>
            </w:r>
          </w:p>
        </w:tc>
        <w:tc>
          <w:tcPr>
            <w:tcW w:w="2968" w:type="dxa"/>
          </w:tcPr>
          <w:p w:rsidR="00AF7375" w:rsidRPr="008D498D" w:rsidRDefault="00AF73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comTag</w:t>
            </w:r>
          </w:p>
        </w:tc>
      </w:tr>
    </w:tbl>
    <w:p w:rsidR="00F70FAC" w:rsidRDefault="00F70FAC">
      <w:pPr>
        <w:rPr>
          <w:rFonts w:ascii="Times New Roman" w:hAnsi="Times New Roman" w:cs="Times New Roman"/>
        </w:rPr>
      </w:pPr>
    </w:p>
    <w:p w:rsidR="008D498D" w:rsidRDefault="008D498D" w:rsidP="008D498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Shows latest mapping of architectural registers to physical registers (tags)</w:t>
      </w:r>
    </w:p>
    <w:p w:rsidR="008D498D" w:rsidRDefault="008D498D" w:rsidP="008D498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SpecTag is the last physical register assigned to a given architectural register</w:t>
      </w:r>
    </w:p>
    <w:p w:rsidR="008D498D" w:rsidRDefault="008D498D" w:rsidP="008D498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comTag is the last physical register committed for a given architectural register</w:t>
      </w:r>
    </w:p>
    <w:p w:rsidR="008D498D" w:rsidRPr="00AF7375" w:rsidRDefault="008D498D" w:rsidP="00AF737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comTag registers will never be available unless replaced </w:t>
      </w:r>
    </w:p>
    <w:p w:rsidR="008D498D" w:rsidRDefault="008D498D" w:rsidP="008D498D">
      <w:pPr>
        <w:pStyle w:val="ListParagraph"/>
        <w:rPr>
          <w:rFonts w:ascii="Times New Roman" w:hAnsi="Times New Roman" w:cs="Times New Roman"/>
        </w:rPr>
      </w:pPr>
    </w:p>
    <w:p w:rsidR="008D498D" w:rsidRDefault="008D498D" w:rsidP="008D498D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Example:</w:t>
      </w:r>
    </w:p>
    <w:p w:rsidR="008D498D" w:rsidRDefault="008D498D" w:rsidP="008D498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x3’s comTag was p5 and specTag was p6</w:t>
      </w:r>
    </w:p>
    <w:p w:rsidR="008D498D" w:rsidRDefault="008D498D" w:rsidP="008D498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commit p6 became comTag of x3. Hence, p6 will now act as x3</w:t>
      </w:r>
    </w:p>
    <w:p w:rsidR="008D498D" w:rsidRDefault="008D498D" w:rsidP="008D498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p5 is now available</w:t>
      </w:r>
    </w:p>
    <w:p w:rsidR="00AF7375" w:rsidRDefault="00AF7375" w:rsidP="00AF7375">
      <w:pPr>
        <w:pStyle w:val="ListParagraph"/>
        <w:ind w:left="1133"/>
        <w:rPr>
          <w:rFonts w:ascii="Times New Roman" w:hAnsi="Times New Roman" w:cs="Times New Roman"/>
        </w:rPr>
      </w:pPr>
    </w:p>
    <w:p w:rsidR="00AF7375" w:rsidRDefault="00AF7375" w:rsidP="00AF7375"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Tag Buffer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F7375" w:rsidTr="00AF7375">
        <w:tc>
          <w:tcPr>
            <w:tcW w:w="4675" w:type="dxa"/>
          </w:tcPr>
          <w:p w:rsidR="00AF7375" w:rsidRPr="00AF7375" w:rsidRDefault="00AF7375" w:rsidP="00AF7375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Tag</w:t>
            </w:r>
          </w:p>
        </w:tc>
        <w:tc>
          <w:tcPr>
            <w:tcW w:w="4675" w:type="dxa"/>
          </w:tcPr>
          <w:p w:rsidR="00AF7375" w:rsidRPr="00AF7375" w:rsidRDefault="00AF7375" w:rsidP="00AF7375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Available</w:t>
            </w:r>
          </w:p>
        </w:tc>
      </w:tr>
    </w:tbl>
    <w:p w:rsidR="00AF7375" w:rsidRDefault="00AF7375" w:rsidP="00AF7375">
      <w:pPr>
        <w:pStyle w:val="ListParagraph"/>
        <w:ind w:left="0"/>
        <w:rPr>
          <w:rFonts w:ascii="Times New Roman" w:hAnsi="Times New Roman" w:cs="Times New Roman"/>
        </w:rPr>
      </w:pPr>
    </w:p>
    <w:p w:rsidR="00AF7375" w:rsidRDefault="00AF7375" w:rsidP="00AF73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Shows available tags, free for assignment</w:t>
      </w:r>
    </w:p>
    <w:p w:rsidR="00AF7375" w:rsidRDefault="00AF7375" w:rsidP="00AF73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comTag registers are free only when replaced, as discussed </w:t>
      </w:r>
    </w:p>
    <w:p w:rsidR="00AF7375" w:rsidRDefault="00AF7375" w:rsidP="00AF73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Rename table informs which tags were freed </w:t>
      </w:r>
    </w:p>
    <w:p w:rsidR="00136513" w:rsidRDefault="00136513" w:rsidP="00136513">
      <w:pPr>
        <w:pStyle w:val="ListParagraph"/>
        <w:rPr>
          <w:rFonts w:ascii="Times New Roman" w:hAnsi="Times New Roman" w:cs="Times New Roman"/>
        </w:rPr>
      </w:pPr>
    </w:p>
    <w:p w:rsidR="00136513" w:rsidRDefault="0090311E" w:rsidP="0090311E"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Issue Buffer</w:t>
      </w:r>
      <w:r w:rsidR="00C777AA">
        <w:rPr>
          <w:rFonts w:ascii="Times New Roman" w:hAnsi="Times New Roman" w:cs="Times New Roman"/>
          <w:b/>
          <w:sz w:val="28"/>
        </w:rPr>
        <w:t xml:space="preserve"> (Arithmetic)</w:t>
      </w:r>
    </w:p>
    <w:tbl>
      <w:tblPr>
        <w:tblStyle w:val="TableGrid"/>
        <w:tblW w:w="9542" w:type="dxa"/>
        <w:tblLook w:val="04A0" w:firstRow="1" w:lastRow="0" w:firstColumn="1" w:lastColumn="0" w:noHBand="0" w:noVBand="1"/>
      </w:tblPr>
      <w:tblGrid>
        <w:gridCol w:w="608"/>
        <w:gridCol w:w="1047"/>
        <w:gridCol w:w="864"/>
        <w:gridCol w:w="815"/>
        <w:gridCol w:w="877"/>
        <w:gridCol w:w="620"/>
        <w:gridCol w:w="889"/>
        <w:gridCol w:w="925"/>
        <w:gridCol w:w="864"/>
        <w:gridCol w:w="815"/>
        <w:gridCol w:w="779"/>
        <w:gridCol w:w="656"/>
      </w:tblGrid>
      <w:tr w:rsidR="007932DF" w:rsidRPr="0090311E" w:rsidTr="007932DF">
        <w:trPr>
          <w:trHeight w:val="341"/>
        </w:trPr>
        <w:tc>
          <w:tcPr>
            <w:tcW w:w="596" w:type="dxa"/>
          </w:tcPr>
          <w:p w:rsidR="007932DF" w:rsidRPr="0090311E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SqN</w:t>
            </w:r>
          </w:p>
        </w:tc>
        <w:tc>
          <w:tcPr>
            <w:tcW w:w="1015" w:type="dxa"/>
          </w:tcPr>
          <w:p w:rsidR="007932DF" w:rsidRPr="0090311E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840" w:type="dxa"/>
          </w:tcPr>
          <w:p w:rsidR="007932DF" w:rsidRPr="0090311E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rs1_tag</w:t>
            </w:r>
          </w:p>
        </w:tc>
        <w:tc>
          <w:tcPr>
            <w:tcW w:w="793" w:type="dxa"/>
          </w:tcPr>
          <w:p w:rsidR="007932DF" w:rsidRPr="0090311E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ready1</w:t>
            </w:r>
          </w:p>
        </w:tc>
        <w:tc>
          <w:tcPr>
            <w:tcW w:w="852" w:type="dxa"/>
          </w:tcPr>
          <w:p w:rsidR="007932DF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is_imm</w:t>
            </w:r>
          </w:p>
        </w:tc>
        <w:tc>
          <w:tcPr>
            <w:tcW w:w="606" w:type="dxa"/>
          </w:tcPr>
          <w:p w:rsidR="007932DF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imm</w:t>
            </w:r>
          </w:p>
        </w:tc>
        <w:tc>
          <w:tcPr>
            <w:tcW w:w="863" w:type="dxa"/>
          </w:tcPr>
          <w:p w:rsidR="007932DF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br_type</w:t>
            </w:r>
          </w:p>
        </w:tc>
        <w:tc>
          <w:tcPr>
            <w:tcW w:w="898" w:type="dxa"/>
          </w:tcPr>
          <w:p w:rsidR="007932DF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is_jump</w:t>
            </w:r>
          </w:p>
        </w:tc>
        <w:tc>
          <w:tcPr>
            <w:tcW w:w="840" w:type="dxa"/>
          </w:tcPr>
          <w:p w:rsidR="007932DF" w:rsidRPr="0090311E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rs2_tag</w:t>
            </w:r>
          </w:p>
        </w:tc>
        <w:tc>
          <w:tcPr>
            <w:tcW w:w="793" w:type="dxa"/>
          </w:tcPr>
          <w:p w:rsidR="007932DF" w:rsidRPr="0090311E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ready2</w:t>
            </w:r>
          </w:p>
        </w:tc>
        <w:tc>
          <w:tcPr>
            <w:tcW w:w="758" w:type="dxa"/>
          </w:tcPr>
          <w:p w:rsidR="007932DF" w:rsidRPr="0090311E" w:rsidRDefault="007932DF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rd_tag</w:t>
            </w:r>
          </w:p>
        </w:tc>
        <w:tc>
          <w:tcPr>
            <w:tcW w:w="688" w:type="dxa"/>
          </w:tcPr>
          <w:p w:rsidR="007932DF" w:rsidRDefault="005A1117" w:rsidP="0090311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</w:t>
            </w:r>
          </w:p>
        </w:tc>
      </w:tr>
    </w:tbl>
    <w:p w:rsidR="0090311E" w:rsidRDefault="0090311E" w:rsidP="0090311E">
      <w:pPr>
        <w:pStyle w:val="ListParagraph"/>
        <w:ind w:left="0"/>
        <w:rPr>
          <w:rFonts w:ascii="Times New Roman" w:hAnsi="Times New Roman" w:cs="Times New Roman"/>
        </w:rPr>
      </w:pPr>
    </w:p>
    <w:p w:rsidR="00C777AA" w:rsidRDefault="00C777AA" w:rsidP="0090311E"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Holds an instruction’s</w:t>
      </w:r>
    </w:p>
    <w:p w:rsidR="00C777AA" w:rsidRDefault="00C777AA" w:rsidP="00C777A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Sequence number</w:t>
      </w:r>
    </w:p>
    <w:p w:rsidR="00C777AA" w:rsidRDefault="00C777AA" w:rsidP="00C777A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operation for ALU</w:t>
      </w:r>
    </w:p>
    <w:p w:rsidR="00CE3AB5" w:rsidRDefault="00CE3AB5" w:rsidP="00C777A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of possible instruction</w:t>
      </w:r>
      <w:r w:rsidR="008A2138">
        <w:rPr>
          <w:rFonts w:ascii="Times New Roman" w:hAnsi="Times New Roman" w:cs="Times New Roman"/>
        </w:rPr>
        <w:t>. Based on the type decisions for oper 1 and 2 are taken</w:t>
      </w:r>
      <w:r w:rsidR="00860C13">
        <w:rPr>
          <w:rFonts w:ascii="Times New Roman" w:hAnsi="Times New Roman" w:cs="Times New Roman"/>
        </w:rPr>
        <w:t>. For instance, if it is a jump type. oper 1 = pc and oper 2 = 4, so valid1 and 2 will be ready instantly</w:t>
      </w:r>
    </w:p>
    <w:p w:rsidR="00C777AA" w:rsidRDefault="00C777AA" w:rsidP="00C777A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Tags of operands</w:t>
      </w:r>
    </w:p>
    <w:p w:rsidR="00C777AA" w:rsidRDefault="00803CC6" w:rsidP="00C777A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Ready</w:t>
      </w:r>
      <w:r w:rsidR="00C777AA">
        <w:rPr>
          <w:rFonts w:ascii="Times New Roman" w:hAnsi="Times New Roman" w:cs="Times New Roman"/>
        </w:rPr>
        <w:t xml:space="preserve"> if the corresponding operand is available </w:t>
      </w:r>
    </w:p>
    <w:p w:rsidR="00C777AA" w:rsidRDefault="00C777AA" w:rsidP="00C777A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Destination tag</w:t>
      </w:r>
    </w:p>
    <w:p w:rsidR="005A1117" w:rsidRDefault="005A1117" w:rsidP="00C777A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Valid tells if instruction is valid</w:t>
      </w:r>
      <w:r w:rsidR="000F65DA">
        <w:rPr>
          <w:rFonts w:ascii="Times New Roman" w:hAnsi="Times New Roman" w:cs="Times New Roman"/>
        </w:rPr>
        <w:t xml:space="preserve"> </w:t>
      </w:r>
    </w:p>
    <w:p w:rsidR="00C777AA" w:rsidRDefault="00C777AA" w:rsidP="00C777AA">
      <w:pPr>
        <w:pStyle w:val="ListParagraph"/>
        <w:rPr>
          <w:rFonts w:ascii="Times New Roman" w:hAnsi="Times New Roman" w:cs="Times New Roman"/>
        </w:rPr>
      </w:pPr>
    </w:p>
    <w:p w:rsidR="00C777AA" w:rsidRDefault="00365ABF" w:rsidP="00C777AA"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Purpose:</w:t>
      </w:r>
    </w:p>
    <w:p w:rsidR="00365ABF" w:rsidRDefault="00365ABF" w:rsidP="00365ABF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Holds instructions until both operands valid (result becomes available)</w:t>
      </w:r>
    </w:p>
    <w:p w:rsidR="00365ABF" w:rsidRDefault="00365ABF" w:rsidP="00365ABF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both valids are set, instruction is issued without consideration of program order</w:t>
      </w:r>
    </w:p>
    <w:p w:rsidR="00365ABF" w:rsidRDefault="00365ABF" w:rsidP="00365ABF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Allows OoO issue</w:t>
      </w:r>
    </w:p>
    <w:p w:rsidR="00365ABF" w:rsidRDefault="00365ABF" w:rsidP="00365ABF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case of stall, previous stages can continue to work unless the buffer is full</w:t>
      </w:r>
    </w:p>
    <w:p w:rsidR="00954CFC" w:rsidRDefault="00954CFC" w:rsidP="00954CFC">
      <w:pPr>
        <w:pStyle w:val="ListParagraph"/>
        <w:rPr>
          <w:rFonts w:ascii="Times New Roman" w:hAnsi="Times New Roman" w:cs="Times New Roman"/>
        </w:rPr>
      </w:pPr>
    </w:p>
    <w:p w:rsidR="00954CFC" w:rsidRDefault="00954CFC" w:rsidP="00954CFC"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Reorder Buffer (ROB)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1456"/>
        <w:gridCol w:w="1498"/>
        <w:gridCol w:w="1663"/>
        <w:gridCol w:w="1535"/>
        <w:gridCol w:w="1609"/>
      </w:tblGrid>
      <w:tr w:rsidR="00436E5B" w:rsidRPr="00DE6A59" w:rsidTr="00436E5B">
        <w:tc>
          <w:tcPr>
            <w:tcW w:w="1589" w:type="dxa"/>
          </w:tcPr>
          <w:p w:rsidR="00436E5B" w:rsidRPr="00DE6A59" w:rsidRDefault="00436E5B" w:rsidP="00954CF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SqN</w:t>
            </w:r>
          </w:p>
        </w:tc>
        <w:tc>
          <w:tcPr>
            <w:tcW w:w="1456" w:type="dxa"/>
          </w:tcPr>
          <w:p w:rsidR="00436E5B" w:rsidRDefault="00436E5B" w:rsidP="00954CF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pc</w:t>
            </w:r>
          </w:p>
        </w:tc>
        <w:tc>
          <w:tcPr>
            <w:tcW w:w="1498" w:type="dxa"/>
          </w:tcPr>
          <w:p w:rsidR="00436E5B" w:rsidRPr="00DE6A59" w:rsidRDefault="00436E5B" w:rsidP="00954CF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</w:t>
            </w:r>
          </w:p>
        </w:tc>
        <w:tc>
          <w:tcPr>
            <w:tcW w:w="1663" w:type="dxa"/>
          </w:tcPr>
          <w:p w:rsidR="00436E5B" w:rsidRPr="00DE6A59" w:rsidRDefault="00436E5B" w:rsidP="00954CF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rd_tag</w:t>
            </w:r>
          </w:p>
        </w:tc>
        <w:tc>
          <w:tcPr>
            <w:tcW w:w="1535" w:type="dxa"/>
          </w:tcPr>
          <w:p w:rsidR="00436E5B" w:rsidRDefault="00436E5B" w:rsidP="00954CF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ready</w:t>
            </w:r>
          </w:p>
        </w:tc>
        <w:tc>
          <w:tcPr>
            <w:tcW w:w="1609" w:type="dxa"/>
          </w:tcPr>
          <w:p w:rsidR="00436E5B" w:rsidRPr="00DE6A59" w:rsidRDefault="00436E5B" w:rsidP="00954CF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valid</w:t>
            </w:r>
          </w:p>
        </w:tc>
      </w:tr>
    </w:tbl>
    <w:p w:rsidR="00954CFC" w:rsidRPr="00DE6A59" w:rsidRDefault="00954CFC" w:rsidP="00954CFC">
      <w:pPr>
        <w:pStyle w:val="ListParagraph"/>
        <w:ind w:left="0"/>
        <w:rPr>
          <w:rFonts w:ascii="Times New Roman" w:hAnsi="Times New Roman" w:cs="Times New Roman"/>
        </w:rPr>
      </w:pPr>
    </w:p>
    <w:p w:rsidR="00C777AA" w:rsidRDefault="00A77DF3" w:rsidP="00A77DF3"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an</w:t>
      </w:r>
      <w:r w:rsidR="000F65DA">
        <w:rPr>
          <w:rFonts w:ascii="Times New Roman" w:hAnsi="Times New Roman" w:cs="Times New Roman"/>
        </w:rPr>
        <w:t xml:space="preserve"> instruction enters ROB</w:t>
      </w:r>
      <w:r>
        <w:rPr>
          <w:rFonts w:ascii="Times New Roman" w:hAnsi="Times New Roman" w:cs="Times New Roman"/>
        </w:rPr>
        <w:t>, its</w:t>
      </w:r>
    </w:p>
    <w:p w:rsidR="00A77DF3" w:rsidRDefault="00A77DF3" w:rsidP="00A77DF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Sequence number (SqN)</w:t>
      </w:r>
    </w:p>
    <w:p w:rsidR="00A77DF3" w:rsidRDefault="00A77DF3" w:rsidP="00A77DF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Architectural Destination Register (rd)</w:t>
      </w:r>
    </w:p>
    <w:p w:rsidR="00A77DF3" w:rsidRDefault="00A77DF3" w:rsidP="00A77DF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Physical Destination Register (rd_tag)</w:t>
      </w:r>
    </w:p>
    <w:p w:rsidR="00454472" w:rsidRDefault="00454472" w:rsidP="00A77DF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Pc of that instruction, which can be used to restore program order in case of a flush</w:t>
      </w:r>
      <w:bookmarkStart w:id="0" w:name="_GoBack"/>
      <w:bookmarkEnd w:id="0"/>
    </w:p>
    <w:p w:rsidR="00A77DF3" w:rsidRDefault="00A77DF3" w:rsidP="00A77DF3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Are stored.</w:t>
      </w:r>
    </w:p>
    <w:p w:rsidR="00A77DF3" w:rsidRDefault="000F65DA" w:rsidP="000F65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ready</w:t>
      </w:r>
      <w:r w:rsidR="00A77DF3">
        <w:rPr>
          <w:rFonts w:ascii="Times New Roman" w:hAnsi="Times New Roman" w:cs="Times New Roman"/>
        </w:rPr>
        <w:t xml:space="preserve"> bit signifies that instruction is ready for commit</w:t>
      </w:r>
    </w:p>
    <w:p w:rsidR="000F65DA" w:rsidRDefault="000F65DA" w:rsidP="000F65D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valid bit signifies if instruction is valid </w:t>
      </w:r>
    </w:p>
    <w:p w:rsidR="00A77DF3" w:rsidRDefault="00A77DF3" w:rsidP="00A77DF3">
      <w:pPr>
        <w:pStyle w:val="ListParagraph"/>
        <w:ind w:left="360"/>
        <w:rPr>
          <w:rFonts w:ascii="Times New Roman" w:hAnsi="Times New Roman" w:cs="Times New Roman"/>
        </w:rPr>
      </w:pPr>
    </w:p>
    <w:p w:rsidR="00A77DF3" w:rsidRDefault="00A77DF3" w:rsidP="00A77DF3"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Working:</w:t>
      </w:r>
    </w:p>
    <w:p w:rsidR="00A77DF3" w:rsidRDefault="00F73077" w:rsidP="00A77DF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ready</w:t>
      </w:r>
      <w:r w:rsidR="00A77DF3">
        <w:rPr>
          <w:rFonts w:ascii="Times New Roman" w:hAnsi="Times New Roman" w:cs="Times New Roman"/>
        </w:rPr>
        <w:t xml:space="preserve"> bit for an instruction is set when result is broadcasted and its rd_tag matches with broadcasted tag</w:t>
      </w:r>
    </w:p>
    <w:p w:rsidR="00A77DF3" w:rsidRDefault="00A77DF3" w:rsidP="00A77DF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two instructions at the head of ROB are committed in each cycle</w:t>
      </w:r>
    </w:p>
    <w:p w:rsidR="00A77DF3" w:rsidRDefault="00A77DF3" w:rsidP="00A77DF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commit the comTag mapping changes</w:t>
      </w:r>
    </w:p>
    <w:p w:rsidR="00A77DF3" w:rsidRDefault="008138F4" w:rsidP="00A77DF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ROB allows instructions to be committed in order </w:t>
      </w:r>
    </w:p>
    <w:p w:rsidR="00272381" w:rsidRDefault="00272381" w:rsidP="00272381">
      <w:pPr>
        <w:pStyle w:val="ListParagraph"/>
        <w:rPr>
          <w:rFonts w:ascii="Times New Roman" w:hAnsi="Times New Roman" w:cs="Times New Roman"/>
        </w:rPr>
      </w:pPr>
    </w:p>
    <w:p w:rsidR="00272381" w:rsidRDefault="00272381" w:rsidP="00272381"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Register File:</w:t>
      </w:r>
    </w:p>
    <w:p w:rsidR="00272381" w:rsidRDefault="00272381" w:rsidP="0027238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Single register file in the core that only contains physical registers</w:t>
      </w:r>
    </w:p>
    <w:p w:rsidR="00272381" w:rsidRDefault="00272381" w:rsidP="0027238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Architectural registers are just a concept. They don’t exist physically</w:t>
      </w:r>
    </w:p>
    <w:p w:rsidR="00272381" w:rsidRDefault="00272381" w:rsidP="0027238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 is written to this RF once computed</w:t>
      </w:r>
    </w:p>
    <w:p w:rsidR="00272381" w:rsidRDefault="00272381" w:rsidP="0027238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Commit in this case implies a particular register becoming comTag for an architectural register </w:t>
      </w:r>
    </w:p>
    <w:p w:rsidR="00272381" w:rsidRDefault="00272381" w:rsidP="0027238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instance, if p5 is the comTag of x3, then p5 can be considered an architectural register </w:t>
      </w:r>
    </w:p>
    <w:p w:rsidR="0046719F" w:rsidRDefault="0046719F" w:rsidP="0046719F">
      <w:pPr>
        <w:rPr>
          <w:rFonts w:ascii="Times New Roman" w:hAnsi="Times New Roman" w:cs="Times New Roman"/>
        </w:rPr>
      </w:pPr>
    </w:p>
    <w:p w:rsidR="0046719F" w:rsidRDefault="0046719F" w:rsidP="0046719F">
      <w:pPr>
        <w:rPr>
          <w:rFonts w:ascii="Times New Roman" w:hAnsi="Times New Roman" w:cs="Times New Roman"/>
        </w:rPr>
      </w:pPr>
    </w:p>
    <w:p w:rsidR="0046719F" w:rsidRDefault="0046719F" w:rsidP="0046719F">
      <w:pPr>
        <w:rPr>
          <w:rFonts w:ascii="Times New Roman" w:hAnsi="Times New Roman" w:cs="Times New Roman"/>
        </w:rPr>
      </w:pPr>
    </w:p>
    <w:p w:rsidR="0046719F" w:rsidRDefault="0046719F" w:rsidP="0046719F">
      <w:pPr>
        <w:rPr>
          <w:rFonts w:ascii="Times New Roman" w:hAnsi="Times New Roman" w:cs="Times New Roman"/>
        </w:rPr>
      </w:pPr>
    </w:p>
    <w:p w:rsidR="0046719F" w:rsidRDefault="0046719F" w:rsidP="0046719F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Instructions:</w:t>
      </w:r>
    </w:p>
    <w:p w:rsidR="0046719F" w:rsidRDefault="0046719F" w:rsidP="0046719F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decode_instr:</w:t>
      </w:r>
    </w:p>
    <w:p w:rsidR="0046719F" w:rsidRPr="00A247C9" w:rsidRDefault="00EB0F88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</w:t>
      </w:r>
      <w:r w:rsidR="0046719F" w:rsidRPr="00A247C9">
        <w:rPr>
          <w:rFonts w:ascii="Times New Roman" w:hAnsi="Times New Roman" w:cs="Times New Roman"/>
          <w:sz w:val="24"/>
        </w:rPr>
        <w:t>s1</w:t>
      </w:r>
    </w:p>
    <w:p w:rsidR="0046719F" w:rsidRPr="00A247C9" w:rsidRDefault="00EB0F88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</w:t>
      </w:r>
      <w:r w:rsidR="0046719F" w:rsidRPr="00A247C9">
        <w:rPr>
          <w:rFonts w:ascii="Times New Roman" w:hAnsi="Times New Roman" w:cs="Times New Roman"/>
          <w:sz w:val="24"/>
        </w:rPr>
        <w:t>s2</w:t>
      </w:r>
    </w:p>
    <w:p w:rsidR="0046719F" w:rsidRPr="00A247C9" w:rsidRDefault="00EB0F88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</w:t>
      </w:r>
      <w:r w:rsidR="0046719F" w:rsidRPr="00A247C9">
        <w:rPr>
          <w:rFonts w:ascii="Times New Roman" w:hAnsi="Times New Roman" w:cs="Times New Roman"/>
          <w:sz w:val="24"/>
        </w:rPr>
        <w:t>d</w:t>
      </w:r>
    </w:p>
    <w:p w:rsidR="0046719F" w:rsidRPr="00A247C9" w:rsidRDefault="00EB0F88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o</w:t>
      </w:r>
      <w:r w:rsidR="0046719F" w:rsidRPr="00A247C9">
        <w:rPr>
          <w:rFonts w:ascii="Times New Roman" w:hAnsi="Times New Roman" w:cs="Times New Roman"/>
          <w:sz w:val="24"/>
        </w:rPr>
        <w:t>per</w:t>
      </w:r>
    </w:p>
    <w:p w:rsidR="0046719F" w:rsidRPr="00A247C9" w:rsidRDefault="00EB0F88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f</w:t>
      </w:r>
      <w:r w:rsidR="0046719F" w:rsidRPr="00A247C9">
        <w:rPr>
          <w:rFonts w:ascii="Times New Roman" w:hAnsi="Times New Roman" w:cs="Times New Roman"/>
          <w:sz w:val="24"/>
        </w:rPr>
        <w:t>_unit</w:t>
      </w:r>
      <w:r w:rsidR="00A247C9" w:rsidRPr="00A247C9">
        <w:rPr>
          <w:rFonts w:ascii="Times New Roman" w:hAnsi="Times New Roman" w:cs="Times New Roman"/>
          <w:sz w:val="24"/>
        </w:rPr>
        <w:t>[0:1]</w:t>
      </w:r>
    </w:p>
    <w:p w:rsidR="0046719F" w:rsidRPr="00A247C9" w:rsidRDefault="00EB0F88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s</w:t>
      </w:r>
      <w:r w:rsidR="0046719F" w:rsidRPr="00A247C9">
        <w:rPr>
          <w:rFonts w:ascii="Times New Roman" w:hAnsi="Times New Roman" w:cs="Times New Roman"/>
          <w:sz w:val="24"/>
        </w:rPr>
        <w:t>qN</w:t>
      </w:r>
    </w:p>
    <w:p w:rsidR="0046719F" w:rsidRPr="00A247C9" w:rsidRDefault="0046719F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imm</w:t>
      </w:r>
    </w:p>
    <w:p w:rsidR="00421B5F" w:rsidRPr="00421B5F" w:rsidRDefault="008C1C35" w:rsidP="00421B5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is_imm</w:t>
      </w:r>
    </w:p>
    <w:p w:rsidR="00421B5F" w:rsidRDefault="00421B5F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br_type</w:t>
      </w:r>
      <w:r w:rsidR="008A3B65">
        <w:rPr>
          <w:rFonts w:ascii="Times New Roman" w:hAnsi="Times New Roman" w:cs="Times New Roman"/>
          <w:sz w:val="24"/>
        </w:rPr>
        <w:t xml:space="preserve"> (0 for non-branch instructions)</w:t>
      </w:r>
    </w:p>
    <w:p w:rsidR="00BE1757" w:rsidRDefault="00BE1757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is_jump</w:t>
      </w:r>
    </w:p>
    <w:p w:rsidR="005C4FCD" w:rsidRPr="00A247C9" w:rsidRDefault="005C4FCD" w:rsidP="0046719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pc</w:t>
      </w:r>
    </w:p>
    <w:p w:rsidR="00A247C9" w:rsidRDefault="00A247C9" w:rsidP="00A247C9">
      <w:pPr>
        <w:pStyle w:val="ListParagraph"/>
        <w:rPr>
          <w:rFonts w:ascii="Times New Roman" w:hAnsi="Times New Roman" w:cs="Times New Roman"/>
          <w:b/>
          <w:sz w:val="24"/>
        </w:rPr>
      </w:pPr>
    </w:p>
    <w:p w:rsidR="00A247C9" w:rsidRDefault="00A247C9" w:rsidP="00A247C9"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rename_instr:</w:t>
      </w:r>
    </w:p>
    <w:p w:rsidR="00A247C9" w:rsidRPr="00A247C9" w:rsidRDefault="00A247C9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rs1_tag</w:t>
      </w:r>
    </w:p>
    <w:p w:rsidR="00A247C9" w:rsidRPr="00A247C9" w:rsidRDefault="00A247C9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rs2_tag</w:t>
      </w:r>
    </w:p>
    <w:p w:rsidR="00A247C9" w:rsidRPr="00A247C9" w:rsidRDefault="00A247C9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rd_tag</w:t>
      </w:r>
    </w:p>
    <w:p w:rsidR="00A247C9" w:rsidRPr="00A247C9" w:rsidRDefault="00A247C9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oper</w:t>
      </w:r>
    </w:p>
    <w:p w:rsidR="00A247C9" w:rsidRPr="00A247C9" w:rsidRDefault="007C230A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f_unit[0:1]</w:t>
      </w:r>
    </w:p>
    <w:p w:rsidR="00A247C9" w:rsidRPr="00A247C9" w:rsidRDefault="00A247C9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sqN</w:t>
      </w:r>
    </w:p>
    <w:p w:rsidR="00A247C9" w:rsidRPr="00A247C9" w:rsidRDefault="00A247C9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imm</w:t>
      </w:r>
    </w:p>
    <w:p w:rsidR="00421B5F" w:rsidRPr="00421B5F" w:rsidRDefault="00A247C9" w:rsidP="00421B5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 w:rsidRPr="00993FFC">
        <w:rPr>
          <w:rFonts w:ascii="Times New Roman" w:hAnsi="Times New Roman" w:cs="Times New Roman"/>
          <w:sz w:val="24"/>
        </w:rPr>
        <w:t>is_imm</w:t>
      </w:r>
    </w:p>
    <w:p w:rsidR="00421B5F" w:rsidRDefault="00421B5F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br_type</w:t>
      </w:r>
    </w:p>
    <w:p w:rsidR="004C0201" w:rsidRDefault="004C0201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is_jump</w:t>
      </w:r>
    </w:p>
    <w:p w:rsidR="00436E5B" w:rsidRPr="00993FFC" w:rsidRDefault="00436E5B" w:rsidP="00A247C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pc</w:t>
      </w:r>
    </w:p>
    <w:p w:rsidR="00A247C9" w:rsidRDefault="00A247C9" w:rsidP="00A247C9">
      <w:pPr>
        <w:pStyle w:val="ListParagraph"/>
        <w:rPr>
          <w:rFonts w:ascii="Times New Roman" w:hAnsi="Times New Roman" w:cs="Times New Roman"/>
          <w:b/>
          <w:sz w:val="24"/>
        </w:rPr>
      </w:pPr>
    </w:p>
    <w:p w:rsidR="00993FFC" w:rsidRDefault="00993FFC" w:rsidP="00993FFC">
      <w:pPr>
        <w:pStyle w:val="ListParagraph"/>
        <w:ind w:left="36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dispatch_instr:</w:t>
      </w:r>
    </w:p>
    <w:p w:rsidR="00993FFC" w:rsidRPr="00A247C9" w:rsidRDefault="00993FFC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rs1_tag</w:t>
      </w:r>
    </w:p>
    <w:p w:rsidR="00993FFC" w:rsidRPr="00A247C9" w:rsidRDefault="00993FFC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rs2_tag</w:t>
      </w:r>
    </w:p>
    <w:p w:rsidR="00993FFC" w:rsidRPr="00A247C9" w:rsidRDefault="00993FFC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rd_tag</w:t>
      </w:r>
    </w:p>
    <w:p w:rsidR="00993FFC" w:rsidRPr="00993FFC" w:rsidRDefault="00993FFC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oper</w:t>
      </w:r>
    </w:p>
    <w:p w:rsidR="00993FFC" w:rsidRPr="00A247C9" w:rsidRDefault="00993FFC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sqN</w:t>
      </w:r>
    </w:p>
    <w:p w:rsidR="00993FFC" w:rsidRPr="00A247C9" w:rsidRDefault="00993FFC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A247C9">
        <w:rPr>
          <w:rFonts w:ascii="Times New Roman" w:hAnsi="Times New Roman" w:cs="Times New Roman"/>
          <w:sz w:val="24"/>
        </w:rPr>
        <w:t>imm</w:t>
      </w:r>
      <w:r w:rsidR="00B23700">
        <w:rPr>
          <w:rFonts w:ascii="Times New Roman" w:hAnsi="Times New Roman" w:cs="Times New Roman"/>
          <w:sz w:val="24"/>
        </w:rPr>
        <w:t xml:space="preserve">  (only for ALU and LSU)</w:t>
      </w:r>
    </w:p>
    <w:p w:rsidR="00993FFC" w:rsidRDefault="00993FFC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93FFC">
        <w:rPr>
          <w:rFonts w:ascii="Times New Roman" w:hAnsi="Times New Roman" w:cs="Times New Roman"/>
          <w:sz w:val="24"/>
        </w:rPr>
        <w:t>is_imm</w:t>
      </w:r>
      <w:r w:rsidR="00B23700">
        <w:rPr>
          <w:rFonts w:ascii="Times New Roman" w:hAnsi="Times New Roman" w:cs="Times New Roman"/>
          <w:sz w:val="24"/>
        </w:rPr>
        <w:t xml:space="preserve"> (only for ALU and LSU)</w:t>
      </w:r>
    </w:p>
    <w:p w:rsidR="00421B5F" w:rsidRDefault="00421B5F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br_type (only for ALU)</w:t>
      </w:r>
    </w:p>
    <w:p w:rsidR="004C0201" w:rsidRDefault="004C0201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is_jump</w:t>
      </w:r>
    </w:p>
    <w:p w:rsidR="00436E5B" w:rsidRPr="00993FFC" w:rsidRDefault="00436E5B" w:rsidP="00993FF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pc</w:t>
      </w:r>
    </w:p>
    <w:p w:rsidR="00993FFC" w:rsidRPr="00993FFC" w:rsidRDefault="00993FFC" w:rsidP="00993FFC">
      <w:pPr>
        <w:pStyle w:val="ListParagraph"/>
        <w:ind w:left="1080"/>
        <w:rPr>
          <w:rFonts w:ascii="Times New Roman" w:hAnsi="Times New Roman" w:cs="Times New Roman"/>
          <w:sz w:val="24"/>
        </w:rPr>
      </w:pPr>
    </w:p>
    <w:p w:rsidR="00A247C9" w:rsidRPr="00A247C9" w:rsidRDefault="00A247C9" w:rsidP="00A247C9">
      <w:pPr>
        <w:pStyle w:val="ListParagraph"/>
        <w:rPr>
          <w:rFonts w:ascii="Times New Roman" w:hAnsi="Times New Roman" w:cs="Times New Roman"/>
          <w:sz w:val="24"/>
        </w:rPr>
      </w:pPr>
    </w:p>
    <w:sectPr w:rsidR="00A247C9" w:rsidRPr="00A247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22A25"/>
    <w:multiLevelType w:val="hybridMultilevel"/>
    <w:tmpl w:val="34146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40938"/>
    <w:multiLevelType w:val="hybridMultilevel"/>
    <w:tmpl w:val="B23C4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D3728"/>
    <w:multiLevelType w:val="hybridMultilevel"/>
    <w:tmpl w:val="66683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135376"/>
    <w:multiLevelType w:val="hybridMultilevel"/>
    <w:tmpl w:val="2F36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03737F"/>
    <w:multiLevelType w:val="hybridMultilevel"/>
    <w:tmpl w:val="233CF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D53D40"/>
    <w:multiLevelType w:val="hybridMultilevel"/>
    <w:tmpl w:val="15DA89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7740DDD"/>
    <w:multiLevelType w:val="hybridMultilevel"/>
    <w:tmpl w:val="15105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E861A3"/>
    <w:multiLevelType w:val="hybridMultilevel"/>
    <w:tmpl w:val="C50E4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F33FA2"/>
    <w:multiLevelType w:val="hybridMultilevel"/>
    <w:tmpl w:val="F8BAA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6A4256"/>
    <w:multiLevelType w:val="hybridMultilevel"/>
    <w:tmpl w:val="357AF1B6"/>
    <w:lvl w:ilvl="0" w:tplc="04090001">
      <w:start w:val="1"/>
      <w:numFmt w:val="bullet"/>
      <w:lvlText w:val=""/>
      <w:lvlJc w:val="left"/>
      <w:pPr>
        <w:ind w:left="11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3" w:hanging="360"/>
      </w:pPr>
      <w:rPr>
        <w:rFonts w:ascii="Wingdings" w:hAnsi="Wingdings" w:hint="default"/>
      </w:rPr>
    </w:lvl>
  </w:abstractNum>
  <w:abstractNum w:abstractNumId="10" w15:restartNumberingAfterBreak="0">
    <w:nsid w:val="5AFE01BC"/>
    <w:multiLevelType w:val="hybridMultilevel"/>
    <w:tmpl w:val="6AC6A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D5510"/>
    <w:multiLevelType w:val="hybridMultilevel"/>
    <w:tmpl w:val="2DC08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C5137C1"/>
    <w:multiLevelType w:val="hybridMultilevel"/>
    <w:tmpl w:val="2C24B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DE7804"/>
    <w:multiLevelType w:val="hybridMultilevel"/>
    <w:tmpl w:val="F99EE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3B3BFA"/>
    <w:multiLevelType w:val="hybridMultilevel"/>
    <w:tmpl w:val="6AE06E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8BF01BB"/>
    <w:multiLevelType w:val="hybridMultilevel"/>
    <w:tmpl w:val="26086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5D0B3A"/>
    <w:multiLevelType w:val="hybridMultilevel"/>
    <w:tmpl w:val="ADC87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15"/>
  </w:num>
  <w:num w:numId="4">
    <w:abstractNumId w:val="5"/>
  </w:num>
  <w:num w:numId="5">
    <w:abstractNumId w:val="16"/>
  </w:num>
  <w:num w:numId="6">
    <w:abstractNumId w:val="12"/>
  </w:num>
  <w:num w:numId="7">
    <w:abstractNumId w:val="2"/>
  </w:num>
  <w:num w:numId="8">
    <w:abstractNumId w:val="10"/>
  </w:num>
  <w:num w:numId="9">
    <w:abstractNumId w:val="3"/>
  </w:num>
  <w:num w:numId="10">
    <w:abstractNumId w:val="13"/>
  </w:num>
  <w:num w:numId="11">
    <w:abstractNumId w:val="0"/>
  </w:num>
  <w:num w:numId="12">
    <w:abstractNumId w:val="14"/>
  </w:num>
  <w:num w:numId="13">
    <w:abstractNumId w:val="8"/>
  </w:num>
  <w:num w:numId="14">
    <w:abstractNumId w:val="1"/>
  </w:num>
  <w:num w:numId="15">
    <w:abstractNumId w:val="7"/>
  </w:num>
  <w:num w:numId="16">
    <w:abstractNumId w:val="11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D"/>
    <w:rsid w:val="000F65DA"/>
    <w:rsid w:val="00136513"/>
    <w:rsid w:val="00272381"/>
    <w:rsid w:val="00284B14"/>
    <w:rsid w:val="00365ABF"/>
    <w:rsid w:val="00421B5F"/>
    <w:rsid w:val="00436E5B"/>
    <w:rsid w:val="00454472"/>
    <w:rsid w:val="0046719F"/>
    <w:rsid w:val="004C0201"/>
    <w:rsid w:val="005A1117"/>
    <w:rsid w:val="005C4FCD"/>
    <w:rsid w:val="007932DF"/>
    <w:rsid w:val="007C230A"/>
    <w:rsid w:val="00803CC6"/>
    <w:rsid w:val="008138F4"/>
    <w:rsid w:val="00860C13"/>
    <w:rsid w:val="008A2138"/>
    <w:rsid w:val="008A3B65"/>
    <w:rsid w:val="008C1C35"/>
    <w:rsid w:val="008D498D"/>
    <w:rsid w:val="0090311E"/>
    <w:rsid w:val="00954CFC"/>
    <w:rsid w:val="00993FFC"/>
    <w:rsid w:val="009F58CC"/>
    <w:rsid w:val="00A247C9"/>
    <w:rsid w:val="00A77DF3"/>
    <w:rsid w:val="00AC0676"/>
    <w:rsid w:val="00AF7375"/>
    <w:rsid w:val="00B23700"/>
    <w:rsid w:val="00BA46B7"/>
    <w:rsid w:val="00BE1757"/>
    <w:rsid w:val="00C777AA"/>
    <w:rsid w:val="00CE3AB5"/>
    <w:rsid w:val="00DE6A59"/>
    <w:rsid w:val="00EB0F88"/>
    <w:rsid w:val="00EE25B6"/>
    <w:rsid w:val="00EF3E18"/>
    <w:rsid w:val="00F70FAC"/>
    <w:rsid w:val="00F73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6F04B"/>
  <w15:chartTrackingRefBased/>
  <w15:docId w15:val="{8C7BE48F-9257-4BBF-953C-83A4EF0D0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D49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D49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33</cp:revision>
  <dcterms:created xsi:type="dcterms:W3CDTF">2025-12-28T22:12:00Z</dcterms:created>
  <dcterms:modified xsi:type="dcterms:W3CDTF">2026-02-06T07:32:00Z</dcterms:modified>
</cp:coreProperties>
</file>