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ADA7" w14:textId="63C7BF4A" w:rsidR="00C61FE4" w:rsidRDefault="00C61FE4" w:rsidP="00C61FE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Name: Muhammad Hamza Khan</w:t>
      </w:r>
    </w:p>
    <w:p w14:paraId="43933771" w14:textId="01026BDA" w:rsidR="00C61FE4" w:rsidRDefault="00C61FE4" w:rsidP="00C61FE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Roll Number: 21l-5654</w:t>
      </w:r>
    </w:p>
    <w:p w14:paraId="76778F77" w14:textId="77777777" w:rsidR="00C61FE4" w:rsidRDefault="00C61FE4" w:rsidP="00C61FE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AD672B" w14:textId="7EE16474" w:rsidR="00C61FE4" w:rsidRPr="00C61FE4" w:rsidRDefault="00C61FE4" w:rsidP="00C61FE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Role of Non-state Actors</w:t>
      </w:r>
    </w:p>
    <w:p w14:paraId="3A5BD9D4" w14:textId="77777777" w:rsidR="00C61FE4" w:rsidRPr="00C61FE4" w:rsidRDefault="00C61FE4" w:rsidP="00C61FE4">
      <w:pPr>
        <w:spacing w:before="100" w:beforeAutospacing="1" w:after="100" w:afterAutospacing="1" w:line="240" w:lineRule="auto"/>
        <w:outlineLvl w:val="1"/>
        <w:rPr>
          <w:rFonts w:ascii="Times New Roman" w:eastAsia="Times New Roman" w:hAnsi="Times New Roman" w:cs="Times New Roman"/>
          <w:b/>
          <w:bCs/>
          <w:sz w:val="36"/>
          <w:szCs w:val="36"/>
        </w:rPr>
      </w:pPr>
      <w:r w:rsidRPr="00C61FE4">
        <w:rPr>
          <w:rFonts w:ascii="Times New Roman" w:eastAsia="Times New Roman" w:hAnsi="Times New Roman" w:cs="Times New Roman"/>
          <w:b/>
          <w:bCs/>
          <w:sz w:val="36"/>
          <w:szCs w:val="36"/>
        </w:rPr>
        <w:t>1. Introduction</w:t>
      </w:r>
    </w:p>
    <w:p w14:paraId="70C06192" w14:textId="77777777" w:rsidR="00C61FE4" w:rsidRPr="00C61FE4" w:rsidRDefault="00C61FE4" w:rsidP="00C61FE4">
      <w:p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In the contemporary global landscape, non-state actors have emerged as influential players, challenging the traditional state-centric paradigm of international relations. From multinational corporations to non-governmental organizations (NGOs), these entities wield significant power in shaping global policies, economics, and societal norms.</w:t>
      </w:r>
    </w:p>
    <w:p w14:paraId="1F6C09CA" w14:textId="77777777" w:rsidR="00C61FE4" w:rsidRPr="00C61FE4" w:rsidRDefault="00C61FE4" w:rsidP="00C61FE4">
      <w:pPr>
        <w:spacing w:before="100" w:beforeAutospacing="1" w:after="100" w:afterAutospacing="1" w:line="240" w:lineRule="auto"/>
        <w:outlineLvl w:val="1"/>
        <w:rPr>
          <w:rFonts w:ascii="Times New Roman" w:eastAsia="Times New Roman" w:hAnsi="Times New Roman" w:cs="Times New Roman"/>
          <w:b/>
          <w:bCs/>
          <w:sz w:val="36"/>
          <w:szCs w:val="36"/>
        </w:rPr>
      </w:pPr>
      <w:r w:rsidRPr="00C61FE4">
        <w:rPr>
          <w:rFonts w:ascii="Times New Roman" w:eastAsia="Times New Roman" w:hAnsi="Times New Roman" w:cs="Times New Roman"/>
          <w:b/>
          <w:bCs/>
          <w:sz w:val="36"/>
          <w:szCs w:val="36"/>
        </w:rPr>
        <w:t>2. The Diverse Roles of Non-State Actors</w:t>
      </w:r>
    </w:p>
    <w:p w14:paraId="0EC045A8" w14:textId="77777777" w:rsidR="00C61FE4" w:rsidRPr="00C61FE4" w:rsidRDefault="00C61FE4" w:rsidP="00C61FE4">
      <w:pPr>
        <w:spacing w:before="100" w:beforeAutospacing="1" w:after="100" w:afterAutospacing="1" w:line="240" w:lineRule="auto"/>
        <w:outlineLvl w:val="2"/>
        <w:rPr>
          <w:rFonts w:ascii="Times New Roman" w:eastAsia="Times New Roman" w:hAnsi="Times New Roman" w:cs="Times New Roman"/>
          <w:b/>
          <w:bCs/>
          <w:sz w:val="27"/>
          <w:szCs w:val="27"/>
        </w:rPr>
      </w:pPr>
      <w:r w:rsidRPr="00C61FE4">
        <w:rPr>
          <w:rFonts w:ascii="Times New Roman" w:eastAsia="Times New Roman" w:hAnsi="Times New Roman" w:cs="Times New Roman"/>
          <w:b/>
          <w:bCs/>
          <w:sz w:val="27"/>
          <w:szCs w:val="27"/>
        </w:rPr>
        <w:t>2.1 Economic Influence</w:t>
      </w:r>
    </w:p>
    <w:p w14:paraId="013CE526" w14:textId="77777777" w:rsidR="00C61FE4" w:rsidRPr="00C61FE4" w:rsidRDefault="00C61FE4" w:rsidP="00C61FE4">
      <w:p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Multinational corporations have become major drivers of the global economy, with their financial clout often rivaling that of nation-states. Their investment decisions, trade practices, and lobbying efforts can significantly impact international economic policies and relationships between countries.</w:t>
      </w:r>
    </w:p>
    <w:p w14:paraId="182F8F3D" w14:textId="77777777" w:rsidR="00C61FE4" w:rsidRPr="00C61FE4" w:rsidRDefault="00C61FE4" w:rsidP="00C61FE4">
      <w:pPr>
        <w:spacing w:before="100" w:beforeAutospacing="1" w:after="100" w:afterAutospacing="1" w:line="240" w:lineRule="auto"/>
        <w:outlineLvl w:val="2"/>
        <w:rPr>
          <w:rFonts w:ascii="Times New Roman" w:eastAsia="Times New Roman" w:hAnsi="Times New Roman" w:cs="Times New Roman"/>
          <w:b/>
          <w:bCs/>
          <w:sz w:val="27"/>
          <w:szCs w:val="27"/>
        </w:rPr>
      </w:pPr>
      <w:r w:rsidRPr="00C61FE4">
        <w:rPr>
          <w:rFonts w:ascii="Times New Roman" w:eastAsia="Times New Roman" w:hAnsi="Times New Roman" w:cs="Times New Roman"/>
          <w:b/>
          <w:bCs/>
          <w:sz w:val="27"/>
          <w:szCs w:val="27"/>
        </w:rPr>
        <w:t>2.2 Humanitarian and Development Work</w:t>
      </w:r>
    </w:p>
    <w:p w14:paraId="7396E5FC" w14:textId="77777777" w:rsidR="00C61FE4" w:rsidRPr="00C61FE4" w:rsidRDefault="00C61FE4" w:rsidP="00C61FE4">
      <w:p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NGOs play a crucial role in addressing global challenges such as poverty, human rights violations, and environmental degradation. Organizations like Amnesty International, Doctors Without Borders, and Greenpeace operate across borders, providing aid, advocacy, and expertise in areas where state actors may be unwilling or unable to intervene effectively.</w:t>
      </w:r>
    </w:p>
    <w:p w14:paraId="7F01DD2E" w14:textId="77777777" w:rsidR="00C61FE4" w:rsidRPr="00C61FE4" w:rsidRDefault="00C61FE4" w:rsidP="00C61FE4">
      <w:pPr>
        <w:spacing w:before="100" w:beforeAutospacing="1" w:after="100" w:afterAutospacing="1" w:line="240" w:lineRule="auto"/>
        <w:outlineLvl w:val="2"/>
        <w:rPr>
          <w:rFonts w:ascii="Times New Roman" w:eastAsia="Times New Roman" w:hAnsi="Times New Roman" w:cs="Times New Roman"/>
          <w:b/>
          <w:bCs/>
          <w:sz w:val="27"/>
          <w:szCs w:val="27"/>
        </w:rPr>
      </w:pPr>
      <w:r w:rsidRPr="00C61FE4">
        <w:rPr>
          <w:rFonts w:ascii="Times New Roman" w:eastAsia="Times New Roman" w:hAnsi="Times New Roman" w:cs="Times New Roman"/>
          <w:b/>
          <w:bCs/>
          <w:sz w:val="27"/>
          <w:szCs w:val="27"/>
        </w:rPr>
        <w:t>2.3 Transnational Advocacy Networks</w:t>
      </w:r>
    </w:p>
    <w:p w14:paraId="058F3436" w14:textId="77777777" w:rsidR="00C61FE4" w:rsidRPr="00C61FE4" w:rsidRDefault="00C61FE4" w:rsidP="00C61FE4">
      <w:p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Non-state actors have formed powerful transnational networks to advocate for specific causes or influence international decision-making processes. For example, the International Campaign to Ban Landmines successfully lobbied for a global treaty banning these weapons, demonstrating the ability of civil society to shape international norms and laws.</w:t>
      </w:r>
    </w:p>
    <w:p w14:paraId="61D2B0E4" w14:textId="77777777" w:rsidR="00C61FE4" w:rsidRPr="00C61FE4" w:rsidRDefault="00C61FE4" w:rsidP="00C61FE4">
      <w:pPr>
        <w:spacing w:before="100" w:beforeAutospacing="1" w:after="100" w:afterAutospacing="1" w:line="240" w:lineRule="auto"/>
        <w:outlineLvl w:val="2"/>
        <w:rPr>
          <w:rFonts w:ascii="Times New Roman" w:eastAsia="Times New Roman" w:hAnsi="Times New Roman" w:cs="Times New Roman"/>
          <w:b/>
          <w:bCs/>
          <w:sz w:val="27"/>
          <w:szCs w:val="27"/>
        </w:rPr>
      </w:pPr>
      <w:r w:rsidRPr="00C61FE4">
        <w:rPr>
          <w:rFonts w:ascii="Times New Roman" w:eastAsia="Times New Roman" w:hAnsi="Times New Roman" w:cs="Times New Roman"/>
          <w:b/>
          <w:bCs/>
          <w:sz w:val="27"/>
          <w:szCs w:val="27"/>
        </w:rPr>
        <w:t>2.4 Violent Non-State Actors</w:t>
      </w:r>
    </w:p>
    <w:p w14:paraId="6AD8FA49" w14:textId="77777777" w:rsidR="00C61FE4" w:rsidRPr="00C61FE4" w:rsidRDefault="00C61FE4" w:rsidP="00C61FE4">
      <w:p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lastRenderedPageBreak/>
        <w:t>Not all non-state actors have benevolent intentions. Terrorist organizations, insurgent groups, and transnational criminal networks pose significant security threats that transcend national boundaries. These violent actors can destabilize regions, undermine state authority, and necessitate multilateral cooperation to combat their influence.</w:t>
      </w:r>
    </w:p>
    <w:p w14:paraId="2106AC19" w14:textId="77777777" w:rsidR="00C61FE4" w:rsidRPr="00C61FE4" w:rsidRDefault="00C61FE4" w:rsidP="00C61FE4">
      <w:pPr>
        <w:spacing w:before="100" w:beforeAutospacing="1" w:after="100" w:afterAutospacing="1" w:line="240" w:lineRule="auto"/>
        <w:outlineLvl w:val="1"/>
        <w:rPr>
          <w:rFonts w:ascii="Times New Roman" w:eastAsia="Times New Roman" w:hAnsi="Times New Roman" w:cs="Times New Roman"/>
          <w:b/>
          <w:bCs/>
          <w:sz w:val="36"/>
          <w:szCs w:val="36"/>
        </w:rPr>
      </w:pPr>
      <w:r w:rsidRPr="00C61FE4">
        <w:rPr>
          <w:rFonts w:ascii="Times New Roman" w:eastAsia="Times New Roman" w:hAnsi="Times New Roman" w:cs="Times New Roman"/>
          <w:b/>
          <w:bCs/>
          <w:sz w:val="36"/>
          <w:szCs w:val="36"/>
        </w:rPr>
        <w:t>3. Implications and Way Forward</w:t>
      </w:r>
    </w:p>
    <w:p w14:paraId="1804EC03" w14:textId="77777777" w:rsidR="00C61FE4" w:rsidRPr="00C61FE4" w:rsidRDefault="00C61FE4" w:rsidP="00C61FE4">
      <w:p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The rise of non-state actors has profound implications for the conduct of international relations:</w:t>
      </w:r>
    </w:p>
    <w:p w14:paraId="0FDEFA05" w14:textId="77777777" w:rsidR="00C61FE4" w:rsidRPr="00C61FE4" w:rsidRDefault="00C61FE4" w:rsidP="00C61F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States must adapt their diplomatic strategies to engage effectively with non-state actors, recognizing their legitimate roles and interests in the international system.</w:t>
      </w:r>
    </w:p>
    <w:p w14:paraId="782A5DDE" w14:textId="77777777" w:rsidR="00C61FE4" w:rsidRPr="00C61FE4" w:rsidRDefault="00C61FE4" w:rsidP="00C61F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International institutions and legal frameworks need to evolve to better accommodate and regulate the activities of non-state actors, ensuring accountability and alignment with global norms.</w:t>
      </w:r>
    </w:p>
    <w:p w14:paraId="0C5FF581" w14:textId="77777777" w:rsidR="00C61FE4" w:rsidRPr="00C61FE4" w:rsidRDefault="00C61FE4" w:rsidP="00C61F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Collaborative partnerships between states, IGOs, and NGOs should be fostered to tackle complex global issues that require multi-stakeholder approaches.</w:t>
      </w:r>
    </w:p>
    <w:p w14:paraId="585A000C" w14:textId="77777777" w:rsidR="00C61FE4" w:rsidRPr="00C61FE4" w:rsidRDefault="00C61FE4" w:rsidP="00C61F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Efforts must be made to counter the influence of malevolent non-state actors through international cooperation, intelligence sharing, and targeted interventions.</w:t>
      </w:r>
    </w:p>
    <w:p w14:paraId="0FC0B051" w14:textId="77777777" w:rsidR="00C61FE4" w:rsidRPr="00C61FE4" w:rsidRDefault="00C61FE4" w:rsidP="00C61FE4">
      <w:pPr>
        <w:spacing w:before="100" w:beforeAutospacing="1" w:after="100" w:afterAutospacing="1" w:line="240" w:lineRule="auto"/>
        <w:outlineLvl w:val="1"/>
        <w:rPr>
          <w:rFonts w:ascii="Times New Roman" w:eastAsia="Times New Roman" w:hAnsi="Times New Roman" w:cs="Times New Roman"/>
          <w:b/>
          <w:bCs/>
          <w:sz w:val="36"/>
          <w:szCs w:val="36"/>
        </w:rPr>
      </w:pPr>
      <w:r w:rsidRPr="00C61FE4">
        <w:rPr>
          <w:rFonts w:ascii="Times New Roman" w:eastAsia="Times New Roman" w:hAnsi="Times New Roman" w:cs="Times New Roman"/>
          <w:b/>
          <w:bCs/>
          <w:sz w:val="36"/>
          <w:szCs w:val="36"/>
        </w:rPr>
        <w:t>4. Conclusion</w:t>
      </w:r>
    </w:p>
    <w:p w14:paraId="6E38D2BD" w14:textId="77777777" w:rsidR="00C61FE4" w:rsidRPr="00C61FE4" w:rsidRDefault="00C61FE4" w:rsidP="00C61FE4">
      <w:p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 xml:space="preserve">The proliferation of non-state actors has reshaped the landscape of international relations, </w:t>
      </w:r>
      <w:proofErr w:type="gramStart"/>
      <w:r w:rsidRPr="00C61FE4">
        <w:rPr>
          <w:rFonts w:ascii="Times New Roman" w:eastAsia="Times New Roman" w:hAnsi="Times New Roman" w:cs="Times New Roman"/>
          <w:sz w:val="24"/>
          <w:szCs w:val="24"/>
        </w:rPr>
        <w:t>challenging</w:t>
      </w:r>
      <w:proofErr w:type="gramEnd"/>
      <w:r w:rsidRPr="00C61FE4">
        <w:rPr>
          <w:rFonts w:ascii="Times New Roman" w:eastAsia="Times New Roman" w:hAnsi="Times New Roman" w:cs="Times New Roman"/>
          <w:sz w:val="24"/>
          <w:szCs w:val="24"/>
        </w:rPr>
        <w:t xml:space="preserve"> traditional notions of state sovereignty and introducing new dimensions of power and influence. As the world becomes increasingly interconnected and complex, embracing the constructive potential of non-state actors while mitigating their negative impacts will be crucial for building a more stable, equitable, and cooperative global order.</w:t>
      </w:r>
    </w:p>
    <w:p w14:paraId="14F98929" w14:textId="77777777" w:rsidR="00C61FE4" w:rsidRPr="00C61FE4" w:rsidRDefault="00C61FE4" w:rsidP="00C61FE4">
      <w:pPr>
        <w:spacing w:before="100" w:beforeAutospacing="1" w:after="100" w:afterAutospacing="1" w:line="240" w:lineRule="auto"/>
        <w:outlineLvl w:val="1"/>
        <w:rPr>
          <w:rFonts w:ascii="Times New Roman" w:eastAsia="Times New Roman" w:hAnsi="Times New Roman" w:cs="Times New Roman"/>
          <w:b/>
          <w:bCs/>
          <w:sz w:val="36"/>
          <w:szCs w:val="36"/>
        </w:rPr>
      </w:pPr>
      <w:r w:rsidRPr="00C61FE4">
        <w:rPr>
          <w:rFonts w:ascii="Times New Roman" w:eastAsia="Times New Roman" w:hAnsi="Times New Roman" w:cs="Times New Roman"/>
          <w:b/>
          <w:bCs/>
          <w:sz w:val="36"/>
          <w:szCs w:val="36"/>
        </w:rPr>
        <w:t>References</w:t>
      </w:r>
    </w:p>
    <w:p w14:paraId="440F9DF8" w14:textId="77777777" w:rsidR="00C61FE4" w:rsidRPr="00C61FE4" w:rsidRDefault="00C61FE4" w:rsidP="00C61F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Huntington, S. P. (2001). The Age of Nonpolarity: What Will Follow U.S. Dominance? Foreign Affairs, 80(3), 44-56.</w:t>
      </w:r>
    </w:p>
    <w:p w14:paraId="262C1627" w14:textId="77777777" w:rsidR="00C61FE4" w:rsidRPr="00C61FE4" w:rsidRDefault="00C61FE4" w:rsidP="00C61F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Matthews, J. T. (1997). Power shift. Foreign Affairs, 76(1), 50-66.</w:t>
      </w:r>
    </w:p>
    <w:p w14:paraId="045A8E98" w14:textId="77777777" w:rsidR="00C61FE4" w:rsidRPr="00C61FE4" w:rsidRDefault="00C61FE4" w:rsidP="00C61F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Nye, J. S. (1999). Redefining the national interest. Foreign Affairs, 78(4), 22-35.</w:t>
      </w:r>
    </w:p>
    <w:p w14:paraId="211D0814" w14:textId="77777777" w:rsidR="00C61FE4" w:rsidRPr="00C61FE4" w:rsidRDefault="00C61FE4" w:rsidP="00C61F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1FE4">
        <w:rPr>
          <w:rFonts w:ascii="Times New Roman" w:eastAsia="Times New Roman" w:hAnsi="Times New Roman" w:cs="Times New Roman"/>
          <w:sz w:val="24"/>
          <w:szCs w:val="24"/>
        </w:rPr>
        <w:t>Slaughter, A.-M. (2004). Sovereignty and Power in a Networked World Order. Stanford Journal of International Law, 40, 283-328.</w:t>
      </w:r>
    </w:p>
    <w:p w14:paraId="25222E8E" w14:textId="77777777" w:rsidR="008669B2" w:rsidRDefault="008669B2"/>
    <w:sectPr w:rsidR="0086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2A7F"/>
    <w:multiLevelType w:val="multilevel"/>
    <w:tmpl w:val="21EE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D52F9"/>
    <w:multiLevelType w:val="multilevel"/>
    <w:tmpl w:val="E47A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3B"/>
    <w:rsid w:val="0060393B"/>
    <w:rsid w:val="008669B2"/>
    <w:rsid w:val="00C6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622D"/>
  <w15:chartTrackingRefBased/>
  <w15:docId w15:val="{F20D32B1-DE9B-4FE9-9761-79F241FE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F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F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F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FE4"/>
    <w:rPr>
      <w:rFonts w:ascii="Times New Roman" w:eastAsia="Times New Roman" w:hAnsi="Times New Roman" w:cs="Times New Roman"/>
      <w:b/>
      <w:bCs/>
      <w:sz w:val="27"/>
      <w:szCs w:val="27"/>
    </w:rPr>
  </w:style>
  <w:style w:type="paragraph" w:customStyle="1" w:styleId="whitespace-pre-wrap">
    <w:name w:val="whitespace-pre-wrap"/>
    <w:basedOn w:val="Normal"/>
    <w:rsid w:val="00C61F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C61F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55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2</cp:revision>
  <dcterms:created xsi:type="dcterms:W3CDTF">2025-02-05T05:54:00Z</dcterms:created>
  <dcterms:modified xsi:type="dcterms:W3CDTF">2025-02-05T05:55:00Z</dcterms:modified>
</cp:coreProperties>
</file>