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68260" w14:textId="77777777" w:rsidR="00CB1EB2" w:rsidRPr="00CB1EB2" w:rsidRDefault="00CB1EB2" w:rsidP="00CB1EB2">
      <w:pPr>
        <w:spacing w:after="0" w:line="240" w:lineRule="auto"/>
        <w:rPr>
          <w:rFonts w:ascii="Times New Roman" w:eastAsia="Times New Roman" w:hAnsi="Times New Roman" w:cs="Times New Roman"/>
          <w:sz w:val="24"/>
          <w:szCs w:val="24"/>
        </w:rPr>
      </w:pPr>
      <w:r w:rsidRPr="00CB1EB2">
        <w:rPr>
          <w:rFonts w:ascii="Segoe UI" w:eastAsia="Times New Roman" w:hAnsi="Segoe UI" w:cs="Segoe UI"/>
          <w:b/>
          <w:bCs/>
          <w:sz w:val="24"/>
          <w:szCs w:val="24"/>
          <w:bdr w:val="single" w:sz="2" w:space="0" w:color="E5E7EB" w:frame="1"/>
        </w:rPr>
        <w:t>The Evolving Role of Non-State Actors in International Relations</w:t>
      </w:r>
    </w:p>
    <w:p w14:paraId="3984815B" w14:textId="77777777" w:rsidR="00CB1EB2" w:rsidRPr="00CB1EB2" w:rsidRDefault="00CB1EB2" w:rsidP="00CB1EB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CB1EB2">
        <w:rPr>
          <w:rFonts w:ascii="var(--font-fk-grotesk)" w:eastAsia="Times New Roman" w:hAnsi="var(--font-fk-grotesk)" w:cs="Times New Roman"/>
          <w:sz w:val="36"/>
          <w:szCs w:val="36"/>
        </w:rPr>
        <w:t>1. Introduction</w:t>
      </w:r>
    </w:p>
    <w:p w14:paraId="2B6349DD" w14:textId="77777777" w:rsidR="00CB1EB2" w:rsidRPr="00CB1EB2" w:rsidRDefault="00CB1EB2" w:rsidP="00CB1EB2">
      <w:pPr>
        <w:spacing w:after="0" w:line="240" w:lineRule="auto"/>
        <w:rPr>
          <w:rFonts w:ascii="Times New Roman" w:eastAsia="Times New Roman" w:hAnsi="Times New Roman" w:cs="Times New Roman"/>
          <w:sz w:val="24"/>
          <w:szCs w:val="24"/>
        </w:rPr>
      </w:pPr>
      <w:r w:rsidRPr="00CB1EB2">
        <w:rPr>
          <w:rFonts w:ascii="Segoe UI" w:eastAsia="Times New Roman" w:hAnsi="Segoe UI" w:cs="Segoe UI"/>
          <w:sz w:val="24"/>
          <w:szCs w:val="24"/>
          <w:bdr w:val="single" w:sz="2" w:space="0" w:color="E5E7EB" w:frame="1"/>
        </w:rPr>
        <w:t>Non-state actors (NSAs)—including NGOs, multinational corporations (MNCs), civil society groups, and transnational advocacy networks—have emerged as pivotal forces in shaping global governance, conflict resolution, and policy agendas. Once peripheral to state-centric international relations, their influence has grown exponentially due to globalization, the outsourcing of state functions, and the rise of asymmetric challenges like climate change and terrorism</w:t>
      </w:r>
      <w:hyperlink r:id="rId5" w:tgtFrame="_blank" w:history="1">
        <w:r w:rsidRPr="00CB1EB2">
          <w:rPr>
            <w:rFonts w:ascii="Courier New" w:eastAsia="Times New Roman" w:hAnsi="Courier New" w:cs="Courier New"/>
            <w:color w:val="0000FF"/>
            <w:sz w:val="24"/>
            <w:szCs w:val="24"/>
            <w:bdr w:val="single" w:sz="2" w:space="0" w:color="auto" w:frame="1"/>
          </w:rPr>
          <w:t>1</w:t>
        </w:r>
      </w:hyperlink>
      <w:hyperlink r:id="rId6" w:tgtFrame="_blank" w:history="1">
        <w:r w:rsidRPr="00CB1EB2">
          <w:rPr>
            <w:rFonts w:ascii="Courier New" w:eastAsia="Times New Roman" w:hAnsi="Courier New" w:cs="Courier New"/>
            <w:color w:val="0000FF"/>
            <w:sz w:val="24"/>
            <w:szCs w:val="24"/>
            <w:bdr w:val="single" w:sz="2" w:space="0" w:color="auto" w:frame="1"/>
          </w:rPr>
          <w:t>2</w:t>
        </w:r>
      </w:hyperlink>
      <w:r w:rsidRPr="00CB1EB2">
        <w:rPr>
          <w:rFonts w:ascii="Segoe UI" w:eastAsia="Times New Roman" w:hAnsi="Segoe UI" w:cs="Segoe UI"/>
          <w:sz w:val="24"/>
          <w:szCs w:val="24"/>
          <w:bdr w:val="single" w:sz="2" w:space="0" w:color="E5E7EB" w:frame="1"/>
        </w:rPr>
        <w:t>. This report examines their transformative roles, critiques their impact, and proposes pathways to harness their potential effectively.</w:t>
      </w:r>
    </w:p>
    <w:p w14:paraId="1B1579E8" w14:textId="77777777" w:rsidR="00CB1EB2" w:rsidRPr="00CB1EB2" w:rsidRDefault="00CB1EB2" w:rsidP="00CB1EB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CB1EB2">
        <w:rPr>
          <w:rFonts w:ascii="var(--font-fk-grotesk)" w:eastAsia="Times New Roman" w:hAnsi="var(--font-fk-grotesk)" w:cs="Times New Roman"/>
          <w:sz w:val="36"/>
          <w:szCs w:val="36"/>
        </w:rPr>
        <w:t>2. Main Theme/Discussion</w:t>
      </w:r>
    </w:p>
    <w:p w14:paraId="21F26BDC" w14:textId="77777777" w:rsidR="00CB1EB2" w:rsidRPr="00CB1EB2" w:rsidRDefault="00CB1EB2" w:rsidP="00CB1EB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CB1EB2">
        <w:rPr>
          <w:rFonts w:ascii="var(--font-fk-grotesk)" w:eastAsia="Times New Roman" w:hAnsi="var(--font-fk-grotesk)" w:cs="Times New Roman"/>
          <w:b/>
          <w:bCs/>
          <w:sz w:val="36"/>
          <w:szCs w:val="36"/>
          <w:bdr w:val="single" w:sz="2" w:space="0" w:color="E5E7EB" w:frame="1"/>
        </w:rPr>
        <w:t>Expanding Influence in Global Governance</w:t>
      </w:r>
    </w:p>
    <w:p w14:paraId="6C20A1B3" w14:textId="77777777" w:rsidR="00CB1EB2" w:rsidRPr="00CB1EB2" w:rsidRDefault="00CB1EB2" w:rsidP="00CB1EB2">
      <w:pPr>
        <w:spacing w:after="0" w:line="240" w:lineRule="auto"/>
        <w:rPr>
          <w:rFonts w:ascii="Times New Roman" w:eastAsia="Times New Roman" w:hAnsi="Times New Roman" w:cs="Times New Roman"/>
          <w:sz w:val="24"/>
          <w:szCs w:val="24"/>
        </w:rPr>
      </w:pPr>
      <w:r w:rsidRPr="00CB1EB2">
        <w:rPr>
          <w:rFonts w:ascii="Segoe UI" w:eastAsia="Times New Roman" w:hAnsi="Segoe UI" w:cs="Segoe UI"/>
          <w:sz w:val="24"/>
          <w:szCs w:val="24"/>
          <w:bdr w:val="single" w:sz="2" w:space="0" w:color="E5E7EB" w:frame="1"/>
        </w:rPr>
        <w:t>NSAs now operate as co-creators of international norms and policies. For example:</w:t>
      </w:r>
    </w:p>
    <w:p w14:paraId="3AE83482" w14:textId="77777777" w:rsidR="00CB1EB2" w:rsidRPr="00CB1EB2" w:rsidRDefault="00CB1EB2" w:rsidP="00CB1EB2">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CB1EB2">
        <w:rPr>
          <w:rFonts w:ascii="Segoe UI" w:eastAsia="Times New Roman" w:hAnsi="Segoe UI" w:cs="Segoe UI"/>
          <w:b/>
          <w:bCs/>
          <w:sz w:val="24"/>
          <w:szCs w:val="24"/>
          <w:bdr w:val="single" w:sz="2" w:space="0" w:color="E5E7EB" w:frame="1"/>
        </w:rPr>
        <w:t>Human Rights and Environmental Advocacy</w:t>
      </w:r>
      <w:r w:rsidRPr="00CB1EB2">
        <w:rPr>
          <w:rFonts w:ascii="Segoe UI" w:eastAsia="Times New Roman" w:hAnsi="Segoe UI" w:cs="Segoe UI"/>
          <w:sz w:val="24"/>
          <w:szCs w:val="24"/>
          <w:bdr w:val="single" w:sz="2" w:space="0" w:color="E5E7EB" w:frame="1"/>
        </w:rPr>
        <w:t>: NGOs like the International Campaign to Ban Landmines (ICBL) catalyzed the 1997 Ottawa Treaty, demonstrating how grassroots campaigns can compel states to adopt binding agreements</w:t>
      </w:r>
      <w:hyperlink r:id="rId7" w:tgtFrame="_blank" w:history="1">
        <w:r w:rsidRPr="00CB1EB2">
          <w:rPr>
            <w:rFonts w:ascii="Courier New" w:eastAsia="Times New Roman" w:hAnsi="Courier New" w:cs="Courier New"/>
            <w:color w:val="0000FF"/>
            <w:sz w:val="24"/>
            <w:szCs w:val="24"/>
            <w:bdr w:val="single" w:sz="2" w:space="0" w:color="auto" w:frame="1"/>
          </w:rPr>
          <w:t>1</w:t>
        </w:r>
      </w:hyperlink>
      <w:r w:rsidRPr="00CB1EB2">
        <w:rPr>
          <w:rFonts w:ascii="Segoe UI" w:eastAsia="Times New Roman" w:hAnsi="Segoe UI" w:cs="Segoe UI"/>
          <w:sz w:val="24"/>
          <w:szCs w:val="24"/>
          <w:bdr w:val="single" w:sz="2" w:space="0" w:color="E5E7EB" w:frame="1"/>
        </w:rPr>
        <w:t>. Similarly, climate-focused NSAs bridge gaps in national climate commitments by mobilizing grassroots action and holding governments accountable</w:t>
      </w:r>
      <w:hyperlink r:id="rId8" w:tgtFrame="_blank" w:history="1">
        <w:r w:rsidRPr="00CB1EB2">
          <w:rPr>
            <w:rFonts w:ascii="Courier New" w:eastAsia="Times New Roman" w:hAnsi="Courier New" w:cs="Courier New"/>
            <w:color w:val="0000FF"/>
            <w:sz w:val="24"/>
            <w:szCs w:val="24"/>
            <w:bdr w:val="single" w:sz="2" w:space="0" w:color="auto" w:frame="1"/>
          </w:rPr>
          <w:t>1</w:t>
        </w:r>
      </w:hyperlink>
      <w:hyperlink r:id="rId9" w:tgtFrame="_blank" w:history="1">
        <w:r w:rsidRPr="00CB1EB2">
          <w:rPr>
            <w:rFonts w:ascii="Courier New" w:eastAsia="Times New Roman" w:hAnsi="Courier New" w:cs="Courier New"/>
            <w:color w:val="0000FF"/>
            <w:sz w:val="24"/>
            <w:szCs w:val="24"/>
            <w:bdr w:val="single" w:sz="2" w:space="0" w:color="auto" w:frame="1"/>
          </w:rPr>
          <w:t>6</w:t>
        </w:r>
      </w:hyperlink>
      <w:r w:rsidRPr="00CB1EB2">
        <w:rPr>
          <w:rFonts w:ascii="Segoe UI" w:eastAsia="Times New Roman" w:hAnsi="Segoe UI" w:cs="Segoe UI"/>
          <w:sz w:val="24"/>
          <w:szCs w:val="24"/>
          <w:bdr w:val="single" w:sz="2" w:space="0" w:color="E5E7EB" w:frame="1"/>
        </w:rPr>
        <w:t>.</w:t>
      </w:r>
    </w:p>
    <w:p w14:paraId="79332907" w14:textId="77777777" w:rsidR="00CB1EB2" w:rsidRPr="00CB1EB2" w:rsidRDefault="00CB1EB2" w:rsidP="00CB1EB2">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CB1EB2">
        <w:rPr>
          <w:rFonts w:ascii="Segoe UI" w:eastAsia="Times New Roman" w:hAnsi="Segoe UI" w:cs="Segoe UI"/>
          <w:b/>
          <w:bCs/>
          <w:sz w:val="24"/>
          <w:szCs w:val="24"/>
          <w:bdr w:val="single" w:sz="2" w:space="0" w:color="E5E7EB" w:frame="1"/>
        </w:rPr>
        <w:t>Economic Power</w:t>
      </w:r>
      <w:r w:rsidRPr="00CB1EB2">
        <w:rPr>
          <w:rFonts w:ascii="Segoe UI" w:eastAsia="Times New Roman" w:hAnsi="Segoe UI" w:cs="Segoe UI"/>
          <w:sz w:val="24"/>
          <w:szCs w:val="24"/>
          <w:bdr w:val="single" w:sz="2" w:space="0" w:color="E5E7EB" w:frame="1"/>
        </w:rPr>
        <w:t>: MNCs and industry lobbies shape trade policies, as seen in the WTO’s TRIPs Agreement, which reflected corporate intellectual property demands</w:t>
      </w:r>
      <w:hyperlink r:id="rId10" w:tgtFrame="_blank" w:history="1">
        <w:r w:rsidRPr="00CB1EB2">
          <w:rPr>
            <w:rFonts w:ascii="Courier New" w:eastAsia="Times New Roman" w:hAnsi="Courier New" w:cs="Courier New"/>
            <w:color w:val="0000FF"/>
            <w:sz w:val="24"/>
            <w:szCs w:val="24"/>
            <w:bdr w:val="single" w:sz="2" w:space="0" w:color="auto" w:frame="1"/>
          </w:rPr>
          <w:t>3</w:t>
        </w:r>
      </w:hyperlink>
      <w:r w:rsidRPr="00CB1EB2">
        <w:rPr>
          <w:rFonts w:ascii="Segoe UI" w:eastAsia="Times New Roman" w:hAnsi="Segoe UI" w:cs="Segoe UI"/>
          <w:sz w:val="24"/>
          <w:szCs w:val="24"/>
          <w:bdr w:val="single" w:sz="2" w:space="0" w:color="E5E7EB" w:frame="1"/>
        </w:rPr>
        <w:t>. However, their profit-driven agendas often clash with public welfare, particularly in developing regions like the SADC, where MNCs perpetuate dependency through exploitative practices</w:t>
      </w:r>
      <w:hyperlink r:id="rId11" w:tgtFrame="_blank" w:history="1">
        <w:r w:rsidRPr="00CB1EB2">
          <w:rPr>
            <w:rFonts w:ascii="Courier New" w:eastAsia="Times New Roman" w:hAnsi="Courier New" w:cs="Courier New"/>
            <w:color w:val="0000FF"/>
            <w:sz w:val="24"/>
            <w:szCs w:val="24"/>
            <w:bdr w:val="single" w:sz="2" w:space="0" w:color="auto" w:frame="1"/>
          </w:rPr>
          <w:t>4</w:t>
        </w:r>
      </w:hyperlink>
      <w:r w:rsidRPr="00CB1EB2">
        <w:rPr>
          <w:rFonts w:ascii="Segoe UI" w:eastAsia="Times New Roman" w:hAnsi="Segoe UI" w:cs="Segoe UI"/>
          <w:sz w:val="24"/>
          <w:szCs w:val="24"/>
          <w:bdr w:val="single" w:sz="2" w:space="0" w:color="E5E7EB" w:frame="1"/>
        </w:rPr>
        <w:t>.</w:t>
      </w:r>
    </w:p>
    <w:p w14:paraId="3AB9EE86" w14:textId="77777777" w:rsidR="00CB1EB2" w:rsidRPr="00CB1EB2" w:rsidRDefault="00CB1EB2" w:rsidP="00CB1EB2">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CB1EB2">
        <w:rPr>
          <w:rFonts w:ascii="Segoe UI" w:eastAsia="Times New Roman" w:hAnsi="Segoe UI" w:cs="Segoe UI"/>
          <w:b/>
          <w:bCs/>
          <w:sz w:val="24"/>
          <w:szCs w:val="24"/>
          <w:bdr w:val="single" w:sz="2" w:space="0" w:color="E5E7EB" w:frame="1"/>
        </w:rPr>
        <w:t>Hybrid Governance</w:t>
      </w:r>
      <w:r w:rsidRPr="00CB1EB2">
        <w:rPr>
          <w:rFonts w:ascii="Segoe UI" w:eastAsia="Times New Roman" w:hAnsi="Segoe UI" w:cs="Segoe UI"/>
          <w:sz w:val="24"/>
          <w:szCs w:val="24"/>
          <w:bdr w:val="single" w:sz="2" w:space="0" w:color="E5E7EB" w:frame="1"/>
        </w:rPr>
        <w:t>: In fragile states, NSAs fill governance voids by providing security, justice, and social services. Paramilitary groups, local clans, and NGOs like the Centre on Housing Rights and Evictions (COHRE) in Kosovo illustrate this dual role—both stabilizing and destabilizing</w:t>
      </w:r>
      <w:hyperlink r:id="rId12" w:tgtFrame="_blank" w:history="1">
        <w:r w:rsidRPr="00CB1EB2">
          <w:rPr>
            <w:rFonts w:ascii="Courier New" w:eastAsia="Times New Roman" w:hAnsi="Courier New" w:cs="Courier New"/>
            <w:color w:val="0000FF"/>
            <w:sz w:val="24"/>
            <w:szCs w:val="24"/>
            <w:bdr w:val="single" w:sz="2" w:space="0" w:color="auto" w:frame="1"/>
          </w:rPr>
          <w:t>1</w:t>
        </w:r>
      </w:hyperlink>
      <w:hyperlink r:id="rId13" w:tgtFrame="_blank" w:history="1">
        <w:r w:rsidRPr="00CB1EB2">
          <w:rPr>
            <w:rFonts w:ascii="Courier New" w:eastAsia="Times New Roman" w:hAnsi="Courier New" w:cs="Courier New"/>
            <w:color w:val="0000FF"/>
            <w:sz w:val="24"/>
            <w:szCs w:val="24"/>
            <w:bdr w:val="single" w:sz="2" w:space="0" w:color="auto" w:frame="1"/>
          </w:rPr>
          <w:t>7</w:t>
        </w:r>
      </w:hyperlink>
      <w:r w:rsidRPr="00CB1EB2">
        <w:rPr>
          <w:rFonts w:ascii="Segoe UI" w:eastAsia="Times New Roman" w:hAnsi="Segoe UI" w:cs="Segoe UI"/>
          <w:sz w:val="24"/>
          <w:szCs w:val="24"/>
          <w:bdr w:val="single" w:sz="2" w:space="0" w:color="E5E7EB" w:frame="1"/>
        </w:rPr>
        <w:t>.</w:t>
      </w:r>
    </w:p>
    <w:p w14:paraId="0A0063A0" w14:textId="77777777" w:rsidR="00CB1EB2" w:rsidRPr="00CB1EB2" w:rsidRDefault="00CB1EB2" w:rsidP="00CB1EB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CB1EB2">
        <w:rPr>
          <w:rFonts w:ascii="var(--font-fk-grotesk)" w:eastAsia="Times New Roman" w:hAnsi="var(--font-fk-grotesk)" w:cs="Times New Roman"/>
          <w:b/>
          <w:bCs/>
          <w:sz w:val="36"/>
          <w:szCs w:val="36"/>
          <w:bdr w:val="single" w:sz="2" w:space="0" w:color="E5E7EB" w:frame="1"/>
        </w:rPr>
        <w:t>Conflict and Peacebuilding</w:t>
      </w:r>
    </w:p>
    <w:p w14:paraId="4BFA958A" w14:textId="77777777" w:rsidR="00CB1EB2" w:rsidRPr="00CB1EB2" w:rsidRDefault="00CB1EB2" w:rsidP="00CB1EB2">
      <w:pPr>
        <w:spacing w:after="0" w:line="240" w:lineRule="auto"/>
        <w:rPr>
          <w:rFonts w:ascii="Times New Roman" w:eastAsia="Times New Roman" w:hAnsi="Times New Roman" w:cs="Times New Roman"/>
          <w:sz w:val="24"/>
          <w:szCs w:val="24"/>
        </w:rPr>
      </w:pPr>
      <w:r w:rsidRPr="00CB1EB2">
        <w:rPr>
          <w:rFonts w:ascii="Segoe UI" w:eastAsia="Times New Roman" w:hAnsi="Segoe UI" w:cs="Segoe UI"/>
          <w:sz w:val="24"/>
          <w:szCs w:val="24"/>
          <w:bdr w:val="single" w:sz="2" w:space="0" w:color="E5E7EB" w:frame="1"/>
        </w:rPr>
        <w:t>NSAs are central to modern asymmetric conflicts and peace processes:</w:t>
      </w:r>
    </w:p>
    <w:p w14:paraId="6747B39C" w14:textId="77777777" w:rsidR="00CB1EB2" w:rsidRPr="00CB1EB2" w:rsidRDefault="00CB1EB2" w:rsidP="00CB1EB2">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CB1EB2">
        <w:rPr>
          <w:rFonts w:ascii="Segoe UI" w:eastAsia="Times New Roman" w:hAnsi="Segoe UI" w:cs="Segoe UI"/>
          <w:b/>
          <w:bCs/>
          <w:sz w:val="24"/>
          <w:szCs w:val="24"/>
          <w:bdr w:val="single" w:sz="2" w:space="0" w:color="E5E7EB" w:frame="1"/>
        </w:rPr>
        <w:lastRenderedPageBreak/>
        <w:t>Armed Groups</w:t>
      </w:r>
      <w:r w:rsidRPr="00CB1EB2">
        <w:rPr>
          <w:rFonts w:ascii="Segoe UI" w:eastAsia="Times New Roman" w:hAnsi="Segoe UI" w:cs="Segoe UI"/>
          <w:sz w:val="24"/>
          <w:szCs w:val="24"/>
          <w:bdr w:val="single" w:sz="2" w:space="0" w:color="E5E7EB" w:frame="1"/>
        </w:rPr>
        <w:t>: Terrorist networks and insurgents challenge state sovereignty, forcing nations like the U.S. to recalibrate security doctrines</w:t>
      </w:r>
      <w:hyperlink r:id="rId14" w:tgtFrame="_blank" w:history="1">
        <w:r w:rsidRPr="00CB1EB2">
          <w:rPr>
            <w:rFonts w:ascii="Courier New" w:eastAsia="Times New Roman" w:hAnsi="Courier New" w:cs="Courier New"/>
            <w:color w:val="0000FF"/>
            <w:sz w:val="24"/>
            <w:szCs w:val="24"/>
            <w:bdr w:val="single" w:sz="2" w:space="0" w:color="auto" w:frame="1"/>
          </w:rPr>
          <w:t>2</w:t>
        </w:r>
      </w:hyperlink>
      <w:hyperlink r:id="rId15" w:tgtFrame="_blank" w:history="1">
        <w:r w:rsidRPr="00CB1EB2">
          <w:rPr>
            <w:rFonts w:ascii="Courier New" w:eastAsia="Times New Roman" w:hAnsi="Courier New" w:cs="Courier New"/>
            <w:color w:val="0000FF"/>
            <w:sz w:val="24"/>
            <w:szCs w:val="24"/>
            <w:bdr w:val="single" w:sz="2" w:space="0" w:color="auto" w:frame="1"/>
          </w:rPr>
          <w:t>7</w:t>
        </w:r>
      </w:hyperlink>
      <w:r w:rsidRPr="00CB1EB2">
        <w:rPr>
          <w:rFonts w:ascii="Segoe UI" w:eastAsia="Times New Roman" w:hAnsi="Segoe UI" w:cs="Segoe UI"/>
          <w:sz w:val="24"/>
          <w:szCs w:val="24"/>
          <w:bdr w:val="single" w:sz="2" w:space="0" w:color="E5E7EB" w:frame="1"/>
        </w:rPr>
        <w:t>. Conversely, involving armed groups in peace talks (e.g., Colombia’s FARC) has proven essential for durable resolutions</w:t>
      </w:r>
      <w:hyperlink r:id="rId16" w:tgtFrame="_blank" w:history="1">
        <w:r w:rsidRPr="00CB1EB2">
          <w:rPr>
            <w:rFonts w:ascii="Courier New" w:eastAsia="Times New Roman" w:hAnsi="Courier New" w:cs="Courier New"/>
            <w:color w:val="0000FF"/>
            <w:sz w:val="24"/>
            <w:szCs w:val="24"/>
            <w:bdr w:val="single" w:sz="2" w:space="0" w:color="auto" w:frame="1"/>
          </w:rPr>
          <w:t>7</w:t>
        </w:r>
      </w:hyperlink>
      <w:r w:rsidRPr="00CB1EB2">
        <w:rPr>
          <w:rFonts w:ascii="Segoe UI" w:eastAsia="Times New Roman" w:hAnsi="Segoe UI" w:cs="Segoe UI"/>
          <w:sz w:val="24"/>
          <w:szCs w:val="24"/>
          <w:bdr w:val="single" w:sz="2" w:space="0" w:color="E5E7EB" w:frame="1"/>
        </w:rPr>
        <w:t>.</w:t>
      </w:r>
    </w:p>
    <w:p w14:paraId="44C257C4" w14:textId="77777777" w:rsidR="00CB1EB2" w:rsidRPr="00CB1EB2" w:rsidRDefault="00CB1EB2" w:rsidP="00CB1EB2">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CB1EB2">
        <w:rPr>
          <w:rFonts w:ascii="Segoe UI" w:eastAsia="Times New Roman" w:hAnsi="Segoe UI" w:cs="Segoe UI"/>
          <w:b/>
          <w:bCs/>
          <w:sz w:val="24"/>
          <w:szCs w:val="24"/>
          <w:bdr w:val="single" w:sz="2" w:space="0" w:color="E5E7EB" w:frame="1"/>
        </w:rPr>
        <w:t>Track II Diplomacy</w:t>
      </w:r>
      <w:r w:rsidRPr="00CB1EB2">
        <w:rPr>
          <w:rFonts w:ascii="Segoe UI" w:eastAsia="Times New Roman" w:hAnsi="Segoe UI" w:cs="Segoe UI"/>
          <w:sz w:val="24"/>
          <w:szCs w:val="24"/>
          <w:bdr w:val="single" w:sz="2" w:space="0" w:color="E5E7EB" w:frame="1"/>
        </w:rPr>
        <w:t>: NGOs and think tanks facilitate backchannel dialogues in trust-deficit regions (e.g., India-Pakistan). However, excessive foreign funding or aggressive agendas can undermine legitimacy, as seen in some Track II initiatives</w:t>
      </w:r>
      <w:hyperlink r:id="rId17" w:tgtFrame="_blank" w:history="1">
        <w:r w:rsidRPr="00CB1EB2">
          <w:rPr>
            <w:rFonts w:ascii="Courier New" w:eastAsia="Times New Roman" w:hAnsi="Courier New" w:cs="Courier New"/>
            <w:color w:val="0000FF"/>
            <w:sz w:val="24"/>
            <w:szCs w:val="24"/>
            <w:bdr w:val="single" w:sz="2" w:space="0" w:color="auto" w:frame="1"/>
          </w:rPr>
          <w:t>7</w:t>
        </w:r>
      </w:hyperlink>
      <w:r w:rsidRPr="00CB1EB2">
        <w:rPr>
          <w:rFonts w:ascii="Segoe UI" w:eastAsia="Times New Roman" w:hAnsi="Segoe UI" w:cs="Segoe UI"/>
          <w:sz w:val="24"/>
          <w:szCs w:val="24"/>
          <w:bdr w:val="single" w:sz="2" w:space="0" w:color="E5E7EB" w:frame="1"/>
        </w:rPr>
        <w:t>.</w:t>
      </w:r>
    </w:p>
    <w:p w14:paraId="6EADC9D9" w14:textId="77777777" w:rsidR="00CB1EB2" w:rsidRPr="00CB1EB2" w:rsidRDefault="00CB1EB2" w:rsidP="00CB1EB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CB1EB2">
        <w:rPr>
          <w:rFonts w:ascii="var(--font-fk-grotesk)" w:eastAsia="Times New Roman" w:hAnsi="var(--font-fk-grotesk)" w:cs="Times New Roman"/>
          <w:b/>
          <w:bCs/>
          <w:sz w:val="36"/>
          <w:szCs w:val="36"/>
          <w:bdr w:val="single" w:sz="2" w:space="0" w:color="E5E7EB" w:frame="1"/>
        </w:rPr>
        <w:t>Challenges and Critiques</w:t>
      </w:r>
    </w:p>
    <w:p w14:paraId="1C258D42" w14:textId="77777777" w:rsidR="00CB1EB2" w:rsidRPr="00CB1EB2" w:rsidRDefault="00CB1EB2" w:rsidP="00CB1EB2">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CB1EB2">
        <w:rPr>
          <w:rFonts w:ascii="Segoe UI" w:eastAsia="Times New Roman" w:hAnsi="Segoe UI" w:cs="Segoe UI"/>
          <w:b/>
          <w:bCs/>
          <w:sz w:val="24"/>
          <w:szCs w:val="24"/>
          <w:bdr w:val="single" w:sz="2" w:space="0" w:color="E5E7EB" w:frame="1"/>
        </w:rPr>
        <w:t>Accountability Gaps</w:t>
      </w:r>
      <w:r w:rsidRPr="00CB1EB2">
        <w:rPr>
          <w:rFonts w:ascii="Segoe UI" w:eastAsia="Times New Roman" w:hAnsi="Segoe UI" w:cs="Segoe UI"/>
          <w:sz w:val="24"/>
          <w:szCs w:val="24"/>
          <w:bdr w:val="single" w:sz="2" w:space="0" w:color="E5E7EB" w:frame="1"/>
        </w:rPr>
        <w:t>: NSAs often operate without democratic oversight. For instance, MNCs evade environmental regulations by relocating operations</w:t>
      </w:r>
      <w:hyperlink r:id="rId18" w:tgtFrame="_blank" w:history="1">
        <w:r w:rsidRPr="00CB1EB2">
          <w:rPr>
            <w:rFonts w:ascii="Courier New" w:eastAsia="Times New Roman" w:hAnsi="Courier New" w:cs="Courier New"/>
            <w:color w:val="0000FF"/>
            <w:sz w:val="24"/>
            <w:szCs w:val="24"/>
            <w:bdr w:val="single" w:sz="2" w:space="0" w:color="auto" w:frame="1"/>
          </w:rPr>
          <w:t>2</w:t>
        </w:r>
      </w:hyperlink>
      <w:hyperlink r:id="rId19" w:tgtFrame="_blank" w:history="1">
        <w:r w:rsidRPr="00CB1EB2">
          <w:rPr>
            <w:rFonts w:ascii="Courier New" w:eastAsia="Times New Roman" w:hAnsi="Courier New" w:cs="Courier New"/>
            <w:color w:val="0000FF"/>
            <w:sz w:val="24"/>
            <w:szCs w:val="24"/>
            <w:bdr w:val="single" w:sz="2" w:space="0" w:color="auto" w:frame="1"/>
          </w:rPr>
          <w:t>4</w:t>
        </w:r>
      </w:hyperlink>
      <w:r w:rsidRPr="00CB1EB2">
        <w:rPr>
          <w:rFonts w:ascii="Segoe UI" w:eastAsia="Times New Roman" w:hAnsi="Segoe UI" w:cs="Segoe UI"/>
          <w:sz w:val="24"/>
          <w:szCs w:val="24"/>
          <w:bdr w:val="single" w:sz="2" w:space="0" w:color="E5E7EB" w:frame="1"/>
        </w:rPr>
        <w:t>.</w:t>
      </w:r>
    </w:p>
    <w:p w14:paraId="67A8E787" w14:textId="77777777" w:rsidR="00CB1EB2" w:rsidRPr="00CB1EB2" w:rsidRDefault="00CB1EB2" w:rsidP="00CB1EB2">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CB1EB2">
        <w:rPr>
          <w:rFonts w:ascii="Segoe UI" w:eastAsia="Times New Roman" w:hAnsi="Segoe UI" w:cs="Segoe UI"/>
          <w:b/>
          <w:bCs/>
          <w:sz w:val="24"/>
          <w:szCs w:val="24"/>
          <w:bdr w:val="single" w:sz="2" w:space="0" w:color="E5E7EB" w:frame="1"/>
        </w:rPr>
        <w:t>Fragmentation</w:t>
      </w:r>
      <w:r w:rsidRPr="00CB1EB2">
        <w:rPr>
          <w:rFonts w:ascii="Segoe UI" w:eastAsia="Times New Roman" w:hAnsi="Segoe UI" w:cs="Segoe UI"/>
          <w:sz w:val="24"/>
          <w:szCs w:val="24"/>
          <w:bdr w:val="single" w:sz="2" w:space="0" w:color="E5E7EB" w:frame="1"/>
        </w:rPr>
        <w:t>: Competing NSA agendas—such as corporate lobbying vs. climate activism—create policy incoherence</w:t>
      </w:r>
      <w:hyperlink r:id="rId20" w:tgtFrame="_blank" w:history="1">
        <w:r w:rsidRPr="00CB1EB2">
          <w:rPr>
            <w:rFonts w:ascii="Courier New" w:eastAsia="Times New Roman" w:hAnsi="Courier New" w:cs="Courier New"/>
            <w:color w:val="0000FF"/>
            <w:sz w:val="24"/>
            <w:szCs w:val="24"/>
            <w:bdr w:val="single" w:sz="2" w:space="0" w:color="auto" w:frame="1"/>
          </w:rPr>
          <w:t>3</w:t>
        </w:r>
      </w:hyperlink>
      <w:hyperlink r:id="rId21" w:tgtFrame="_blank" w:history="1">
        <w:r w:rsidRPr="00CB1EB2">
          <w:rPr>
            <w:rFonts w:ascii="Courier New" w:eastAsia="Times New Roman" w:hAnsi="Courier New" w:cs="Courier New"/>
            <w:color w:val="0000FF"/>
            <w:sz w:val="24"/>
            <w:szCs w:val="24"/>
            <w:bdr w:val="single" w:sz="2" w:space="0" w:color="auto" w:frame="1"/>
          </w:rPr>
          <w:t>6</w:t>
        </w:r>
      </w:hyperlink>
      <w:r w:rsidRPr="00CB1EB2">
        <w:rPr>
          <w:rFonts w:ascii="Segoe UI" w:eastAsia="Times New Roman" w:hAnsi="Segoe UI" w:cs="Segoe UI"/>
          <w:sz w:val="24"/>
          <w:szCs w:val="24"/>
          <w:bdr w:val="single" w:sz="2" w:space="0" w:color="E5E7EB" w:frame="1"/>
        </w:rPr>
        <w:t>.</w:t>
      </w:r>
    </w:p>
    <w:p w14:paraId="55C71BFB" w14:textId="77777777" w:rsidR="00CB1EB2" w:rsidRPr="00CB1EB2" w:rsidRDefault="00CB1EB2" w:rsidP="00CB1EB2">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CB1EB2">
        <w:rPr>
          <w:rFonts w:ascii="Segoe UI" w:eastAsia="Times New Roman" w:hAnsi="Segoe UI" w:cs="Segoe UI"/>
          <w:b/>
          <w:bCs/>
          <w:sz w:val="24"/>
          <w:szCs w:val="24"/>
          <w:bdr w:val="single" w:sz="2" w:space="0" w:color="E5E7EB" w:frame="1"/>
        </w:rPr>
        <w:t>Dual Roles</w:t>
      </w:r>
      <w:r w:rsidRPr="00CB1EB2">
        <w:rPr>
          <w:rFonts w:ascii="Segoe UI" w:eastAsia="Times New Roman" w:hAnsi="Segoe UI" w:cs="Segoe UI"/>
          <w:sz w:val="24"/>
          <w:szCs w:val="24"/>
          <w:bdr w:val="single" w:sz="2" w:space="0" w:color="E5E7EB" w:frame="1"/>
        </w:rPr>
        <w:t>: While NGOs like ICBL advance global norms, others inadvertently legitimize state failures by assuming governance roles</w:t>
      </w:r>
      <w:hyperlink r:id="rId22" w:tgtFrame="_blank" w:history="1">
        <w:r w:rsidRPr="00CB1EB2">
          <w:rPr>
            <w:rFonts w:ascii="Courier New" w:eastAsia="Times New Roman" w:hAnsi="Courier New" w:cs="Courier New"/>
            <w:color w:val="0000FF"/>
            <w:sz w:val="24"/>
            <w:szCs w:val="24"/>
            <w:bdr w:val="single" w:sz="2" w:space="0" w:color="auto" w:frame="1"/>
          </w:rPr>
          <w:t>1</w:t>
        </w:r>
      </w:hyperlink>
      <w:hyperlink r:id="rId23" w:tgtFrame="_blank" w:history="1">
        <w:r w:rsidRPr="00CB1EB2">
          <w:rPr>
            <w:rFonts w:ascii="Courier New" w:eastAsia="Times New Roman" w:hAnsi="Courier New" w:cs="Courier New"/>
            <w:color w:val="0000FF"/>
            <w:sz w:val="24"/>
            <w:szCs w:val="24"/>
            <w:bdr w:val="single" w:sz="2" w:space="0" w:color="auto" w:frame="1"/>
          </w:rPr>
          <w:t>4</w:t>
        </w:r>
      </w:hyperlink>
      <w:r w:rsidRPr="00CB1EB2">
        <w:rPr>
          <w:rFonts w:ascii="Segoe UI" w:eastAsia="Times New Roman" w:hAnsi="Segoe UI" w:cs="Segoe UI"/>
          <w:sz w:val="24"/>
          <w:szCs w:val="24"/>
          <w:bdr w:val="single" w:sz="2" w:space="0" w:color="E5E7EB" w:frame="1"/>
        </w:rPr>
        <w:t>.</w:t>
      </w:r>
    </w:p>
    <w:p w14:paraId="52894247" w14:textId="77777777" w:rsidR="00CB1EB2" w:rsidRPr="00CB1EB2" w:rsidRDefault="00CB1EB2" w:rsidP="00CB1EB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CB1EB2">
        <w:rPr>
          <w:rFonts w:ascii="var(--font-fk-grotesk)" w:eastAsia="Times New Roman" w:hAnsi="var(--font-fk-grotesk)" w:cs="Times New Roman"/>
          <w:sz w:val="36"/>
          <w:szCs w:val="36"/>
        </w:rPr>
        <w:t>3. Recommendations/Way Forward</w:t>
      </w:r>
    </w:p>
    <w:p w14:paraId="76C06C51" w14:textId="77777777" w:rsidR="00CB1EB2" w:rsidRPr="00CB1EB2" w:rsidRDefault="00CB1EB2" w:rsidP="00CB1EB2">
      <w:pPr>
        <w:spacing w:after="0" w:line="240" w:lineRule="auto"/>
        <w:rPr>
          <w:rFonts w:ascii="Times New Roman" w:eastAsia="Times New Roman" w:hAnsi="Times New Roman" w:cs="Times New Roman"/>
          <w:sz w:val="24"/>
          <w:szCs w:val="24"/>
        </w:rPr>
      </w:pPr>
      <w:r w:rsidRPr="00CB1EB2">
        <w:rPr>
          <w:rFonts w:ascii="Segoe UI" w:eastAsia="Times New Roman" w:hAnsi="Segoe UI" w:cs="Segoe UI"/>
          <w:sz w:val="24"/>
          <w:szCs w:val="24"/>
          <w:bdr w:val="single" w:sz="2" w:space="0" w:color="E5E7EB" w:frame="1"/>
        </w:rPr>
        <w:t>To maximize NSA contributions while mitigating risks:</w:t>
      </w:r>
    </w:p>
    <w:p w14:paraId="4F08470D" w14:textId="77777777" w:rsidR="00CB1EB2" w:rsidRPr="00CB1EB2" w:rsidRDefault="00CB1EB2" w:rsidP="00CB1EB2">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CB1EB2">
        <w:rPr>
          <w:rFonts w:ascii="Segoe UI" w:eastAsia="Times New Roman" w:hAnsi="Segoe UI" w:cs="Segoe UI"/>
          <w:b/>
          <w:bCs/>
          <w:sz w:val="24"/>
          <w:szCs w:val="24"/>
          <w:bdr w:val="single" w:sz="2" w:space="0" w:color="E5E7EB" w:frame="1"/>
        </w:rPr>
        <w:t>Regulatory Frameworks</w:t>
      </w:r>
      <w:r w:rsidRPr="00CB1EB2">
        <w:rPr>
          <w:rFonts w:ascii="Segoe UI" w:eastAsia="Times New Roman" w:hAnsi="Segoe UI" w:cs="Segoe UI"/>
          <w:sz w:val="24"/>
          <w:szCs w:val="24"/>
          <w:bdr w:val="single" w:sz="2" w:space="0" w:color="E5E7EB" w:frame="1"/>
        </w:rPr>
        <w:t>: Establish international standards for NSA transparency and accountability, particularly for MNCs and armed groups</w:t>
      </w:r>
      <w:hyperlink r:id="rId24" w:tgtFrame="_blank" w:history="1">
        <w:r w:rsidRPr="00CB1EB2">
          <w:rPr>
            <w:rFonts w:ascii="Courier New" w:eastAsia="Times New Roman" w:hAnsi="Courier New" w:cs="Courier New"/>
            <w:color w:val="0000FF"/>
            <w:sz w:val="24"/>
            <w:szCs w:val="24"/>
            <w:bdr w:val="single" w:sz="2" w:space="0" w:color="auto" w:frame="1"/>
          </w:rPr>
          <w:t>3</w:t>
        </w:r>
      </w:hyperlink>
      <w:hyperlink r:id="rId25" w:tgtFrame="_blank" w:history="1">
        <w:r w:rsidRPr="00CB1EB2">
          <w:rPr>
            <w:rFonts w:ascii="Courier New" w:eastAsia="Times New Roman" w:hAnsi="Courier New" w:cs="Courier New"/>
            <w:color w:val="0000FF"/>
            <w:sz w:val="24"/>
            <w:szCs w:val="24"/>
            <w:bdr w:val="single" w:sz="2" w:space="0" w:color="auto" w:frame="1"/>
          </w:rPr>
          <w:t>4</w:t>
        </w:r>
      </w:hyperlink>
      <w:r w:rsidRPr="00CB1EB2">
        <w:rPr>
          <w:rFonts w:ascii="Segoe UI" w:eastAsia="Times New Roman" w:hAnsi="Segoe UI" w:cs="Segoe UI"/>
          <w:sz w:val="24"/>
          <w:szCs w:val="24"/>
          <w:bdr w:val="single" w:sz="2" w:space="0" w:color="E5E7EB" w:frame="1"/>
        </w:rPr>
        <w:t>.</w:t>
      </w:r>
    </w:p>
    <w:p w14:paraId="0B9A9FA8" w14:textId="77777777" w:rsidR="00CB1EB2" w:rsidRPr="00CB1EB2" w:rsidRDefault="00CB1EB2" w:rsidP="00CB1EB2">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CB1EB2">
        <w:rPr>
          <w:rFonts w:ascii="Segoe UI" w:eastAsia="Times New Roman" w:hAnsi="Segoe UI" w:cs="Segoe UI"/>
          <w:b/>
          <w:bCs/>
          <w:sz w:val="24"/>
          <w:szCs w:val="24"/>
          <w:bdr w:val="single" w:sz="2" w:space="0" w:color="E5E7EB" w:frame="1"/>
        </w:rPr>
        <w:t>State-NSA Collaboration</w:t>
      </w:r>
      <w:r w:rsidRPr="00CB1EB2">
        <w:rPr>
          <w:rFonts w:ascii="Segoe UI" w:eastAsia="Times New Roman" w:hAnsi="Segoe UI" w:cs="Segoe UI"/>
          <w:sz w:val="24"/>
          <w:szCs w:val="24"/>
          <w:bdr w:val="single" w:sz="2" w:space="0" w:color="E5E7EB" w:frame="1"/>
        </w:rPr>
        <w:t>: Formalize partnerships in areas like climate action and conflict mediation, as seen in the Cotonou Agreement’s inclusion of civil society</w:t>
      </w:r>
      <w:hyperlink r:id="rId26" w:tgtFrame="_blank" w:history="1">
        <w:r w:rsidRPr="00CB1EB2">
          <w:rPr>
            <w:rFonts w:ascii="Courier New" w:eastAsia="Times New Roman" w:hAnsi="Courier New" w:cs="Courier New"/>
            <w:color w:val="0000FF"/>
            <w:sz w:val="24"/>
            <w:szCs w:val="24"/>
            <w:bdr w:val="single" w:sz="2" w:space="0" w:color="auto" w:frame="1"/>
          </w:rPr>
          <w:t>1</w:t>
        </w:r>
      </w:hyperlink>
      <w:hyperlink r:id="rId27" w:tgtFrame="_blank" w:history="1">
        <w:r w:rsidRPr="00CB1EB2">
          <w:rPr>
            <w:rFonts w:ascii="Courier New" w:eastAsia="Times New Roman" w:hAnsi="Courier New" w:cs="Courier New"/>
            <w:color w:val="0000FF"/>
            <w:sz w:val="24"/>
            <w:szCs w:val="24"/>
            <w:bdr w:val="single" w:sz="2" w:space="0" w:color="auto" w:frame="1"/>
          </w:rPr>
          <w:t>6</w:t>
        </w:r>
      </w:hyperlink>
      <w:r w:rsidRPr="00CB1EB2">
        <w:rPr>
          <w:rFonts w:ascii="Segoe UI" w:eastAsia="Times New Roman" w:hAnsi="Segoe UI" w:cs="Segoe UI"/>
          <w:sz w:val="24"/>
          <w:szCs w:val="24"/>
          <w:bdr w:val="single" w:sz="2" w:space="0" w:color="E5E7EB" w:frame="1"/>
        </w:rPr>
        <w:t>.</w:t>
      </w:r>
    </w:p>
    <w:p w14:paraId="45EBB304" w14:textId="77777777" w:rsidR="00CB1EB2" w:rsidRPr="00CB1EB2" w:rsidRDefault="00CB1EB2" w:rsidP="00CB1EB2">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CB1EB2">
        <w:rPr>
          <w:rFonts w:ascii="Segoe UI" w:eastAsia="Times New Roman" w:hAnsi="Segoe UI" w:cs="Segoe UI"/>
          <w:b/>
          <w:bCs/>
          <w:sz w:val="24"/>
          <w:szCs w:val="24"/>
          <w:bdr w:val="single" w:sz="2" w:space="0" w:color="E5E7EB" w:frame="1"/>
        </w:rPr>
        <w:t>Local Empowerment</w:t>
      </w:r>
      <w:r w:rsidRPr="00CB1EB2">
        <w:rPr>
          <w:rFonts w:ascii="Segoe UI" w:eastAsia="Times New Roman" w:hAnsi="Segoe UI" w:cs="Segoe UI"/>
          <w:sz w:val="24"/>
          <w:szCs w:val="24"/>
          <w:bdr w:val="single" w:sz="2" w:space="0" w:color="E5E7EB" w:frame="1"/>
        </w:rPr>
        <w:t>: Prioritize grassroots organizations in development projects to counter dependency cycles in regions like the SADC</w:t>
      </w:r>
      <w:hyperlink r:id="rId28" w:tgtFrame="_blank" w:history="1">
        <w:r w:rsidRPr="00CB1EB2">
          <w:rPr>
            <w:rFonts w:ascii="Courier New" w:eastAsia="Times New Roman" w:hAnsi="Courier New" w:cs="Courier New"/>
            <w:color w:val="0000FF"/>
            <w:sz w:val="24"/>
            <w:szCs w:val="24"/>
            <w:bdr w:val="single" w:sz="2" w:space="0" w:color="auto" w:frame="1"/>
          </w:rPr>
          <w:t>4</w:t>
        </w:r>
      </w:hyperlink>
      <w:r w:rsidRPr="00CB1EB2">
        <w:rPr>
          <w:rFonts w:ascii="Segoe UI" w:eastAsia="Times New Roman" w:hAnsi="Segoe UI" w:cs="Segoe UI"/>
          <w:sz w:val="24"/>
          <w:szCs w:val="24"/>
          <w:bdr w:val="single" w:sz="2" w:space="0" w:color="E5E7EB" w:frame="1"/>
        </w:rPr>
        <w:t>.</w:t>
      </w:r>
    </w:p>
    <w:p w14:paraId="7E3F8920" w14:textId="77777777" w:rsidR="00CB1EB2" w:rsidRPr="00CB1EB2" w:rsidRDefault="00CB1EB2" w:rsidP="00CB1EB2">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CB1EB2">
        <w:rPr>
          <w:rFonts w:ascii="Segoe UI" w:eastAsia="Times New Roman" w:hAnsi="Segoe UI" w:cs="Segoe UI"/>
          <w:b/>
          <w:bCs/>
          <w:sz w:val="24"/>
          <w:szCs w:val="24"/>
          <w:bdr w:val="single" w:sz="2" w:space="0" w:color="E5E7EB" w:frame="1"/>
        </w:rPr>
        <w:t>Conflict Sensitivity</w:t>
      </w:r>
      <w:r w:rsidRPr="00CB1EB2">
        <w:rPr>
          <w:rFonts w:ascii="Segoe UI" w:eastAsia="Times New Roman" w:hAnsi="Segoe UI" w:cs="Segoe UI"/>
          <w:sz w:val="24"/>
          <w:szCs w:val="24"/>
          <w:bdr w:val="single" w:sz="2" w:space="0" w:color="E5E7EB" w:frame="1"/>
        </w:rPr>
        <w:t>: Ensure NGOs and mediators remain neutral in peace processes to avoid backlash</w:t>
      </w:r>
      <w:hyperlink r:id="rId29" w:tgtFrame="_blank" w:history="1">
        <w:r w:rsidRPr="00CB1EB2">
          <w:rPr>
            <w:rFonts w:ascii="Courier New" w:eastAsia="Times New Roman" w:hAnsi="Courier New" w:cs="Courier New"/>
            <w:color w:val="0000FF"/>
            <w:sz w:val="24"/>
            <w:szCs w:val="24"/>
            <w:bdr w:val="single" w:sz="2" w:space="0" w:color="auto" w:frame="1"/>
          </w:rPr>
          <w:t>7</w:t>
        </w:r>
      </w:hyperlink>
      <w:r w:rsidRPr="00CB1EB2">
        <w:rPr>
          <w:rFonts w:ascii="Segoe UI" w:eastAsia="Times New Roman" w:hAnsi="Segoe UI" w:cs="Segoe UI"/>
          <w:sz w:val="24"/>
          <w:szCs w:val="24"/>
          <w:bdr w:val="single" w:sz="2" w:space="0" w:color="E5E7EB" w:frame="1"/>
        </w:rPr>
        <w:t>.</w:t>
      </w:r>
    </w:p>
    <w:p w14:paraId="667C874F" w14:textId="77777777" w:rsidR="00CB1EB2" w:rsidRPr="00CB1EB2" w:rsidRDefault="00CB1EB2" w:rsidP="00CB1EB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CB1EB2">
        <w:rPr>
          <w:rFonts w:ascii="var(--font-fk-grotesk)" w:eastAsia="Times New Roman" w:hAnsi="var(--font-fk-grotesk)" w:cs="Times New Roman"/>
          <w:sz w:val="36"/>
          <w:szCs w:val="36"/>
        </w:rPr>
        <w:t>4. Conclusion</w:t>
      </w:r>
    </w:p>
    <w:p w14:paraId="3537E7E4" w14:textId="61DD3412" w:rsidR="008669B2" w:rsidRDefault="00CB1EB2" w:rsidP="00CB1EB2">
      <w:pPr>
        <w:rPr>
          <w:rFonts w:ascii="Segoe UI" w:eastAsia="Times New Roman" w:hAnsi="Segoe UI" w:cs="Segoe UI"/>
          <w:sz w:val="24"/>
          <w:szCs w:val="24"/>
          <w:bdr w:val="single" w:sz="2" w:space="0" w:color="E5E7EB" w:frame="1"/>
        </w:rPr>
      </w:pPr>
      <w:r w:rsidRPr="00CB1EB2">
        <w:rPr>
          <w:rFonts w:ascii="Segoe UI" w:eastAsia="Times New Roman" w:hAnsi="Segoe UI" w:cs="Segoe UI"/>
          <w:sz w:val="24"/>
          <w:szCs w:val="24"/>
          <w:bdr w:val="single" w:sz="2" w:space="0" w:color="E5E7EB" w:frame="1"/>
        </w:rPr>
        <w:t xml:space="preserve">Non-state actors have irrevocably transformed international relations, offering innovative solutions to global challenges while introducing new complexities. Their ability to mobilize transnational networks, influence policies, and fill governance gaps </w:t>
      </w:r>
      <w:r w:rsidRPr="00CB1EB2">
        <w:rPr>
          <w:rFonts w:ascii="Segoe UI" w:eastAsia="Times New Roman" w:hAnsi="Segoe UI" w:cs="Segoe UI"/>
          <w:sz w:val="24"/>
          <w:szCs w:val="24"/>
          <w:bdr w:val="single" w:sz="2" w:space="0" w:color="E5E7EB" w:frame="1"/>
        </w:rPr>
        <w:lastRenderedPageBreak/>
        <w:t>underscores their indispensability. However, unchecked power, fragmentation, and accountability deficits demand structured cooperation with states and multilateral institutions. By balancing autonomy with responsibility, NSAs can evolve from disruptive forces into equitable partners in global governance.</w:t>
      </w:r>
      <w:r w:rsidRPr="00CB1EB2">
        <w:rPr>
          <w:rFonts w:ascii="Segoe UI" w:eastAsia="Times New Roman" w:hAnsi="Segoe UI" w:cs="Segoe UI"/>
          <w:sz w:val="24"/>
          <w:szCs w:val="24"/>
        </w:rPr>
        <w:t> </w:t>
      </w:r>
      <w:r w:rsidRPr="00CB1EB2">
        <w:rPr>
          <w:rFonts w:ascii="Segoe UI" w:eastAsia="Times New Roman" w:hAnsi="Segoe UI" w:cs="Segoe UI"/>
          <w:b/>
          <w:bCs/>
          <w:sz w:val="24"/>
          <w:szCs w:val="24"/>
          <w:bdr w:val="single" w:sz="2" w:space="0" w:color="E5E7EB" w:frame="1"/>
        </w:rPr>
        <w:t>Key References</w:t>
      </w:r>
      <w:r w:rsidRPr="00CB1EB2">
        <w:rPr>
          <w:rFonts w:ascii="Segoe UI" w:eastAsia="Times New Roman" w:hAnsi="Segoe UI" w:cs="Segoe UI"/>
          <w:sz w:val="24"/>
          <w:szCs w:val="24"/>
          <w:bdr w:val="single" w:sz="2" w:space="0" w:color="E5E7EB" w:frame="1"/>
        </w:rPr>
        <w:t>: Cotonou Agreement (2000), Ottawa Treaty (1997), WTO TRIPs Agreement (1994), and case studies from Kosovo, SADC, and Colombia.</w:t>
      </w:r>
    </w:p>
    <w:p w14:paraId="7E2378FE" w14:textId="216B02FC" w:rsidR="00CB1EB2" w:rsidRDefault="00CB1EB2" w:rsidP="00CB1EB2">
      <w:pPr>
        <w:rPr>
          <w:rFonts w:ascii="Segoe UI" w:eastAsia="Times New Roman" w:hAnsi="Segoe UI" w:cs="Segoe UI"/>
          <w:sz w:val="24"/>
          <w:szCs w:val="24"/>
          <w:bdr w:val="single" w:sz="2" w:space="0" w:color="E5E7EB" w:frame="1"/>
        </w:rPr>
      </w:pPr>
      <w:hyperlink r:id="rId30" w:history="1">
        <w:r w:rsidRPr="00FA38D5">
          <w:rPr>
            <w:rStyle w:val="Hyperlink"/>
            <w:rFonts w:ascii="Segoe UI" w:eastAsia="Times New Roman" w:hAnsi="Segoe UI" w:cs="Segoe UI"/>
            <w:sz w:val="24"/>
            <w:szCs w:val="24"/>
            <w:bdr w:val="single" w:sz="2" w:space="0" w:color="E5E7EB" w:frame="1"/>
          </w:rPr>
          <w:t>https://dergipark.org.tr/tr/download/article-file/19401</w:t>
        </w:r>
      </w:hyperlink>
    </w:p>
    <w:p w14:paraId="36DC9940" w14:textId="2C1A1293" w:rsidR="00CB1EB2" w:rsidRDefault="00CB1EB2" w:rsidP="00CB1EB2">
      <w:pPr>
        <w:rPr>
          <w:rFonts w:ascii="Segoe UI" w:eastAsia="Times New Roman" w:hAnsi="Segoe UI" w:cs="Segoe UI"/>
          <w:sz w:val="24"/>
          <w:szCs w:val="24"/>
          <w:bdr w:val="single" w:sz="2" w:space="0" w:color="E5E7EB" w:frame="1"/>
        </w:rPr>
      </w:pPr>
      <w:hyperlink r:id="rId31" w:history="1">
        <w:r w:rsidRPr="00FA38D5">
          <w:rPr>
            <w:rStyle w:val="Hyperlink"/>
            <w:rFonts w:ascii="Segoe UI" w:eastAsia="Times New Roman" w:hAnsi="Segoe UI" w:cs="Segoe UI"/>
            <w:sz w:val="24"/>
            <w:szCs w:val="24"/>
            <w:bdr w:val="single" w:sz="2" w:space="0" w:color="E5E7EB" w:frame="1"/>
          </w:rPr>
          <w:t>https://liu.diva-portal.org/smash/get/diva2:1897055/FULLTEXT01.pdf</w:t>
        </w:r>
      </w:hyperlink>
    </w:p>
    <w:p w14:paraId="4DEC418B" w14:textId="7F9032D5" w:rsidR="00CB1EB2" w:rsidRDefault="00CB1EB2" w:rsidP="00CB1EB2">
      <w:pPr>
        <w:rPr>
          <w:rFonts w:ascii="Segoe UI" w:eastAsia="Times New Roman" w:hAnsi="Segoe UI" w:cs="Segoe UI"/>
          <w:sz w:val="24"/>
          <w:szCs w:val="24"/>
          <w:bdr w:val="single" w:sz="2" w:space="0" w:color="E5E7EB" w:frame="1"/>
        </w:rPr>
      </w:pPr>
      <w:hyperlink r:id="rId32" w:history="1">
        <w:r w:rsidRPr="00FA38D5">
          <w:rPr>
            <w:rStyle w:val="Hyperlink"/>
            <w:rFonts w:ascii="Segoe UI" w:eastAsia="Times New Roman" w:hAnsi="Segoe UI" w:cs="Segoe UI"/>
            <w:sz w:val="24"/>
            <w:szCs w:val="24"/>
            <w:bdr w:val="single" w:sz="2" w:space="0" w:color="E5E7EB" w:frame="1"/>
          </w:rPr>
          <w:t>https://brooklynworks.brooklaw.edu/cgi/viewcontent.cgi?article=1115&amp;context=bjil</w:t>
        </w:r>
      </w:hyperlink>
    </w:p>
    <w:p w14:paraId="678D50D8" w14:textId="4030F0C9" w:rsidR="00CB1EB2" w:rsidRDefault="00CB1EB2" w:rsidP="00CB1EB2">
      <w:pPr>
        <w:rPr>
          <w:rFonts w:ascii="Segoe UI" w:eastAsia="Times New Roman" w:hAnsi="Segoe UI" w:cs="Segoe UI"/>
          <w:sz w:val="24"/>
          <w:szCs w:val="24"/>
          <w:bdr w:val="single" w:sz="2" w:space="0" w:color="E5E7EB" w:frame="1"/>
        </w:rPr>
      </w:pPr>
      <w:hyperlink r:id="rId33" w:history="1">
        <w:r w:rsidRPr="00FA38D5">
          <w:rPr>
            <w:rStyle w:val="Hyperlink"/>
            <w:rFonts w:ascii="Segoe UI" w:eastAsia="Times New Roman" w:hAnsi="Segoe UI" w:cs="Segoe UI"/>
            <w:sz w:val="24"/>
            <w:szCs w:val="24"/>
            <w:bdr w:val="single" w:sz="2" w:space="0" w:color="E5E7EB" w:frame="1"/>
          </w:rPr>
          <w:t>https://ivypanda.com/essays/igos-ngos-mncs-and-international-law/</w:t>
        </w:r>
      </w:hyperlink>
    </w:p>
    <w:p w14:paraId="3FFA3B97" w14:textId="77777777" w:rsidR="00CB1EB2" w:rsidRPr="00CB1EB2" w:rsidRDefault="00CB1EB2" w:rsidP="00CB1EB2">
      <w:pPr>
        <w:rPr>
          <w:rFonts w:ascii="Segoe UI" w:eastAsia="Times New Roman" w:hAnsi="Segoe UI" w:cs="Segoe UI"/>
          <w:sz w:val="24"/>
          <w:szCs w:val="24"/>
          <w:bdr w:val="single" w:sz="2" w:space="0" w:color="E5E7EB" w:frame="1"/>
        </w:rPr>
      </w:pPr>
    </w:p>
    <w:sectPr w:rsidR="00CB1EB2" w:rsidRPr="00CB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k-grotesk)">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F5B44"/>
    <w:multiLevelType w:val="multilevel"/>
    <w:tmpl w:val="F914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91E3F"/>
    <w:multiLevelType w:val="multilevel"/>
    <w:tmpl w:val="15FE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A73E9D"/>
    <w:multiLevelType w:val="multilevel"/>
    <w:tmpl w:val="8D8A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763932"/>
    <w:multiLevelType w:val="multilevel"/>
    <w:tmpl w:val="D96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92E"/>
    <w:rsid w:val="008669B2"/>
    <w:rsid w:val="00C7592E"/>
    <w:rsid w:val="00CB1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E7C2"/>
  <w15:chartTrackingRefBased/>
  <w15:docId w15:val="{92D3C3B6-45EC-4300-99E9-2DEF8D8A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1E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1EB2"/>
    <w:rPr>
      <w:rFonts w:ascii="Times New Roman" w:eastAsia="Times New Roman" w:hAnsi="Times New Roman" w:cs="Times New Roman"/>
      <w:b/>
      <w:bCs/>
      <w:sz w:val="36"/>
      <w:szCs w:val="36"/>
    </w:rPr>
  </w:style>
  <w:style w:type="character" w:styleId="Strong">
    <w:name w:val="Strong"/>
    <w:basedOn w:val="DefaultParagraphFont"/>
    <w:uiPriority w:val="22"/>
    <w:qFormat/>
    <w:rsid w:val="00CB1EB2"/>
    <w:rPr>
      <w:b/>
      <w:bCs/>
    </w:rPr>
  </w:style>
  <w:style w:type="character" w:customStyle="1" w:styleId="hoverbg-super">
    <w:name w:val="hover:bg-super"/>
    <w:basedOn w:val="DefaultParagraphFont"/>
    <w:rsid w:val="00CB1EB2"/>
  </w:style>
  <w:style w:type="character" w:customStyle="1" w:styleId="whitespace-nowrap">
    <w:name w:val="whitespace-nowrap"/>
    <w:basedOn w:val="DefaultParagraphFont"/>
    <w:rsid w:val="00CB1EB2"/>
  </w:style>
  <w:style w:type="character" w:styleId="Hyperlink">
    <w:name w:val="Hyperlink"/>
    <w:basedOn w:val="DefaultParagraphFont"/>
    <w:uiPriority w:val="99"/>
    <w:unhideWhenUsed/>
    <w:rsid w:val="00CB1EB2"/>
    <w:rPr>
      <w:color w:val="0563C1" w:themeColor="hyperlink"/>
      <w:u w:val="single"/>
    </w:rPr>
  </w:style>
  <w:style w:type="character" w:styleId="UnresolvedMention">
    <w:name w:val="Unresolved Mention"/>
    <w:basedOn w:val="DefaultParagraphFont"/>
    <w:uiPriority w:val="99"/>
    <w:semiHidden/>
    <w:unhideWhenUsed/>
    <w:rsid w:val="00CB1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7027">
      <w:bodyDiv w:val="1"/>
      <w:marLeft w:val="0"/>
      <w:marRight w:val="0"/>
      <w:marTop w:val="0"/>
      <w:marBottom w:val="0"/>
      <w:divBdr>
        <w:top w:val="none" w:sz="0" w:space="0" w:color="auto"/>
        <w:left w:val="none" w:sz="0" w:space="0" w:color="auto"/>
        <w:bottom w:val="none" w:sz="0" w:space="0" w:color="auto"/>
        <w:right w:val="none" w:sz="0" w:space="0" w:color="auto"/>
      </w:divBdr>
    </w:div>
    <w:div w:id="95945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ssi.org.pk/wp-content/uploads/2014/06/1305617175_81448332.pdf" TargetMode="External"/><Relationship Id="rId18" Type="http://schemas.openxmlformats.org/officeDocument/2006/relationships/hyperlink" Target="https://asce-uok.edu.pk/journal/index.php/JES/article/download/144/146/538" TargetMode="External"/><Relationship Id="rId26" Type="http://schemas.openxmlformats.org/officeDocument/2006/relationships/hyperlink" Target="https://en.wikipedia.org/wiki/Non-state_actor" TargetMode="External"/><Relationship Id="rId3" Type="http://schemas.openxmlformats.org/officeDocument/2006/relationships/settings" Target="settings.xml"/><Relationship Id="rId21" Type="http://schemas.openxmlformats.org/officeDocument/2006/relationships/hyperlink" Target="https://behorizon.org/the-role-of-non-state-actors-in-the-future-of-global-governance-and-international-security/" TargetMode="External"/><Relationship Id="rId34" Type="http://schemas.openxmlformats.org/officeDocument/2006/relationships/fontTable" Target="fontTable.xml"/><Relationship Id="rId7" Type="http://schemas.openxmlformats.org/officeDocument/2006/relationships/hyperlink" Target="https://en.wikipedia.org/wiki/Non-state_actor" TargetMode="External"/><Relationship Id="rId12" Type="http://schemas.openxmlformats.org/officeDocument/2006/relationships/hyperlink" Target="https://en.wikipedia.org/wiki/Non-state_actor" TargetMode="External"/><Relationship Id="rId17" Type="http://schemas.openxmlformats.org/officeDocument/2006/relationships/hyperlink" Target="https://issi.org.pk/wp-content/uploads/2014/06/1305617175_81448332.pdf" TargetMode="External"/><Relationship Id="rId25" Type="http://schemas.openxmlformats.org/officeDocument/2006/relationships/hyperlink" Target="https://docs.neu.edu.tr/library/6689503120.pdf" TargetMode="External"/><Relationship Id="rId33" Type="http://schemas.openxmlformats.org/officeDocument/2006/relationships/hyperlink" Target="https://ivypanda.com/essays/igos-ngos-mncs-and-international-law/" TargetMode="External"/><Relationship Id="rId2" Type="http://schemas.openxmlformats.org/officeDocument/2006/relationships/styles" Target="styles.xml"/><Relationship Id="rId16" Type="http://schemas.openxmlformats.org/officeDocument/2006/relationships/hyperlink" Target="https://issi.org.pk/wp-content/uploads/2014/06/1305617175_81448332.pdf" TargetMode="External"/><Relationship Id="rId20" Type="http://schemas.openxmlformats.org/officeDocument/2006/relationships/hyperlink" Target="https://www.econstor.eu/bitstream/10419/85112/1/2003-04_online.pdf" TargetMode="External"/><Relationship Id="rId29" Type="http://schemas.openxmlformats.org/officeDocument/2006/relationships/hyperlink" Target="https://issi.org.pk/wp-content/uploads/2014/06/1305617175_81448332.pdf" TargetMode="External"/><Relationship Id="rId1" Type="http://schemas.openxmlformats.org/officeDocument/2006/relationships/numbering" Target="numbering.xml"/><Relationship Id="rId6" Type="http://schemas.openxmlformats.org/officeDocument/2006/relationships/hyperlink" Target="https://asce-uok.edu.pk/journal/index.php/JES/article/download/144/146/538" TargetMode="External"/><Relationship Id="rId11" Type="http://schemas.openxmlformats.org/officeDocument/2006/relationships/hyperlink" Target="https://docs.neu.edu.tr/library/6689503120.pdf" TargetMode="External"/><Relationship Id="rId24" Type="http://schemas.openxmlformats.org/officeDocument/2006/relationships/hyperlink" Target="https://www.econstor.eu/bitstream/10419/85112/1/2003-04_online.pdf" TargetMode="External"/><Relationship Id="rId32" Type="http://schemas.openxmlformats.org/officeDocument/2006/relationships/hyperlink" Target="https://brooklynworks.brooklaw.edu/cgi/viewcontent.cgi?article=1115&amp;context=bjil" TargetMode="External"/><Relationship Id="rId5" Type="http://schemas.openxmlformats.org/officeDocument/2006/relationships/hyperlink" Target="https://en.wikipedia.org/wiki/Non-state_actor" TargetMode="External"/><Relationship Id="rId15" Type="http://schemas.openxmlformats.org/officeDocument/2006/relationships/hyperlink" Target="https://issi.org.pk/wp-content/uploads/2014/06/1305617175_81448332.pdf" TargetMode="External"/><Relationship Id="rId23" Type="http://schemas.openxmlformats.org/officeDocument/2006/relationships/hyperlink" Target="https://docs.neu.edu.tr/library/6689503120.pdf" TargetMode="External"/><Relationship Id="rId28" Type="http://schemas.openxmlformats.org/officeDocument/2006/relationships/hyperlink" Target="https://docs.neu.edu.tr/library/6689503120.pdf" TargetMode="External"/><Relationship Id="rId10" Type="http://schemas.openxmlformats.org/officeDocument/2006/relationships/hyperlink" Target="https://www.econstor.eu/bitstream/10419/85112/1/2003-04_online.pdf" TargetMode="External"/><Relationship Id="rId19" Type="http://schemas.openxmlformats.org/officeDocument/2006/relationships/hyperlink" Target="https://docs.neu.edu.tr/library/6689503120.pdf" TargetMode="External"/><Relationship Id="rId31" Type="http://schemas.openxmlformats.org/officeDocument/2006/relationships/hyperlink" Target="https://liu.diva-portal.org/smash/get/diva2:1897055/FULLTEXT01.pdf" TargetMode="External"/><Relationship Id="rId4" Type="http://schemas.openxmlformats.org/officeDocument/2006/relationships/webSettings" Target="webSettings.xml"/><Relationship Id="rId9" Type="http://schemas.openxmlformats.org/officeDocument/2006/relationships/hyperlink" Target="https://behorizon.org/the-role-of-non-state-actors-in-the-future-of-global-governance-and-international-security/" TargetMode="External"/><Relationship Id="rId14" Type="http://schemas.openxmlformats.org/officeDocument/2006/relationships/hyperlink" Target="https://asce-uok.edu.pk/journal/index.php/JES/article/download/144/146/538" TargetMode="External"/><Relationship Id="rId22" Type="http://schemas.openxmlformats.org/officeDocument/2006/relationships/hyperlink" Target="https://en.wikipedia.org/wiki/Non-state_actor" TargetMode="External"/><Relationship Id="rId27" Type="http://schemas.openxmlformats.org/officeDocument/2006/relationships/hyperlink" Target="https://behorizon.org/the-role-of-non-state-actors-in-the-future-of-global-governance-and-international-security/" TargetMode="External"/><Relationship Id="rId30" Type="http://schemas.openxmlformats.org/officeDocument/2006/relationships/hyperlink" Target="https://dergipark.org.tr/tr/download/article-file/19401" TargetMode="External"/><Relationship Id="rId35" Type="http://schemas.openxmlformats.org/officeDocument/2006/relationships/theme" Target="theme/theme1.xml"/><Relationship Id="rId8" Type="http://schemas.openxmlformats.org/officeDocument/2006/relationships/hyperlink" Target="https://en.wikipedia.org/wiki/Non-state_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dc:description/>
  <cp:lastModifiedBy>Hamza Khan</cp:lastModifiedBy>
  <cp:revision>2</cp:revision>
  <dcterms:created xsi:type="dcterms:W3CDTF">2025-02-05T05:59:00Z</dcterms:created>
  <dcterms:modified xsi:type="dcterms:W3CDTF">2025-02-05T06:02:00Z</dcterms:modified>
</cp:coreProperties>
</file>