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NeuroFlow CFD Analyst — Project Explanation</w:t>
      </w:r>
    </w:p>
    <w:p>
      <w:pPr>
        <w:pStyle w:val="Author"/>
      </w:pPr>
      <w:r>
        <w:t xml:space="preserve">FYP Reference Document</w:t>
      </w:r>
    </w:p>
    <w:bookmarkStart w:id="28" w:name="X6ed306b6407b16154e44f4e5cf11c48d31b8f55"/>
    <w:p>
      <w:pPr>
        <w:pStyle w:val="Heading1"/>
      </w:pPr>
      <w:r>
        <w:t xml:space="preserve">NeuroFlow CFD Analyst: Project Explanation</w:t>
      </w:r>
    </w:p>
    <w:p>
      <w:pPr>
        <w:pStyle w:val="FirstParagraph"/>
      </w:pPr>
      <w:r>
        <w:t xml:space="preserve">A reference document explaining the purpose, design, and every metric shown in the Cerebral Aneurysm Hemodynamic Analysis Dashboard, for FYP presentation and defense preparation.</w:t>
      </w:r>
    </w:p>
    <w:p>
      <w:r>
        <w:pict>
          <v:rect style="width:0;height:1.5pt" o:hralign="center" o:hrstd="t" o:hr="t"/>
        </w:pict>
      </w:r>
    </w:p>
    <w:bookmarkStart w:id="9" w:name="purpose-of-the-project"/>
    <w:p>
      <w:pPr>
        <w:pStyle w:val="Heading2"/>
      </w:pPr>
      <w:r>
        <w:t xml:space="preserve">1. Purpose of the Project</w:t>
      </w:r>
    </w:p>
    <w:p>
      <w:pPr>
        <w:pStyle w:val="FirstParagraph"/>
      </w:pPr>
      <w:r>
        <w:rPr>
          <w:b/>
          <w:bCs/>
        </w:rPr>
        <w:t xml:space="preserve">NeuroFlow CFD Analyst</w:t>
      </w:r>
      <w:r>
        <w:t xml:space="preserve"> </w:t>
      </w:r>
      <w:r>
        <w:t xml:space="preserve">is a clinical decision-support dashboard for</w:t>
      </w:r>
      <w:r>
        <w:t xml:space="preserve"> </w:t>
      </w:r>
      <w:r>
        <w:rPr>
          <w:b/>
          <w:bCs/>
        </w:rPr>
        <w:t xml:space="preserve">cerebral (brain) aneurysm rupture-risk assessment</w:t>
      </w:r>
      <w:r>
        <w:t xml:space="preserve">. It takes hemodynamic (blood-flow) data derived from a CFD (Computational Fluid Dynamics) simulation of a patient’s brain vasculature and presents it the way a neurosurgeon or radiologist would want to review it: color-coded visuals, risk gauges, and a printable clinical report — to help decide whether an aneurysm needs urgent intervention, monitoring, or is stable.</w:t>
      </w:r>
    </w:p>
    <w:p>
      <w:r>
        <w:pict>
          <v:rect style="width:0;height:1.5pt" o:hralign="center" o:hrstd="t" o:hr="t"/>
        </w:pict>
      </w:r>
    </w:p>
    <w:bookmarkEnd w:id="9"/>
    <w:bookmarkStart w:id="10" w:name="what-is-used-in-this-project"/>
    <w:p>
      <w:pPr>
        <w:pStyle w:val="Heading2"/>
      </w:pPr>
      <w:r>
        <w:t xml:space="preserve">2. What Is Used in This Project</w:t>
      </w:r>
    </w:p>
    <w:p>
      <w:pPr>
        <w:pStyle w:val="Compact"/>
        <w:numPr>
          <w:ilvl w:val="0"/>
          <w:numId w:val="1001"/>
        </w:numPr>
      </w:pPr>
      <w:r>
        <w:rPr>
          <w:b/>
          <w:bCs/>
        </w:rPr>
        <w:t xml:space="preserve">Frontend</w:t>
      </w:r>
      <w:r>
        <w:t xml:space="preserve">: HTML5, CSS3, vanilla JavaScript</w:t>
      </w:r>
    </w:p>
    <w:p>
      <w:pPr>
        <w:pStyle w:val="Compact"/>
        <w:numPr>
          <w:ilvl w:val="0"/>
          <w:numId w:val="1001"/>
        </w:numPr>
      </w:pPr>
      <w:r>
        <w:rPr>
          <w:b/>
          <w:bCs/>
        </w:rPr>
        <w:t xml:space="preserve">2D visualization</w:t>
      </w:r>
      <w:r>
        <w:t xml:space="preserve">: HTML5 Canvas API — draws the vessel/aneurysm heatmap, mesh-generation and convergence-graph animations</w:t>
      </w:r>
    </w:p>
    <w:p>
      <w:pPr>
        <w:pStyle w:val="Compact"/>
        <w:numPr>
          <w:ilvl w:val="0"/>
          <w:numId w:val="1001"/>
        </w:numPr>
      </w:pPr>
      <w:r>
        <w:rPr>
          <w:b/>
          <w:bCs/>
        </w:rPr>
        <w:t xml:space="preserve">3D visualization</w:t>
      </w:r>
      <w:r>
        <w:t xml:space="preserve">: Three.js (WebGL) — loads and renders a</w:t>
      </w:r>
      <w:r>
        <w:t xml:space="preserve"> </w:t>
      </w:r>
      <w:r>
        <w:rPr>
          <w:rStyle w:val="VerbatimChar"/>
        </w:rPr>
        <w:t xml:space="preserve">.glb</w:t>
      </w:r>
      <w:r>
        <w:t xml:space="preserve"> </w:t>
      </w:r>
      <w:r>
        <w:t xml:space="preserve">3D model of the cerebral vessel/nerve network, colored by risk</w:t>
      </w:r>
    </w:p>
    <w:p>
      <w:pPr>
        <w:pStyle w:val="Compact"/>
        <w:numPr>
          <w:ilvl w:val="0"/>
          <w:numId w:val="1001"/>
        </w:numPr>
      </w:pPr>
      <w:r>
        <w:rPr>
          <w:b/>
          <w:bCs/>
        </w:rPr>
        <w:t xml:space="preserve">Icons / fonts</w:t>
      </w:r>
      <w:r>
        <w:t xml:space="preserve">: Font Awesome, Google Fonts (Ubuntu)</w:t>
      </w:r>
    </w:p>
    <w:p>
      <w:pPr>
        <w:pStyle w:val="Compact"/>
        <w:numPr>
          <w:ilvl w:val="0"/>
          <w:numId w:val="1001"/>
        </w:numPr>
      </w:pPr>
      <w:r>
        <w:rPr>
          <w:b/>
          <w:bCs/>
        </w:rPr>
        <w:t xml:space="preserve">Backend prototype</w:t>
      </w:r>
      <w:r>
        <w:t xml:space="preserve">: a small Python script using</w:t>
      </w:r>
      <w:r>
        <w:t xml:space="preserve"> </w:t>
      </w:r>
      <w:r>
        <w:rPr>
          <w:rStyle w:val="VerbatimChar"/>
        </w:rPr>
        <w:t xml:space="preserve">pydicom</w:t>
      </w:r>
      <w:r>
        <w:t xml:space="preserve"> </w:t>
      </w:r>
      <w:r>
        <w:t xml:space="preserve">that parses real DICOM medical-image metadata (Patient ID, Modality, Slice Thickness, etc.) — the one piece of the pipeline that performs real, non-simulated work</w:t>
      </w:r>
    </w:p>
    <w:p>
      <w:pPr>
        <w:pStyle w:val="Compact"/>
        <w:numPr>
          <w:ilvl w:val="0"/>
          <w:numId w:val="1001"/>
        </w:numPr>
      </w:pPr>
      <w:r>
        <w:rPr>
          <w:b/>
          <w:bCs/>
        </w:rPr>
        <w:t xml:space="preserve">Domain concepts</w:t>
      </w:r>
      <w:r>
        <w:t xml:space="preserve">: TAWSS, OSI, aneurysm morphology (diameter/aspect ratio) — standard variables from vascular biomechanics literature</w:t>
      </w:r>
    </w:p>
    <w:p>
      <w:r>
        <w:pict>
          <v:rect style="width:0;height:1.5pt" o:hralign="center" o:hrstd="t" o:hr="t"/>
        </w:pict>
      </w:r>
    </w:p>
    <w:bookmarkEnd w:id="10"/>
    <w:bookmarkStart w:id="11" w:name="how-the-project-works"/>
    <w:p>
      <w:pPr>
        <w:pStyle w:val="Heading2"/>
      </w:pPr>
      <w:r>
        <w:t xml:space="preserve">3. How the Project Works</w:t>
      </w:r>
    </w:p>
    <w:p>
      <w:pPr>
        <w:pStyle w:val="Compact"/>
        <w:numPr>
          <w:ilvl w:val="0"/>
          <w:numId w:val="1002"/>
        </w:numPr>
      </w:pPr>
      <w:r>
        <w:t xml:space="preserve">A patient is selected from the</w:t>
      </w:r>
      <w:r>
        <w:t xml:space="preserve"> </w:t>
      </w:r>
      <w:r>
        <w:rPr>
          <w:b/>
          <w:bCs/>
        </w:rPr>
        <w:t xml:space="preserve">Patient Profiles</w:t>
      </w:r>
      <w:r>
        <w:t xml:space="preserve"> </w:t>
      </w:r>
      <w:r>
        <w:t xml:space="preserve">sidebar (or a DICOM/MRA file is uploaded, which runs a simulated 6-stage CFD pipeline: upload → AI segmentation → mesh generation → boundary conditions → CFD solve → metric extraction).</w:t>
      </w:r>
    </w:p>
    <w:p>
      <w:pPr>
        <w:pStyle w:val="Compact"/>
        <w:numPr>
          <w:ilvl w:val="0"/>
          <w:numId w:val="1002"/>
        </w:numPr>
      </w:pPr>
      <w:r>
        <w:t xml:space="preserve">The selected patient’s stored hemodynamic data (TAWSS, OSI, morphology) drives everything else: the heatmap redraws, the gauges animate, the 3D model recolors.</w:t>
      </w:r>
    </w:p>
    <w:p>
      <w:pPr>
        <w:pStyle w:val="Compact"/>
        <w:numPr>
          <w:ilvl w:val="0"/>
          <w:numId w:val="1002"/>
        </w:numPr>
      </w:pPr>
      <w:r>
        <w:t xml:space="preserve">Clicking</w:t>
      </w:r>
      <w:r>
        <w:t xml:space="preserve"> </w:t>
      </w:r>
      <w:r>
        <w:rPr>
          <w:b/>
          <w:bCs/>
        </w:rPr>
        <w:t xml:space="preserve">Expand Case Review</w:t>
      </w:r>
      <w:r>
        <w:t xml:space="preserve"> </w:t>
      </w:r>
      <w:r>
        <w:t xml:space="preserve">compiles the current patient’s numbers into a formatted clinical report that can be exported as a PDF.</w:t>
      </w:r>
    </w:p>
    <w:p>
      <w:pPr>
        <w:pStyle w:val="FirstParagraph"/>
      </w:pPr>
      <w:r>
        <w:rPr>
          <w:b/>
          <w:bCs/>
        </w:rPr>
        <w:t xml:space="preserve">Honesty note for the defense</w:t>
      </w:r>
      <w:r>
        <w:t xml:space="preserve">: the segmentation/meshing/solving animation is a</w:t>
      </w:r>
      <w:r>
        <w:t xml:space="preserve"> </w:t>
      </w:r>
      <w:r>
        <w:rPr>
          <w:i/>
          <w:iCs/>
        </w:rPr>
        <w:t xml:space="preserve">scripted visual simulation</w:t>
      </w:r>
      <w:r>
        <w:t xml:space="preserve"> </w:t>
      </w:r>
      <w:r>
        <w:t xml:space="preserve">(progress bars and log lines on a timer), not a real solver. What</w:t>
      </w:r>
      <w:r>
        <w:t xml:space="preserve"> </w:t>
      </w:r>
      <w:r>
        <w:rPr>
          <w:i/>
          <w:iCs/>
        </w:rPr>
        <w:t xml:space="preserve">is</w:t>
      </w:r>
      <w:r>
        <w:t xml:space="preserve"> </w:t>
      </w:r>
      <w:r>
        <w:t xml:space="preserve">real: the Composite Risk Index math, the DICOM header parser, and the rendering pipeline itself.</w:t>
      </w:r>
    </w:p>
    <w:p>
      <w:r>
        <w:pict>
          <v:rect style="width:0;height:1.5pt" o:hralign="center" o:hrstd="t" o:hr="t"/>
        </w:pict>
      </w:r>
    </w:p>
    <w:bookmarkEnd w:id="11"/>
    <w:bookmarkStart w:id="12" w:name="what-it-calculates"/>
    <w:p>
      <w:pPr>
        <w:pStyle w:val="Heading2"/>
      </w:pPr>
      <w:r>
        <w:t xml:space="preserve">4. What It Calculates</w:t>
      </w:r>
    </w:p>
    <w:p>
      <w:pPr>
        <w:pStyle w:val="Compact"/>
        <w:numPr>
          <w:ilvl w:val="0"/>
          <w:numId w:val="1003"/>
        </w:numPr>
      </w:pPr>
      <w:r>
        <w:rPr>
          <w:b/>
          <w:bCs/>
        </w:rPr>
        <w:t xml:space="preserve">Composite Risk Index (CRI)</w:t>
      </w:r>
      <w:r>
        <w:t xml:space="preserve"> </w:t>
      </w:r>
      <w:r>
        <w:t xml:space="preserve">— a 0–100 score computed live from TAWSS, OSI, max diameter, and aspect ratio.</w:t>
      </w:r>
    </w:p>
    <w:p>
      <w:pPr>
        <w:pStyle w:val="Compact"/>
        <w:numPr>
          <w:ilvl w:val="0"/>
          <w:numId w:val="1003"/>
        </w:numPr>
      </w:pPr>
      <w:r>
        <w:rPr>
          <w:b/>
          <w:bCs/>
        </w:rPr>
        <w:t xml:space="preserve">Per-node color factors</w:t>
      </w:r>
      <w:r>
        <w:t xml:space="preserve"> </w:t>
      </w:r>
      <w:r>
        <w:t xml:space="preserve">— where each vessel point falls on the blue-to-red scale for the currently selected metric (TAWSS or OSI).</w:t>
      </w:r>
    </w:p>
    <w:p>
      <w:pPr>
        <w:pStyle w:val="Compact"/>
        <w:numPr>
          <w:ilvl w:val="0"/>
          <w:numId w:val="1003"/>
        </w:numPr>
      </w:pPr>
      <w:r>
        <w:rPr>
          <w:b/>
          <w:bCs/>
        </w:rPr>
        <w:t xml:space="preserve">Gauge fill percentages</w:t>
      </w:r>
      <w:r>
        <w:t xml:space="preserve"> </w:t>
      </w:r>
      <w:r>
        <w:t xml:space="preserve">— how full each dial should render, mapped from raw values to their display ranges.</w:t>
      </w:r>
    </w:p>
    <w:p>
      <w:pPr>
        <w:pStyle w:val="Compact"/>
        <w:numPr>
          <w:ilvl w:val="0"/>
          <w:numId w:val="1003"/>
        </w:numPr>
      </w:pPr>
      <w:r>
        <w:rPr>
          <w:b/>
          <w:bCs/>
        </w:rPr>
        <w:t xml:space="preserve">Threshold alerts</w:t>
      </w:r>
      <w:r>
        <w:t xml:space="preserve"> </w:t>
      </w:r>
      <w:r>
        <w:t xml:space="preserve">— flags when TAWSS &lt; 0.4 Pa or OSI &gt; 0.3 (clinically-cited danger cutoffs).</w:t>
      </w:r>
    </w:p>
    <w:p>
      <w:r>
        <w:pict>
          <v:rect style="width:0;height:1.5pt" o:hralign="center" o:hrstd="t" o:hr="t"/>
        </w:pict>
      </w:r>
    </w:p>
    <w:bookmarkEnd w:id="12"/>
    <w:bookmarkStart w:id="13" w:name="what-it-shows"/>
    <w:p>
      <w:pPr>
        <w:pStyle w:val="Heading2"/>
      </w:pPr>
      <w:r>
        <w:t xml:space="preserve">5. What It Shows</w:t>
      </w:r>
    </w:p>
    <w:p>
      <w:pPr>
        <w:pStyle w:val="Compact"/>
        <w:numPr>
          <w:ilvl w:val="0"/>
          <w:numId w:val="1004"/>
        </w:numPr>
      </w:pPr>
      <w:r>
        <w:t xml:space="preserve">A 2D color-coded heatmap of the vessel and aneurysm</w:t>
      </w:r>
    </w:p>
    <w:p>
      <w:pPr>
        <w:pStyle w:val="Compact"/>
        <w:numPr>
          <w:ilvl w:val="0"/>
          <w:numId w:val="1004"/>
        </w:numPr>
      </w:pPr>
      <w:r>
        <w:t xml:space="preserve">A 3D nerve/vessel model, colored the same way</w:t>
      </w:r>
    </w:p>
    <w:p>
      <w:pPr>
        <w:pStyle w:val="Compact"/>
        <w:numPr>
          <w:ilvl w:val="0"/>
          <w:numId w:val="1004"/>
        </w:numPr>
      </w:pPr>
      <w:r>
        <w:t xml:space="preserve">A telemetry panel of gauges (composite risk, TAWSS, OSI, morphology)</w:t>
      </w:r>
    </w:p>
    <w:p>
      <w:pPr>
        <w:pStyle w:val="Compact"/>
        <w:numPr>
          <w:ilvl w:val="0"/>
          <w:numId w:val="1004"/>
        </w:numPr>
      </w:pPr>
      <w:r>
        <w:t xml:space="preserve">A patient list with quick-glance risk badges</w:t>
      </w:r>
    </w:p>
    <w:p>
      <w:pPr>
        <w:pStyle w:val="Compact"/>
        <w:numPr>
          <w:ilvl w:val="0"/>
          <w:numId w:val="1004"/>
        </w:numPr>
      </w:pPr>
      <w:r>
        <w:t xml:space="preserve">A full exportable clinical report</w:t>
      </w:r>
    </w:p>
    <w:p>
      <w:r>
        <w:pict>
          <v:rect style="width:0;height:1.5pt" o:hralign="center" o:hrstd="t" o:hr="t"/>
        </w:pict>
      </w:r>
    </w:p>
    <w:bookmarkEnd w:id="13"/>
    <w:bookmarkStart w:id="14" w:name="what-is-the-2d-hemodynamic-heatmap"/>
    <w:p>
      <w:pPr>
        <w:pStyle w:val="Heading2"/>
      </w:pPr>
      <w:r>
        <w:t xml:space="preserve">6. What Is the 2D Hemodynamic Heatmap</w:t>
      </w:r>
    </w:p>
    <w:p>
      <w:pPr>
        <w:pStyle w:val="FirstParagraph"/>
      </w:pPr>
      <w:r>
        <w:t xml:space="preserve">The canvas drawing in the center panel: a horizontal tube (the</w:t>
      </w:r>
      <w:r>
        <w:t xml:space="preserve"> </w:t>
      </w:r>
      <w:r>
        <w:rPr>
          <w:b/>
          <w:bCs/>
        </w:rPr>
        <w:t xml:space="preserve">parent artery</w:t>
      </w:r>
      <w:r>
        <w:t xml:space="preserve">, the healthy blood vessel) with a bulge rising from its middle (the</w:t>
      </w:r>
      <w:r>
        <w:t xml:space="preserve"> </w:t>
      </w:r>
      <w:r>
        <w:rPr>
          <w:b/>
          <w:bCs/>
        </w:rPr>
        <w:t xml:space="preserve">aneurysm</w:t>
      </w:r>
      <w:r>
        <w:t xml:space="preserve">: neck + dome). Each anatomical segment is filled with a color drawn from a gradient between</w:t>
      </w:r>
      <w:r>
        <w:t xml:space="preserve"> </w:t>
      </w:r>
      <w:r>
        <w:rPr>
          <w:b/>
          <w:bCs/>
        </w:rPr>
        <w:t xml:space="preserve">stable blue</w:t>
      </w:r>
      <w:r>
        <w:t xml:space="preserve"> </w:t>
      </w:r>
      <w:r>
        <w:t xml:space="preserve">(</w:t>
      </w:r>
      <w:r>
        <w:rPr>
          <w:rStyle w:val="VerbatimChar"/>
        </w:rPr>
        <w:t xml:space="preserve">#1F5F99</w:t>
      </w:r>
      <w:r>
        <w:t xml:space="preserve">) and</w:t>
      </w:r>
      <w:r>
        <w:t xml:space="preserve"> </w:t>
      </w:r>
      <w:r>
        <w:rPr>
          <w:b/>
          <w:bCs/>
        </w:rPr>
        <w:t xml:space="preserve">critical red</w:t>
      </w:r>
      <w:r>
        <w:t xml:space="preserve"> </w:t>
      </w:r>
      <w:r>
        <w:t xml:space="preserve">(</w:t>
      </w:r>
      <w:r>
        <w:rPr>
          <w:rStyle w:val="VerbatimChar"/>
        </w:rPr>
        <w:t xml:space="preserve">#B83232</w:t>
      </w:r>
      <w:r>
        <w:t xml:space="preserve">), based on that segment’s TAWSS or OSI value. Hovering a node shows its exact numbers in a tooltip.</w:t>
      </w:r>
    </w:p>
    <w:p>
      <w:r>
        <w:pict>
          <v:rect style="width:0;height:1.5pt" o:hralign="center" o:hrstd="t" o:hr="t"/>
        </w:pict>
      </w:r>
    </w:p>
    <w:bookmarkEnd w:id="14"/>
    <w:bookmarkStart w:id="15" w:name="what-is-tawss-distribution"/>
    <w:p>
      <w:pPr>
        <w:pStyle w:val="Heading2"/>
      </w:pPr>
      <w:r>
        <w:t xml:space="preserve">7. What Is TAWSS Distribution</w:t>
      </w:r>
    </w:p>
    <w:p>
      <w:pPr>
        <w:pStyle w:val="FirstParagraph"/>
      </w:pPr>
      <w:r>
        <w:rPr>
          <w:b/>
          <w:bCs/>
        </w:rPr>
        <w:t xml:space="preserve">TAWSS = Time-Averaged Wall Shear Stress.</w:t>
      </w:r>
      <w:r>
        <w:t xml:space="preserve"> </w:t>
      </w:r>
      <w:r>
        <w:t xml:space="preserve">It is the frictional force blood flow exerts on the inside of the vessel wall, averaged over one full heartbeat cycle, measured in Pascals (Pa). This button switches the heatmap’s color scale to represent TAWSS:</w:t>
      </w:r>
      <w:r>
        <w:t xml:space="preserve"> </w:t>
      </w:r>
      <w:r>
        <w:rPr>
          <w:b/>
          <w:bCs/>
        </w:rPr>
        <w:t xml:space="preserve">low TAWSS (&lt; 0.4 Pa) is dangerous</w:t>
      </w:r>
      <w:r>
        <w:t xml:space="preserve"> </w:t>
      </w:r>
      <w:r>
        <w:t xml:space="preserve">— it means blood is moving slowly or stagnating against that section of wall, which is associated with wall degeneration and rupture. High TAWSS (~1.5+ Pa) means healthy, brisk flow, rendered blue.</w:t>
      </w:r>
    </w:p>
    <w:p>
      <w:r>
        <w:pict>
          <v:rect style="width:0;height:1.5pt" o:hralign="center" o:hrstd="t" o:hr="t"/>
        </w:pict>
      </w:r>
    </w:p>
    <w:bookmarkEnd w:id="15"/>
    <w:bookmarkStart w:id="16" w:name="what-is-osi-instability"/>
    <w:p>
      <w:pPr>
        <w:pStyle w:val="Heading2"/>
      </w:pPr>
      <w:r>
        <w:t xml:space="preserve">8. What Is OSI Instability</w:t>
      </w:r>
    </w:p>
    <w:p>
      <w:pPr>
        <w:pStyle w:val="FirstParagraph"/>
      </w:pPr>
      <w:r>
        <w:rPr>
          <w:b/>
          <w:bCs/>
        </w:rPr>
        <w:t xml:space="preserve">OSI = Oscillatory Shear Index.</w:t>
      </w:r>
      <w:r>
        <w:t xml:space="preserve"> </w:t>
      </w:r>
      <w:r>
        <w:t xml:space="preserve">It measures how much the</w:t>
      </w:r>
      <w:r>
        <w:t xml:space="preserve"> </w:t>
      </w:r>
      <w:r>
        <w:rPr>
          <w:i/>
          <w:iCs/>
        </w:rPr>
        <w:t xml:space="preserve">direction</w:t>
      </w:r>
      <w:r>
        <w:t xml:space="preserve"> </w:t>
      </w:r>
      <w:r>
        <w:t xml:space="preserve">of wall shear stress reverses back and forth during the cardiac cycle, rather than flowing steadily one way. It ranges from 0 (perfectly one-directional, stable) to a theoretical max of 0.5 (flow direction flips constantly).</w:t>
      </w:r>
      <w:r>
        <w:t xml:space="preserve"> </w:t>
      </w:r>
      <w:r>
        <w:rPr>
          <w:b/>
          <w:bCs/>
        </w:rPr>
        <w:t xml:space="preserve">High OSI (&gt; 0.3) is dangerous</w:t>
      </w:r>
      <w:r>
        <w:t xml:space="preserve"> </w:t>
      </w:r>
      <w:r>
        <w:t xml:space="preserve">— it indicates disturbed, recirculating flow, linked to endothelial (vessel lining) damage and rupture risk.</w:t>
      </w:r>
    </w:p>
    <w:p>
      <w:r>
        <w:pict>
          <v:rect style="width:0;height:1.5pt" o:hralign="center" o:hrstd="t" o:hr="t"/>
        </w:pict>
      </w:r>
    </w:p>
    <w:bookmarkEnd w:id="16"/>
    <w:bookmarkStart w:id="17" w:name="what-is-cri"/>
    <w:p>
      <w:pPr>
        <w:pStyle w:val="Heading2"/>
      </w:pPr>
      <w:r>
        <w:t xml:space="preserve">9. What Is CRI</w:t>
      </w:r>
    </w:p>
    <w:p>
      <w:pPr>
        <w:pStyle w:val="FirstParagraph"/>
      </w:pPr>
      <w:r>
        <w:rPr>
          <w:b/>
          <w:bCs/>
        </w:rPr>
        <w:t xml:space="preserve">CRI = Composite Risk Index</w:t>
      </w:r>
      <w:r>
        <w:t xml:space="preserve">, shown on each patient card (e.g. </w:t>
      </w:r>
      <w:r>
        <w:t xml:space="preserve">“CRI: 92/100”</w:t>
      </w:r>
      <w:r>
        <w:t xml:space="preserve">). It is the single overall number that folds TAWSS, OSI, diameter, and aspect ratio into one 0–100 rupture-risk score, allowing patients to be compared at a glance without reading every individual metric.</w:t>
      </w:r>
    </w:p>
    <w:p>
      <w:r>
        <w:pict>
          <v:rect style="width:0;height:1.5pt" o:hralign="center" o:hrstd="t" o:hr="t"/>
        </w:pict>
      </w:r>
    </w:p>
    <w:bookmarkEnd w:id="17"/>
    <w:bookmarkStart w:id="18" w:name="what-is-dia"/>
    <w:p>
      <w:pPr>
        <w:pStyle w:val="Heading2"/>
      </w:pPr>
      <w:r>
        <w:t xml:space="preserve">10. What Is</w:t>
      </w:r>
      <w:r>
        <w:t xml:space="preserve"> </w:t>
      </w:r>
      <w:r>
        <w:t xml:space="preserve">“Dia”</w:t>
      </w:r>
    </w:p>
    <w:p>
      <w:pPr>
        <w:pStyle w:val="FirstParagraph"/>
      </w:pPr>
      <w:r>
        <w:t xml:space="preserve">Short for</w:t>
      </w:r>
      <w:r>
        <w:t xml:space="preserve"> </w:t>
      </w:r>
      <w:r>
        <w:rPr>
          <w:b/>
          <w:bCs/>
        </w:rPr>
        <w:t xml:space="preserve">Diameter</w:t>
      </w:r>
      <w:r>
        <w:t xml:space="preserve"> </w:t>
      </w:r>
      <w:r>
        <w:t xml:space="preserve">— the aneurysm dome’s max diameter in millimeters, shown on the patient card as a quick size reference (e.g. </w:t>
      </w:r>
      <w:r>
        <w:t xml:space="preserve">“Dia: 8.4mm”</w:t>
      </w:r>
      <w:r>
        <w:t xml:space="preserve">).</w:t>
      </w:r>
    </w:p>
    <w:p>
      <w:r>
        <w:pict>
          <v:rect style="width:0;height:1.5pt" o:hralign="center" o:hrstd="t" o:hr="t"/>
        </w:pict>
      </w:r>
    </w:p>
    <w:bookmarkEnd w:id="18"/>
    <w:bookmarkStart w:id="19" w:name="what-is-hemodynamic-telemetry"/>
    <w:p>
      <w:pPr>
        <w:pStyle w:val="Heading2"/>
      </w:pPr>
      <w:r>
        <w:t xml:space="preserve">11. What Is Hemodynamic Telemetry</w:t>
      </w:r>
    </w:p>
    <w:p>
      <w:pPr>
        <w:pStyle w:val="FirstParagraph"/>
      </w:pPr>
      <w:r>
        <w:t xml:space="preserve">The title of the right-hand panel.</w:t>
      </w:r>
      <w:r>
        <w:t xml:space="preserve"> </w:t>
      </w:r>
      <w:r>
        <w:t xml:space="preserve">“Telemetry”</w:t>
      </w:r>
      <w:r>
        <w:t xml:space="preserve"> </w:t>
      </w:r>
      <w:r>
        <w:t xml:space="preserve">means a live readout of measured data — here, the set of gauges (Composite Risk, TAWSS, OSI, Morphology) reporting the active patient’s blood-flow measurements in real time as patients are switched or views are toggled.</w:t>
      </w:r>
    </w:p>
    <w:p>
      <w:r>
        <w:pict>
          <v:rect style="width:0;height:1.5pt" o:hralign="center" o:hrstd="t" o:hr="t"/>
        </w:pict>
      </w:r>
    </w:p>
    <w:bookmarkEnd w:id="19"/>
    <w:bookmarkStart w:id="20" w:name="what-is-composite-risk-index-in-detail"/>
    <w:p>
      <w:pPr>
        <w:pStyle w:val="Heading2"/>
      </w:pPr>
      <w:r>
        <w:t xml:space="preserve">12. What Is Composite Risk Index (In Detail)</w:t>
      </w:r>
    </w:p>
    <w:p>
      <w:pPr>
        <w:pStyle w:val="FirstParagraph"/>
      </w:pPr>
      <w:r>
        <w:t xml:space="preserve">The large dial at the top of the telemetry panel. It is computed as a</w:t>
      </w:r>
      <w:r>
        <w:t xml:space="preserve"> </w:t>
      </w:r>
      <w:r>
        <w:rPr>
          <w:b/>
          <w:bCs/>
        </w:rPr>
        <w:t xml:space="preserve">weighted sum</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Factor</w:t>
            </w:r>
          </w:p>
        </w:tc>
        <w:tc>
          <w:tcPr/>
          <w:p>
            <w:pPr>
              <w:pStyle w:val="Compact"/>
            </w:pPr>
            <w:r>
              <w:t xml:space="preserve">Weight</w:t>
            </w:r>
          </w:p>
        </w:tc>
        <w:tc>
          <w:tcPr/>
          <w:p>
            <w:pPr>
              <w:pStyle w:val="Compact"/>
            </w:pPr>
            <w:r>
              <w:t xml:space="preserve">What Drives It</w:t>
            </w:r>
          </w:p>
        </w:tc>
      </w:tr>
      <w:tr>
        <w:tc>
          <w:tcPr/>
          <w:p>
            <w:pPr>
              <w:pStyle w:val="Compact"/>
            </w:pPr>
            <w:r>
              <w:t xml:space="preserve">TAWSS</w:t>
            </w:r>
          </w:p>
        </w:tc>
        <w:tc>
          <w:tcPr/>
          <w:p>
            <w:pPr>
              <w:pStyle w:val="Compact"/>
            </w:pPr>
            <w:r>
              <w:t xml:space="preserve">35%</w:t>
            </w:r>
          </w:p>
        </w:tc>
        <w:tc>
          <w:tcPr/>
          <w:p>
            <w:pPr>
              <w:pStyle w:val="Compact"/>
            </w:pPr>
            <w:r>
              <w:t xml:space="preserve">Lower TAWSS at the dome increases the risk contribution</w:t>
            </w:r>
          </w:p>
        </w:tc>
      </w:tr>
      <w:tr>
        <w:tc>
          <w:tcPr/>
          <w:p>
            <w:pPr>
              <w:pStyle w:val="Compact"/>
            </w:pPr>
            <w:r>
              <w:t xml:space="preserve">OSI</w:t>
            </w:r>
          </w:p>
        </w:tc>
        <w:tc>
          <w:tcPr/>
          <w:p>
            <w:pPr>
              <w:pStyle w:val="Compact"/>
            </w:pPr>
            <w:r>
              <w:t xml:space="preserve">30%</w:t>
            </w:r>
          </w:p>
        </w:tc>
        <w:tc>
          <w:tcPr/>
          <w:p>
            <w:pPr>
              <w:pStyle w:val="Compact"/>
            </w:pPr>
            <w:r>
              <w:t xml:space="preserve">Higher OSI at the dome increases the risk contribution</w:t>
            </w:r>
          </w:p>
        </w:tc>
      </w:tr>
      <w:tr>
        <w:tc>
          <w:tcPr/>
          <w:p>
            <w:pPr>
              <w:pStyle w:val="Compact"/>
            </w:pPr>
            <w:r>
              <w:t xml:space="preserve">Max diameter</w:t>
            </w:r>
          </w:p>
        </w:tc>
        <w:tc>
          <w:tcPr/>
          <w:p>
            <w:pPr>
              <w:pStyle w:val="Compact"/>
            </w:pPr>
            <w:r>
              <w:t xml:space="preserve">20%</w:t>
            </w:r>
          </w:p>
        </w:tc>
        <w:tc>
          <w:tcPr/>
          <w:p>
            <w:pPr>
              <w:pStyle w:val="Compact"/>
            </w:pPr>
            <w:r>
              <w:t xml:space="preserve">Larger aneurysm increases the risk contribution</w:t>
            </w:r>
          </w:p>
        </w:tc>
      </w:tr>
      <w:tr>
        <w:tc>
          <w:tcPr/>
          <w:p>
            <w:pPr>
              <w:pStyle w:val="Compact"/>
            </w:pPr>
            <w:r>
              <w:t xml:space="preserve">Aspect ratio</w:t>
            </w:r>
          </w:p>
        </w:tc>
        <w:tc>
          <w:tcPr/>
          <w:p>
            <w:pPr>
              <w:pStyle w:val="Compact"/>
            </w:pPr>
            <w:r>
              <w:t xml:space="preserve">15%</w:t>
            </w:r>
          </w:p>
        </w:tc>
        <w:tc>
          <w:tcPr/>
          <w:p>
            <w:pPr>
              <w:pStyle w:val="Compact"/>
            </w:pPr>
            <w:r>
              <w:t xml:space="preserve">More elongated shape increases the risk contribution</w:t>
            </w:r>
          </w:p>
        </w:tc>
      </w:tr>
    </w:tbl>
    <w:p>
      <w:pPr>
        <w:pStyle w:val="BodyText"/>
      </w:pPr>
      <w:r>
        <w:t xml:space="preserve">The result maps to a label:</w:t>
      </w:r>
      <w:r>
        <w:t xml:space="preserve"> </w:t>
      </w:r>
      <w:r>
        <w:rPr>
          <w:b/>
          <w:bCs/>
        </w:rPr>
        <w:t xml:space="preserve">≥75 = High Rupture Risk, 45–74 = Moderate, &lt;45 = Stable/Low Risk.</w:t>
      </w:r>
      <w:r>
        <w:t xml:space="preserve"> </w:t>
      </w:r>
      <w:r>
        <w:t xml:space="preserve">TAWSS and OSI carry the highest weight because they are the direct flow-mechanics drivers of wall damage; morphology (size/shape) is supporting evidence.</w:t>
      </w:r>
    </w:p>
    <w:p>
      <w:r>
        <w:pict>
          <v:rect style="width:0;height:1.5pt" o:hralign="center" o:hrstd="t" o:hr="t"/>
        </w:pict>
      </w:r>
    </w:p>
    <w:bookmarkEnd w:id="20"/>
    <w:bookmarkStart w:id="21" w:name="what-is-aneurysm-tawss"/>
    <w:p>
      <w:pPr>
        <w:pStyle w:val="Heading2"/>
      </w:pPr>
      <w:r>
        <w:t xml:space="preserve">13. What Is Aneurysm TAWSS</w:t>
      </w:r>
    </w:p>
    <w:p>
      <w:pPr>
        <w:pStyle w:val="FirstParagraph"/>
      </w:pPr>
      <w:r>
        <w:t xml:space="preserve">The gauge showing the</w:t>
      </w:r>
      <w:r>
        <w:t xml:space="preserve"> </w:t>
      </w:r>
      <w:r>
        <w:rPr>
          <w:b/>
          <w:bCs/>
        </w:rPr>
        <w:t xml:space="preserve">dome’s</w:t>
      </w:r>
      <w:r>
        <w:t xml:space="preserve"> </w:t>
      </w:r>
      <w:r>
        <w:t xml:space="preserve">TAWSS value specifically (in Pa). The dome is the actual bulge — the part that can rupture — so its TAWSS is what is tracked here, as opposed to the healthy parent artery’s TAWSS, which is always higher/safer. Below 0.4 Pa triggers the red</w:t>
      </w:r>
      <w:r>
        <w:t xml:space="preserve"> </w:t>
      </w:r>
      <w:r>
        <w:t xml:space="preserve">“Low TAWSS”</w:t>
      </w:r>
      <w:r>
        <w:t xml:space="preserve"> </w:t>
      </w:r>
      <w:r>
        <w:t xml:space="preserve">alert.</w:t>
      </w:r>
    </w:p>
    <w:p>
      <w:r>
        <w:pict>
          <v:rect style="width:0;height:1.5pt" o:hralign="center" o:hrstd="t" o:hr="t"/>
        </w:pict>
      </w:r>
    </w:p>
    <w:bookmarkEnd w:id="21"/>
    <w:bookmarkStart w:id="22" w:name="what-is-aneurysm-osi"/>
    <w:p>
      <w:pPr>
        <w:pStyle w:val="Heading2"/>
      </w:pPr>
      <w:r>
        <w:t xml:space="preserve">14. What Is Aneurysm OSI</w:t>
      </w:r>
    </w:p>
    <w:p>
      <w:pPr>
        <w:pStyle w:val="FirstParagraph"/>
      </w:pPr>
      <w:r>
        <w:t xml:space="preserve">The gauge showing the</w:t>
      </w:r>
      <w:r>
        <w:t xml:space="preserve"> </w:t>
      </w:r>
      <w:r>
        <w:rPr>
          <w:b/>
          <w:bCs/>
        </w:rPr>
        <w:t xml:space="preserve">dome’s</w:t>
      </w:r>
      <w:r>
        <w:t xml:space="preserve"> </w:t>
      </w:r>
      <w:r>
        <w:t xml:space="preserve">OSI value. Above 0.3 triggers the red</w:t>
      </w:r>
      <w:r>
        <w:t xml:space="preserve"> </w:t>
      </w:r>
      <w:r>
        <w:t xml:space="preserve">“High OSI”</w:t>
      </w:r>
      <w:r>
        <w:t xml:space="preserve"> </w:t>
      </w:r>
      <w:r>
        <w:t xml:space="preserve">alert, flagging disturbed flow at the rupture-prone site.</w:t>
      </w:r>
    </w:p>
    <w:p>
      <w:r>
        <w:pict>
          <v:rect style="width:0;height:1.5pt" o:hralign="center" o:hrstd="t" o:hr="t"/>
        </w:pict>
      </w:r>
    </w:p>
    <w:bookmarkEnd w:id="22"/>
    <w:bookmarkStart w:id="23" w:name="what-is-aneurysm-morphology"/>
    <w:p>
      <w:pPr>
        <w:pStyle w:val="Heading2"/>
      </w:pPr>
      <w:r>
        <w:t xml:space="preserve">15. What Is Aneurysm Morphology</w:t>
      </w:r>
    </w:p>
    <w:p>
      <w:pPr>
        <w:pStyle w:val="FirstParagraph"/>
      </w:pPr>
      <w:r>
        <w:t xml:space="preserve">The card showing the aneurysm’s</w:t>
      </w:r>
      <w:r>
        <w:t xml:space="preserve"> </w:t>
      </w:r>
      <w:r>
        <w:rPr>
          <w:b/>
          <w:bCs/>
        </w:rPr>
        <w:t xml:space="preserve">shape and geometry</w:t>
      </w:r>
      <w:r>
        <w:t xml:space="preserve"> </w:t>
      </w:r>
      <w:r>
        <w:t xml:space="preserve">measurements, as opposed to the flow-based TAWSS/OSI cards. Morphology matters independently of flow: even with identical hemodynamics, a bigger or more elongated aneurysm sac is mechanically weaker and more prone to rupture.</w:t>
      </w:r>
    </w:p>
    <w:p>
      <w:r>
        <w:pict>
          <v:rect style="width:0;height:1.5pt" o:hralign="center" o:hrstd="t" o:hr="t"/>
        </w:pict>
      </w:r>
    </w:p>
    <w:bookmarkEnd w:id="23"/>
    <w:bookmarkStart w:id="24" w:name="what-are-max-diameter-and-aspect-ratio"/>
    <w:p>
      <w:pPr>
        <w:pStyle w:val="Heading2"/>
      </w:pPr>
      <w:r>
        <w:t xml:space="preserve">16. What Are Max Diameter and Aspect Ratio</w:t>
      </w:r>
    </w:p>
    <w:p>
      <w:pPr>
        <w:pStyle w:val="Compact"/>
        <w:numPr>
          <w:ilvl w:val="0"/>
          <w:numId w:val="1005"/>
        </w:numPr>
      </w:pPr>
      <w:r>
        <w:rPr>
          <w:b/>
          <w:bCs/>
        </w:rPr>
        <w:t xml:space="preserve">Max Diameter</w:t>
      </w:r>
      <w:r>
        <w:t xml:space="preserve">: the largest dimension across the aneurysm dome, in mm. Aneurysms over roughly 5mm are generally considered higher-risk in clinical literature (PHASES-style scoring uses size brackets for this reason).</w:t>
      </w:r>
    </w:p>
    <w:p>
      <w:pPr>
        <w:pStyle w:val="Compact"/>
        <w:numPr>
          <w:ilvl w:val="0"/>
          <w:numId w:val="1005"/>
        </w:numPr>
      </w:pPr>
      <w:r>
        <w:rPr>
          <w:b/>
          <w:bCs/>
        </w:rPr>
        <w:t xml:space="preserve">Aspect Ratio</w:t>
      </w:r>
      <w:r>
        <w:t xml:space="preserve">: dome height divided by neck width — a shape descriptor. A</w:t>
      </w:r>
      <w:r>
        <w:t xml:space="preserve"> </w:t>
      </w:r>
      <w:r>
        <w:t xml:space="preserve">“tall, narrow-necked”</w:t>
      </w:r>
      <w:r>
        <w:t xml:space="preserve"> </w:t>
      </w:r>
      <w:r>
        <w:t xml:space="preserve">aneurysm (high aspect ratio, &gt; 1.5) balloons far out from the parent vessel and is mechanically more dangerous than a</w:t>
      </w:r>
      <w:r>
        <w:t xml:space="preserve"> </w:t>
      </w:r>
      <w:r>
        <w:t xml:space="preserve">“short, wide-necked”</w:t>
      </w:r>
      <w:r>
        <w:t xml:space="preserve"> </w:t>
      </w:r>
      <w:r>
        <w:t xml:space="preserve">one of the same diameter, because the sac wall is more isolated from the parent vessel’s supporting flow.</w:t>
      </w:r>
    </w:p>
    <w:p>
      <w:r>
        <w:pict>
          <v:rect style="width:0;height:1.5pt" o:hralign="center" o:hrstd="t" o:hr="t"/>
        </w:pict>
      </w:r>
    </w:p>
    <w:bookmarkEnd w:id="24"/>
    <w:bookmarkStart w:id="25" w:name="what-is-meant-by-node-in-the-heatmap"/>
    <w:p>
      <w:pPr>
        <w:pStyle w:val="Heading2"/>
      </w:pPr>
      <w:r>
        <w:t xml:space="preserve">17. What Is Meant by</w:t>
      </w:r>
      <w:r>
        <w:t xml:space="preserve"> </w:t>
      </w:r>
      <w:r>
        <w:t xml:space="preserve">“NODE”</w:t>
      </w:r>
      <w:r>
        <w:t xml:space="preserve"> </w:t>
      </w:r>
      <w:r>
        <w:t xml:space="preserve">in the Heatmap</w:t>
      </w:r>
    </w:p>
    <w:p>
      <w:pPr>
        <w:pStyle w:val="FirstParagraph"/>
      </w:pPr>
      <w:r>
        <w:t xml:space="preserve">Each</w:t>
      </w:r>
      <w:r>
        <w:t xml:space="preserve"> </w:t>
      </w:r>
      <w:r>
        <w:rPr>
          <w:b/>
          <w:bCs/>
        </w:rPr>
        <w:t xml:space="preserve">NODE #XXXX</w:t>
      </w:r>
      <w:r>
        <w:t xml:space="preserve"> </w:t>
      </w:r>
      <w:r>
        <w:t xml:space="preserve">label (e.g. NODE #3891, #4289) marks a discrete</w:t>
      </w:r>
      <w:r>
        <w:t xml:space="preserve"> </w:t>
      </w:r>
      <w:r>
        <w:rPr>
          <w:b/>
          <w:bCs/>
        </w:rPr>
        <w:t xml:space="preserve">measurement/sampling point</w:t>
      </w:r>
      <w:r>
        <w:t xml:space="preserve"> </w:t>
      </w:r>
      <w:r>
        <w:t xml:space="preserve">on the vessel surface, mirroring how a real CFD post-processor reports results at individual mesh nodes rather than as a single blob value. The four nodes are: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Node ID</w:t>
            </w:r>
          </w:p>
        </w:tc>
        <w:tc>
          <w:tcPr/>
          <w:p>
            <w:pPr>
              <w:pStyle w:val="Compact"/>
            </w:pPr>
            <w:r>
              <w:t xml:space="preserve">Location</w:t>
            </w:r>
          </w:p>
        </w:tc>
      </w:tr>
      <w:tr>
        <w:tc>
          <w:tcPr/>
          <w:p>
            <w:pPr>
              <w:pStyle w:val="Compact"/>
            </w:pPr>
            <w:r>
              <w:t xml:space="preserve">#3891</w:t>
            </w:r>
          </w:p>
        </w:tc>
        <w:tc>
          <w:tcPr/>
          <w:p>
            <w:pPr>
              <w:pStyle w:val="Compact"/>
            </w:pPr>
            <w:r>
              <w:t xml:space="preserve">Parent Artery Inlet</w:t>
            </w:r>
          </w:p>
        </w:tc>
      </w:tr>
      <w:tr>
        <w:tc>
          <w:tcPr/>
          <w:p>
            <w:pPr>
              <w:pStyle w:val="Compact"/>
            </w:pPr>
            <w:r>
              <w:t xml:space="preserve">#3942</w:t>
            </w:r>
          </w:p>
        </w:tc>
        <w:tc>
          <w:tcPr/>
          <w:p>
            <w:pPr>
              <w:pStyle w:val="Compact"/>
            </w:pPr>
            <w:r>
              <w:t xml:space="preserve">Parent Artery Outlet</w:t>
            </w:r>
          </w:p>
        </w:tc>
      </w:tr>
      <w:tr>
        <w:tc>
          <w:tcPr/>
          <w:p>
            <w:pPr>
              <w:pStyle w:val="Compact"/>
            </w:pPr>
            <w:r>
              <w:t xml:space="preserve">#4109</w:t>
            </w:r>
          </w:p>
        </w:tc>
        <w:tc>
          <w:tcPr/>
          <w:p>
            <w:pPr>
              <w:pStyle w:val="Compact"/>
            </w:pPr>
            <w:r>
              <w:t xml:space="preserve">Aneurysm Neck</w:t>
            </w:r>
          </w:p>
        </w:tc>
      </w:tr>
      <w:tr>
        <w:tc>
          <w:tcPr/>
          <w:p>
            <w:pPr>
              <w:pStyle w:val="Compact"/>
            </w:pPr>
            <w:r>
              <w:t xml:space="preserve">#4289</w:t>
            </w:r>
          </w:p>
        </w:tc>
        <w:tc>
          <w:tcPr/>
          <w:p>
            <w:pPr>
              <w:pStyle w:val="Compact"/>
            </w:pPr>
            <w:r>
              <w:t xml:space="preserve">Aneurysm Dome</w:t>
            </w:r>
          </w:p>
        </w:tc>
      </w:tr>
    </w:tbl>
    <w:p>
      <w:pPr>
        <w:pStyle w:val="BodyText"/>
      </w:pPr>
      <w:r>
        <w:t xml:space="preserve">Each node carries its own independent TAWSS/OSI reading, which is why the heatmap can show a healthy blue artery feeding into a red danger zone at the dome.</w:t>
      </w:r>
    </w:p>
    <w:p>
      <w:r>
        <w:pict>
          <v:rect style="width:0;height:1.5pt" o:hralign="center" o:hrstd="t" o:hr="t"/>
        </w:pict>
      </w:r>
    </w:p>
    <w:bookmarkEnd w:id="25"/>
    <w:bookmarkStart w:id="26" w:name="Xdbbde9b2015d293216668937906dde37f7e3dec"/>
    <w:p>
      <w:pPr>
        <w:pStyle w:val="Heading2"/>
      </w:pPr>
      <w:r>
        <w:t xml:space="preserve">18. The</w:t>
      </w:r>
      <w:r>
        <w:t xml:space="preserve"> </w:t>
      </w:r>
      <w:r>
        <w:t xml:space="preserve">“Clinical Metric Matrix”</w:t>
      </w:r>
      <w:r>
        <w:t xml:space="preserve"> </w:t>
      </w:r>
      <w:r>
        <w:t xml:space="preserve">Table (Report Modal)</w:t>
      </w:r>
    </w:p>
    <w:p>
      <w:pPr>
        <w:pStyle w:val="FirstParagraph"/>
      </w:pPr>
      <w:r>
        <w:t xml:space="preserve">The table shown in the</w:t>
      </w:r>
      <w:r>
        <w:t xml:space="preserve"> </w:t>
      </w:r>
      <w:r>
        <w:rPr>
          <w:b/>
          <w:bCs/>
        </w:rPr>
        <w:t xml:space="preserve">Expand Case Review</w:t>
      </w:r>
      <w:r>
        <w:t xml:space="preserve"> </w:t>
      </w:r>
      <w:r>
        <w:t xml:space="preserve">report lays the same data out in a clinical format: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Meaning</w:t>
            </w:r>
          </w:p>
        </w:tc>
      </w:tr>
      <w:tr>
        <w:tc>
          <w:tcPr/>
          <w:p>
            <w:pPr>
              <w:pStyle w:val="Compact"/>
            </w:pPr>
            <w:r>
              <w:t xml:space="preserve">Metric Description</w:t>
            </w:r>
          </w:p>
        </w:tc>
        <w:tc>
          <w:tcPr/>
          <w:p>
            <w:pPr>
              <w:pStyle w:val="Compact"/>
            </w:pPr>
            <w:r>
              <w:t xml:space="preserve">The name of the measurement (TAWSS, OSI, diameter, aspect ratio, composite score)</w:t>
            </w:r>
          </w:p>
        </w:tc>
      </w:tr>
      <w:tr>
        <w:tc>
          <w:tcPr/>
          <w:p>
            <w:pPr>
              <w:pStyle w:val="Compact"/>
            </w:pPr>
            <w:r>
              <w:t xml:space="preserve">CFD Extracted Value</w:t>
            </w:r>
          </w:p>
        </w:tc>
        <w:tc>
          <w:tcPr/>
          <w:p>
            <w:pPr>
              <w:pStyle w:val="Compact"/>
            </w:pPr>
            <w:r>
              <w:t xml:space="preserve">The number produced by the (simulated) simulation for this patient</w:t>
            </w:r>
          </w:p>
        </w:tc>
      </w:tr>
      <w:tr>
        <w:tc>
          <w:tcPr/>
          <w:p>
            <w:pPr>
              <w:pStyle w:val="Compact"/>
            </w:pPr>
            <w:r>
              <w:t xml:space="preserve">Clinical Threshold</w:t>
            </w:r>
          </w:p>
        </w:tc>
        <w:tc>
          <w:tcPr/>
          <w:p>
            <w:pPr>
              <w:pStyle w:val="Compact"/>
            </w:pPr>
            <w:r>
              <w:t xml:space="preserve">The cutoff literature associates with elevated risk (&gt; 0.40 Pa TAWSS, &lt; 0.30 OSI, &lt; 5.00mm diameter, &lt; 1.50 aspect ratio, &lt; 75 composite)</w:t>
            </w:r>
          </w:p>
        </w:tc>
      </w:tr>
      <w:tr>
        <w:tc>
          <w:tcPr/>
          <w:p>
            <w:pPr>
              <w:pStyle w:val="Compact"/>
            </w:pPr>
            <w:r>
              <w:t xml:space="preserve">Status</w:t>
            </w:r>
          </w:p>
        </w:tc>
        <w:tc>
          <w:tcPr/>
          <w:p>
            <w:pPr>
              <w:pStyle w:val="Compact"/>
            </w:pPr>
            <w:r>
              <w:t xml:space="preserve">Whether the patient’s value crosses that threshold (Normal vs. flagged, e.g. </w:t>
            </w:r>
            <w:r>
              <w:t xml:space="preserve">“Low Shear”</w:t>
            </w:r>
            <w:r>
              <w:t xml:space="preserve">,</w:t>
            </w:r>
            <w:r>
              <w:t xml:space="preserve"> </w:t>
            </w:r>
            <w:r>
              <w:t xml:space="preserve">“Flow Stagnation”</w:t>
            </w:r>
            <w:r>
              <w:t xml:space="preserve">,</w:t>
            </w:r>
            <w:r>
              <w:t xml:space="preserve"> </w:t>
            </w:r>
            <w:r>
              <w:t xml:space="preserve">“Critical”</w:t>
            </w:r>
            <w:r>
              <w:t xml:space="preserve">,</w:t>
            </w:r>
            <w:r>
              <w:t xml:space="preserve"> </w:t>
            </w:r>
            <w:r>
              <w:t xml:space="preserve">“Elongated”</w:t>
            </w:r>
            <w:r>
              <w:t xml:space="preserve">)</w:t>
            </w:r>
          </w:p>
        </w:tc>
      </w:tr>
    </w:tbl>
    <w:p>
      <w:pPr>
        <w:pStyle w:val="BodyText"/>
      </w:pPr>
      <w:r>
        <w:t xml:space="preserve">It is essentially a pass/fail check against each clinical cutoff — the same format a real radiology/neurosurgery report would use to justify a treatment recommendation.</w:t>
      </w:r>
    </w:p>
    <w:p>
      <w:r>
        <w:pict>
          <v:rect style="width:0;height:1.5pt" o:hralign="center" o:hrstd="t" o:hr="t"/>
        </w:pict>
      </w:r>
    </w:p>
    <w:bookmarkEnd w:id="26"/>
    <w:bookmarkStart w:id="27" w:name="quick-reference-summary-table"/>
    <w:p>
      <w:pPr>
        <w:pStyle w:val="Heading2"/>
      </w:pPr>
      <w:r>
        <w:t xml:space="preserve">Quick-Reference Summary Table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Term</w:t>
            </w:r>
          </w:p>
        </w:tc>
        <w:tc>
          <w:tcPr/>
          <w:p>
            <w:pPr>
              <w:pStyle w:val="Compact"/>
            </w:pPr>
            <w:r>
              <w:t xml:space="preserve">Full Name</w:t>
            </w:r>
          </w:p>
        </w:tc>
        <w:tc>
          <w:tcPr/>
          <w:p>
            <w:pPr>
              <w:pStyle w:val="Compact"/>
            </w:pPr>
            <w:r>
              <w:t xml:space="preserve">Meaning</w:t>
            </w:r>
          </w:p>
        </w:tc>
        <w:tc>
          <w:tcPr/>
          <w:p>
            <w:pPr>
              <w:pStyle w:val="Compact"/>
            </w:pPr>
            <w:r>
              <w:t xml:space="preserve">Danger Threshold</w:t>
            </w:r>
          </w:p>
        </w:tc>
      </w:tr>
      <w:tr>
        <w:tc>
          <w:tcPr/>
          <w:p>
            <w:pPr>
              <w:pStyle w:val="Compact"/>
            </w:pPr>
            <w:r>
              <w:t xml:space="preserve">TAWSS</w:t>
            </w:r>
          </w:p>
        </w:tc>
        <w:tc>
          <w:tcPr/>
          <w:p>
            <w:pPr>
              <w:pStyle w:val="Compact"/>
            </w:pPr>
            <w:r>
              <w:t xml:space="preserve">Time-Averaged Wall Shear Stress</w:t>
            </w:r>
          </w:p>
        </w:tc>
        <w:tc>
          <w:tcPr/>
          <w:p>
            <w:pPr>
              <w:pStyle w:val="Compact"/>
            </w:pPr>
            <w:r>
              <w:t xml:space="preserve">Average frictional force of blood on the vessel wall over one cardiac cycle</w:t>
            </w:r>
          </w:p>
        </w:tc>
        <w:tc>
          <w:tcPr/>
          <w:p>
            <w:pPr>
              <w:pStyle w:val="Compact"/>
            </w:pPr>
            <w:r>
              <w:t xml:space="preserve">&lt; 0.40 Pa</w:t>
            </w:r>
          </w:p>
        </w:tc>
      </w:tr>
      <w:tr>
        <w:tc>
          <w:tcPr/>
          <w:p>
            <w:pPr>
              <w:pStyle w:val="Compact"/>
            </w:pPr>
            <w:r>
              <w:t xml:space="preserve">OSI</w:t>
            </w:r>
          </w:p>
        </w:tc>
        <w:tc>
          <w:tcPr/>
          <w:p>
            <w:pPr>
              <w:pStyle w:val="Compact"/>
            </w:pPr>
            <w:r>
              <w:t xml:space="preserve">Oscillatory Shear Index</w:t>
            </w:r>
          </w:p>
        </w:tc>
        <w:tc>
          <w:tcPr/>
          <w:p>
            <w:pPr>
              <w:pStyle w:val="Compact"/>
            </w:pPr>
            <w:r>
              <w:t xml:space="preserve">How much wall shear stress direction reverses during the cardiac cycle</w:t>
            </w:r>
          </w:p>
        </w:tc>
        <w:tc>
          <w:tcPr/>
          <w:p>
            <w:pPr>
              <w:pStyle w:val="Compact"/>
            </w:pPr>
            <w:r>
              <w:t xml:space="preserve">&gt; 0.30</w:t>
            </w:r>
          </w:p>
        </w:tc>
      </w:tr>
      <w:tr>
        <w:tc>
          <w:tcPr/>
          <w:p>
            <w:pPr>
              <w:pStyle w:val="Compact"/>
            </w:pPr>
            <w:r>
              <w:t xml:space="preserve">CRI</w:t>
            </w:r>
          </w:p>
        </w:tc>
        <w:tc>
          <w:tcPr/>
          <w:p>
            <w:pPr>
              <w:pStyle w:val="Compact"/>
            </w:pPr>
            <w:r>
              <w:t xml:space="preserve">Composite Risk Index</w:t>
            </w:r>
          </w:p>
        </w:tc>
        <w:tc>
          <w:tcPr/>
          <w:p>
            <w:pPr>
              <w:pStyle w:val="Compact"/>
            </w:pPr>
            <w:r>
              <w:t xml:space="preserve">Weighted 0-100 score combining TAWSS, OSI, diameter, aspect ratio</w:t>
            </w:r>
          </w:p>
        </w:tc>
        <w:tc>
          <w:tcPr/>
          <w:p>
            <w:pPr>
              <w:pStyle w:val="Compact"/>
            </w:pPr>
            <w:r>
              <w:t xml:space="preserve">≥ 75 = High Risk</w:t>
            </w:r>
          </w:p>
        </w:tc>
      </w:tr>
      <w:tr>
        <w:tc>
          <w:tcPr/>
          <w:p>
            <w:pPr>
              <w:pStyle w:val="Compact"/>
            </w:pPr>
            <w:r>
              <w:t xml:space="preserve">Dia</w:t>
            </w:r>
          </w:p>
        </w:tc>
        <w:tc>
          <w:tcPr/>
          <w:p>
            <w:pPr>
              <w:pStyle w:val="Compact"/>
            </w:pPr>
            <w:r>
              <w:t xml:space="preserve">Diameter</w:t>
            </w:r>
          </w:p>
        </w:tc>
        <w:tc>
          <w:tcPr/>
          <w:p>
            <w:pPr>
              <w:pStyle w:val="Compact"/>
            </w:pPr>
            <w:r>
              <w:t xml:space="preserve">Max width of the aneurysm dome</w:t>
            </w:r>
          </w:p>
        </w:tc>
        <w:tc>
          <w:tcPr/>
          <w:p>
            <w:pPr>
              <w:pStyle w:val="Compact"/>
            </w:pPr>
            <w:r>
              <w:t xml:space="preserve">&gt; 5.00 mm</w:t>
            </w:r>
          </w:p>
        </w:tc>
      </w:tr>
      <w:tr>
        <w:tc>
          <w:tcPr/>
          <w:p>
            <w:pPr>
              <w:pStyle w:val="Compact"/>
            </w:pPr>
            <w:r>
              <w:t xml:space="preserve">Aspect Ratio</w:t>
            </w:r>
          </w:p>
        </w:tc>
        <w:tc>
          <w:tcPr/>
          <w:p>
            <w:pPr>
              <w:pStyle w:val="Compact"/>
            </w:pPr>
            <w:r>
              <w:t xml:space="preserve">—</w:t>
            </w:r>
          </w:p>
        </w:tc>
        <w:tc>
          <w:tcPr/>
          <w:p>
            <w:pPr>
              <w:pStyle w:val="Compact"/>
            </w:pPr>
            <w:r>
              <w:t xml:space="preserve">Dome height ÷ neck width (shape indicator)</w:t>
            </w:r>
          </w:p>
        </w:tc>
        <w:tc>
          <w:tcPr/>
          <w:p>
            <w:pPr>
              <w:pStyle w:val="Compact"/>
            </w:pPr>
            <w:r>
              <w:t xml:space="preserve">&gt; 1.50</w:t>
            </w:r>
          </w:p>
        </w:tc>
      </w:tr>
      <w:tr>
        <w:tc>
          <w:tcPr/>
          <w:p>
            <w:pPr>
              <w:pStyle w:val="Compact"/>
            </w:pPr>
            <w:r>
              <w:t xml:space="preserve">NODE</w:t>
            </w:r>
          </w:p>
        </w:tc>
        <w:tc>
          <w:tcPr/>
          <w:p>
            <w:pPr>
              <w:pStyle w:val="Compact"/>
            </w:pPr>
            <w:r>
              <w:t xml:space="preserve">—</w:t>
            </w:r>
          </w:p>
        </w:tc>
        <w:tc>
          <w:tcPr/>
          <w:p>
            <w:pPr>
              <w:pStyle w:val="Compact"/>
            </w:pPr>
            <w:r>
              <w:t xml:space="preserve">A discrete measurement point on the vessel mesh</w:t>
            </w:r>
          </w:p>
        </w:tc>
        <w:tc>
          <w:tcPr/>
          <w:p>
            <w:pPr>
              <w:pStyle w:val="Compact"/>
            </w:pPr>
            <w:r>
              <w:t xml:space="preserve">—</w:t>
            </w:r>
          </w:p>
        </w:tc>
      </w:tr>
    </w:tbl>
    <w:bookmarkEnd w:id="27"/>
    <w:bookmarkEnd w:id="2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NeuroFlow CFD Analyst — Project Explanation</dc:title>
  <dc:creator>FYP Reference Document</dc:creator>
  <cp:keywords/>
  <dcterms:created xsi:type="dcterms:W3CDTF">2026-07-12T20:43:56Z</dcterms:created>
  <dcterms:modified xsi:type="dcterms:W3CDTF">2026-07-12T20:43:56Z</dcterms:modified>
</cp:coreProperties>
</file>

<file path=docProps/custom.xml><?xml version="1.0" encoding="utf-8"?>
<Properties xmlns="http://schemas.openxmlformats.org/officeDocument/2006/custom-properties" xmlns:vt="http://schemas.openxmlformats.org/officeDocument/2006/docPropsVTypes"/>
</file>