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85F55">
      <w:pPr>
        <w:spacing w:after="80" w:line="360" w:lineRule="auto"/>
        <w:jc w:val="center"/>
      </w:pPr>
    </w:p>
    <w:p w14:paraId="239654D9">
      <w:pPr>
        <w:spacing w:after="80" w:line="360" w:lineRule="auto"/>
        <w:jc w:val="center"/>
      </w:pPr>
      <w:r>
        <w:drawing>
          <wp:inline distT="0" distB="0" distL="0" distR="0">
            <wp:extent cx="2417445" cy="581025"/>
            <wp:effectExtent l="0" t="0" r="0" b="9525"/>
            <wp:docPr id="1766833430" name="image1.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1766833430" name="image1.png" descr="Download Iqra University Logo PNG and Vector (PDF, SVG, Ai, EPS) Free"/>
                    <pic:cNvPicPr preferRelativeResize="0"/>
                  </pic:nvPicPr>
                  <pic:blipFill>
                    <a:blip r:embed="rId7"/>
                    <a:srcRect t="34738" b="33826"/>
                    <a:stretch>
                      <a:fillRect/>
                    </a:stretch>
                  </pic:blipFill>
                  <pic:spPr>
                    <a:xfrm>
                      <a:off x="0" y="0"/>
                      <a:ext cx="2417445" cy="581025"/>
                    </a:xfrm>
                    <a:prstGeom prst="rect">
                      <a:avLst/>
                    </a:prstGeom>
                  </pic:spPr>
                </pic:pic>
              </a:graphicData>
            </a:graphic>
          </wp:inline>
        </w:drawing>
      </w:r>
    </w:p>
    <w:p w14:paraId="31E2377A">
      <w:pPr>
        <w:spacing w:after="80" w:line="360" w:lineRule="auto"/>
        <w:jc w:val="center"/>
      </w:pPr>
    </w:p>
    <w:p w14:paraId="14288B61">
      <w:pPr>
        <w:spacing w:after="80" w:line="360" w:lineRule="auto"/>
        <w:jc w:val="center"/>
        <w:rPr>
          <w:b/>
          <w:color w:val="000000" w:themeColor="text1"/>
          <w:sz w:val="44"/>
          <w14:textFill>
            <w14:solidFill>
              <w14:schemeClr w14:val="tx1"/>
            </w14:solidFill>
          </w14:textFill>
        </w:rPr>
      </w:pPr>
      <w:r>
        <w:rPr>
          <w:b/>
          <w:color w:val="000000" w:themeColor="text1"/>
          <w:sz w:val="44"/>
          <w14:textFill>
            <w14:solidFill>
              <w14:schemeClr w14:val="tx1"/>
            </w14:solidFill>
          </w14:textFill>
        </w:rPr>
        <w:t>AWS ZERO TRUST SECURITY PLATFORM</w:t>
      </w:r>
    </w:p>
    <w:p w14:paraId="35429AB8">
      <w:pPr>
        <w:spacing w:after="80" w:line="360" w:lineRule="auto"/>
        <w:jc w:val="center"/>
        <w:rPr>
          <w:rFonts w:hint="default"/>
          <w:b/>
          <w:color w:val="000000" w:themeColor="text1"/>
          <w:sz w:val="40"/>
          <w:szCs w:val="21"/>
          <w:lang w:val="en-US"/>
          <w14:textFill>
            <w14:solidFill>
              <w14:schemeClr w14:val="tx1"/>
            </w14:solidFill>
          </w14:textFill>
        </w:rPr>
      </w:pPr>
    </w:p>
    <w:p w14:paraId="022C9487">
      <w:pPr>
        <w:spacing w:after="80" w:line="360" w:lineRule="auto"/>
        <w:jc w:val="center"/>
        <w:rPr>
          <w:rFonts w:hint="default"/>
          <w:b/>
          <w:color w:val="000000" w:themeColor="text1"/>
          <w:sz w:val="40"/>
          <w:szCs w:val="21"/>
          <w:lang w:val="en-US"/>
          <w14:textFill>
            <w14:solidFill>
              <w14:schemeClr w14:val="tx1"/>
            </w14:solidFill>
          </w14:textFill>
        </w:rPr>
      </w:pPr>
      <w:r>
        <w:rPr>
          <w:rFonts w:hint="default"/>
          <w:b/>
          <w:color w:val="000000" w:themeColor="text1"/>
          <w:sz w:val="40"/>
          <w:szCs w:val="21"/>
          <w:lang w:val="en-US"/>
          <w14:textFill>
            <w14:solidFill>
              <w14:schemeClr w14:val="tx1"/>
            </w14:solidFill>
          </w14:textFill>
        </w:rPr>
        <w:t>Final CCP Report</w:t>
      </w:r>
    </w:p>
    <w:p w14:paraId="0B74A20F">
      <w:pPr>
        <w:pStyle w:val="2"/>
        <w:keepNext/>
        <w:spacing w:before="400" w:after="160" w:line="360" w:lineRule="auto"/>
        <w:jc w:val="both"/>
        <w:rPr>
          <w:rFonts w:ascii="Arial" w:hAnsi="Arial"/>
          <w:b/>
          <w:color w:val="000000" w:themeColor="text1"/>
          <w:sz w:val="30"/>
          <w14:textFill>
            <w14:solidFill>
              <w14:schemeClr w14:val="tx1"/>
            </w14:solidFill>
          </w14:textFill>
        </w:rPr>
      </w:pPr>
    </w:p>
    <w:tbl>
      <w:tblPr>
        <w:tblStyle w:val="35"/>
        <w:tblpPr w:leftFromText="180" w:rightFromText="180" w:vertAnchor="text" w:horzAnchor="page" w:tblpX="3462" w:tblpY="29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3"/>
        <w:gridCol w:w="3397"/>
      </w:tblGrid>
      <w:tr w14:paraId="33B8C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3" w:type="dxa"/>
          </w:tcPr>
          <w:p w14:paraId="07305F7F">
            <w:pPr>
              <w:spacing w:after="80" w:line="360" w:lineRule="auto"/>
              <w:jc w:val="left"/>
              <w:rPr>
                <w:rFonts w:hint="default"/>
                <w:b/>
                <w:bCs w:val="0"/>
                <w:color w:val="000000" w:themeColor="text1"/>
                <w:sz w:val="24"/>
                <w:szCs w:val="15"/>
                <w:shd w:val="clear" w:color="auto" w:fill="auto"/>
                <w:vertAlign w:val="baseline"/>
                <w:lang w:val="en-US"/>
                <w14:textFill>
                  <w14:solidFill>
                    <w14:schemeClr w14:val="tx1"/>
                  </w14:solidFill>
                </w14:textFill>
              </w:rPr>
            </w:pPr>
            <w:r>
              <w:rPr>
                <w:rFonts w:hint="default"/>
                <w:b/>
                <w:bCs w:val="0"/>
                <w:color w:val="000000" w:themeColor="text1"/>
                <w:sz w:val="24"/>
                <w:szCs w:val="15"/>
                <w:shd w:val="clear" w:color="auto" w:fill="auto"/>
                <w:vertAlign w:val="baseline"/>
                <w:lang w:val="en-US"/>
                <w14:textFill>
                  <w14:solidFill>
                    <w14:schemeClr w14:val="tx1"/>
                  </w14:solidFill>
                </w14:textFill>
              </w:rPr>
              <w:t>Course</w:t>
            </w:r>
          </w:p>
        </w:tc>
        <w:tc>
          <w:tcPr>
            <w:tcW w:w="3397" w:type="dxa"/>
          </w:tcPr>
          <w:p w14:paraId="10C3BF08">
            <w:pPr>
              <w:spacing w:after="80" w:line="360" w:lineRule="auto"/>
              <w:jc w:val="left"/>
              <w:rPr>
                <w:rFonts w:hint="default"/>
                <w:b w:val="0"/>
                <w:bCs/>
                <w:color w:val="000000" w:themeColor="text1"/>
                <w:sz w:val="24"/>
                <w:szCs w:val="15"/>
                <w:u w:val="single"/>
                <w:shd w:val="clear" w:color="auto" w:fill="auto"/>
                <w:vertAlign w:val="baseline"/>
                <w:lang w:val="en-US"/>
                <w14:textFill>
                  <w14:solidFill>
                    <w14:schemeClr w14:val="tx1"/>
                  </w14:solidFill>
                </w14:textFill>
              </w:rPr>
            </w:pPr>
            <w:r>
              <w:rPr>
                <w:rFonts w:hint="default"/>
                <w:b w:val="0"/>
                <w:bCs/>
                <w:color w:val="000000" w:themeColor="text1"/>
                <w:sz w:val="24"/>
                <w:szCs w:val="15"/>
                <w:u w:val="single"/>
                <w:shd w:val="clear" w:color="auto" w:fill="auto"/>
                <w:vertAlign w:val="baseline"/>
                <w:lang w:val="en-US"/>
                <w14:textFill>
                  <w14:solidFill>
                    <w14:schemeClr w14:val="tx1"/>
                  </w14:solidFill>
                </w14:textFill>
              </w:rPr>
              <w:t>Cloud Security Lab</w:t>
            </w:r>
          </w:p>
        </w:tc>
      </w:tr>
      <w:tr w14:paraId="7F2E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3" w:type="dxa"/>
          </w:tcPr>
          <w:p w14:paraId="5268D712">
            <w:pPr>
              <w:spacing w:after="80" w:line="360" w:lineRule="auto"/>
              <w:jc w:val="left"/>
              <w:rPr>
                <w:rFonts w:hint="default"/>
                <w:b/>
                <w:bCs w:val="0"/>
                <w:color w:val="000000" w:themeColor="text1"/>
                <w:sz w:val="24"/>
                <w:szCs w:val="15"/>
                <w:shd w:val="clear" w:color="auto" w:fill="auto"/>
                <w:vertAlign w:val="baseline"/>
                <w:lang w:val="en-US"/>
                <w14:textFill>
                  <w14:solidFill>
                    <w14:schemeClr w14:val="tx1"/>
                  </w14:solidFill>
                </w14:textFill>
              </w:rPr>
            </w:pPr>
            <w:r>
              <w:rPr>
                <w:rFonts w:hint="default"/>
                <w:b/>
                <w:bCs w:val="0"/>
                <w:color w:val="000000" w:themeColor="text1"/>
                <w:sz w:val="24"/>
                <w:szCs w:val="15"/>
                <w:shd w:val="clear" w:color="auto" w:fill="auto"/>
                <w:vertAlign w:val="baseline"/>
                <w:lang w:val="en-US"/>
                <w14:textFill>
                  <w14:solidFill>
                    <w14:schemeClr w14:val="tx1"/>
                  </w14:solidFill>
                </w14:textFill>
              </w:rPr>
              <w:t>Progam</w:t>
            </w:r>
          </w:p>
        </w:tc>
        <w:tc>
          <w:tcPr>
            <w:tcW w:w="3397" w:type="dxa"/>
          </w:tcPr>
          <w:p w14:paraId="406774E2">
            <w:pPr>
              <w:spacing w:after="80" w:line="360" w:lineRule="auto"/>
              <w:jc w:val="left"/>
              <w:rPr>
                <w:rFonts w:hint="default"/>
                <w:b w:val="0"/>
                <w:bCs/>
                <w:color w:val="000000" w:themeColor="text1"/>
                <w:sz w:val="24"/>
                <w:szCs w:val="15"/>
                <w:u w:val="single"/>
                <w:shd w:val="clear" w:color="auto" w:fill="auto"/>
                <w:vertAlign w:val="baseline"/>
                <w:lang w:val="en-US"/>
                <w14:textFill>
                  <w14:solidFill>
                    <w14:schemeClr w14:val="tx1"/>
                  </w14:solidFill>
                </w14:textFill>
              </w:rPr>
            </w:pPr>
            <w:r>
              <w:rPr>
                <w:rFonts w:hint="default"/>
                <w:b w:val="0"/>
                <w:bCs/>
                <w:color w:val="000000" w:themeColor="text1"/>
                <w:sz w:val="24"/>
                <w:szCs w:val="15"/>
                <w:u w:val="single"/>
                <w:shd w:val="clear" w:color="auto" w:fill="auto"/>
                <w:vertAlign w:val="baseline"/>
                <w:lang w:val="en-US"/>
                <w14:textFill>
                  <w14:solidFill>
                    <w14:schemeClr w14:val="tx1"/>
                  </w14:solidFill>
                </w14:textFill>
              </w:rPr>
              <w:t>BS Cybersecurity</w:t>
            </w:r>
          </w:p>
        </w:tc>
      </w:tr>
      <w:tr w14:paraId="05B4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243" w:type="dxa"/>
          </w:tcPr>
          <w:p w14:paraId="02144F3F">
            <w:pPr>
              <w:spacing w:after="80" w:line="360" w:lineRule="auto"/>
              <w:jc w:val="left"/>
              <w:rPr>
                <w:rFonts w:hint="default"/>
                <w:b/>
                <w:bCs w:val="0"/>
                <w:color w:val="000000" w:themeColor="text1"/>
                <w:sz w:val="24"/>
                <w:szCs w:val="15"/>
                <w:shd w:val="clear" w:color="auto" w:fill="auto"/>
                <w:vertAlign w:val="baseline"/>
                <w:lang w:val="en-US"/>
                <w14:textFill>
                  <w14:solidFill>
                    <w14:schemeClr w14:val="tx1"/>
                  </w14:solidFill>
                </w14:textFill>
              </w:rPr>
            </w:pPr>
            <w:r>
              <w:rPr>
                <w:rFonts w:hint="default"/>
                <w:b/>
                <w:bCs w:val="0"/>
                <w:color w:val="000000" w:themeColor="text1"/>
                <w:sz w:val="24"/>
                <w:szCs w:val="15"/>
                <w:shd w:val="clear" w:color="auto" w:fill="auto"/>
                <w:vertAlign w:val="baseline"/>
                <w:lang w:val="en-US"/>
                <w14:textFill>
                  <w14:solidFill>
                    <w14:schemeClr w14:val="tx1"/>
                  </w14:solidFill>
                </w14:textFill>
              </w:rPr>
              <w:t>Submitted by</w:t>
            </w:r>
          </w:p>
        </w:tc>
        <w:tc>
          <w:tcPr>
            <w:tcW w:w="3397" w:type="dxa"/>
          </w:tcPr>
          <w:p w14:paraId="63042DA0">
            <w:pPr>
              <w:spacing w:after="80" w:line="360" w:lineRule="auto"/>
              <w:jc w:val="left"/>
              <w:rPr>
                <w:rFonts w:hint="default"/>
                <w:b w:val="0"/>
                <w:bCs/>
                <w:color w:val="000000" w:themeColor="text1"/>
                <w:sz w:val="24"/>
                <w:szCs w:val="15"/>
                <w:u w:val="single"/>
                <w:shd w:val="clear" w:color="auto" w:fill="auto"/>
                <w:vertAlign w:val="baseline"/>
                <w:lang w:val="en-US"/>
                <w14:textFill>
                  <w14:solidFill>
                    <w14:schemeClr w14:val="tx1"/>
                  </w14:solidFill>
                </w14:textFill>
              </w:rPr>
            </w:pPr>
            <w:r>
              <w:rPr>
                <w:rFonts w:hint="default"/>
                <w:b w:val="0"/>
                <w:bCs/>
                <w:color w:val="000000" w:themeColor="text1"/>
                <w:sz w:val="24"/>
                <w:szCs w:val="15"/>
                <w:u w:val="single"/>
                <w:shd w:val="clear" w:color="auto" w:fill="auto"/>
                <w:vertAlign w:val="baseline"/>
                <w:lang w:val="en-US"/>
                <w14:textFill>
                  <w14:solidFill>
                    <w14:schemeClr w14:val="tx1"/>
                  </w14:solidFill>
                </w14:textFill>
              </w:rPr>
              <w:t>Muhammad Hussain</w:t>
            </w:r>
          </w:p>
        </w:tc>
      </w:tr>
      <w:tr w14:paraId="6BDFB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243" w:type="dxa"/>
          </w:tcPr>
          <w:p w14:paraId="1F74915C">
            <w:pPr>
              <w:spacing w:after="80" w:line="360" w:lineRule="auto"/>
              <w:jc w:val="left"/>
              <w:rPr>
                <w:rFonts w:hint="default"/>
                <w:b/>
                <w:bCs w:val="0"/>
                <w:color w:val="000000" w:themeColor="text1"/>
                <w:sz w:val="24"/>
                <w:szCs w:val="15"/>
                <w:shd w:val="clear" w:color="auto" w:fill="auto"/>
                <w:vertAlign w:val="baseline"/>
                <w:lang w:val="en-US"/>
                <w14:textFill>
                  <w14:solidFill>
                    <w14:schemeClr w14:val="tx1"/>
                  </w14:solidFill>
                </w14:textFill>
              </w:rPr>
            </w:pPr>
            <w:r>
              <w:rPr>
                <w:rFonts w:hint="default"/>
                <w:b/>
                <w:bCs w:val="0"/>
                <w:color w:val="000000" w:themeColor="text1"/>
                <w:sz w:val="24"/>
                <w:szCs w:val="15"/>
                <w:shd w:val="clear" w:color="auto" w:fill="auto"/>
                <w:vertAlign w:val="baseline"/>
                <w:lang w:val="en-US"/>
                <w14:textFill>
                  <w14:solidFill>
                    <w14:schemeClr w14:val="tx1"/>
                  </w14:solidFill>
                </w14:textFill>
              </w:rPr>
              <w:t>Reg ID</w:t>
            </w:r>
          </w:p>
        </w:tc>
        <w:tc>
          <w:tcPr>
            <w:tcW w:w="3397" w:type="dxa"/>
          </w:tcPr>
          <w:p w14:paraId="7F732AED">
            <w:pPr>
              <w:spacing w:after="80" w:line="360" w:lineRule="auto"/>
              <w:jc w:val="left"/>
              <w:rPr>
                <w:rFonts w:hint="default"/>
                <w:b w:val="0"/>
                <w:bCs/>
                <w:color w:val="000000" w:themeColor="text1"/>
                <w:sz w:val="24"/>
                <w:szCs w:val="15"/>
                <w:u w:val="single"/>
                <w:shd w:val="clear" w:color="auto" w:fill="auto"/>
                <w:vertAlign w:val="baseline"/>
                <w:lang w:val="en-US"/>
                <w14:textFill>
                  <w14:solidFill>
                    <w14:schemeClr w14:val="tx1"/>
                  </w14:solidFill>
                </w14:textFill>
              </w:rPr>
            </w:pPr>
            <w:r>
              <w:rPr>
                <w:rFonts w:hint="default"/>
                <w:b w:val="0"/>
                <w:bCs/>
                <w:color w:val="000000" w:themeColor="text1"/>
                <w:sz w:val="24"/>
                <w:szCs w:val="15"/>
                <w:u w:val="single"/>
                <w:shd w:val="clear" w:color="auto" w:fill="auto"/>
                <w:vertAlign w:val="baseline"/>
                <w:lang w:val="en-US"/>
                <w14:textFill>
                  <w14:solidFill>
                    <w14:schemeClr w14:val="tx1"/>
                  </w14:solidFill>
                </w14:textFill>
              </w:rPr>
              <w:t>64493</w:t>
            </w:r>
          </w:p>
        </w:tc>
      </w:tr>
      <w:tr w14:paraId="619FC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3" w:type="dxa"/>
          </w:tcPr>
          <w:p w14:paraId="16636D7A">
            <w:pPr>
              <w:spacing w:after="80" w:line="360" w:lineRule="auto"/>
              <w:jc w:val="left"/>
              <w:rPr>
                <w:rFonts w:hint="default"/>
                <w:b/>
                <w:bCs w:val="0"/>
                <w:color w:val="000000" w:themeColor="text1"/>
                <w:sz w:val="24"/>
                <w:szCs w:val="15"/>
                <w:shd w:val="clear" w:color="auto" w:fill="auto"/>
                <w:vertAlign w:val="baseline"/>
                <w:lang w:val="en-US"/>
                <w14:textFill>
                  <w14:solidFill>
                    <w14:schemeClr w14:val="tx1"/>
                  </w14:solidFill>
                </w14:textFill>
              </w:rPr>
            </w:pPr>
            <w:r>
              <w:rPr>
                <w:rFonts w:hint="default"/>
                <w:b/>
                <w:bCs w:val="0"/>
                <w:color w:val="000000" w:themeColor="text1"/>
                <w:sz w:val="24"/>
                <w:szCs w:val="15"/>
                <w:shd w:val="clear" w:color="auto" w:fill="auto"/>
                <w:vertAlign w:val="baseline"/>
                <w:lang w:val="en-US"/>
                <w14:textFill>
                  <w14:solidFill>
                    <w14:schemeClr w14:val="tx1"/>
                  </w14:solidFill>
                </w14:textFill>
              </w:rPr>
              <w:t>Submitted to</w:t>
            </w:r>
          </w:p>
        </w:tc>
        <w:tc>
          <w:tcPr>
            <w:tcW w:w="3397" w:type="dxa"/>
          </w:tcPr>
          <w:p w14:paraId="0B900B88">
            <w:pPr>
              <w:spacing w:after="80" w:line="360" w:lineRule="auto"/>
              <w:jc w:val="left"/>
              <w:rPr>
                <w:rFonts w:hint="default"/>
                <w:b w:val="0"/>
                <w:bCs/>
                <w:color w:val="000000" w:themeColor="text1"/>
                <w:sz w:val="24"/>
                <w:szCs w:val="15"/>
                <w:u w:val="single"/>
                <w:shd w:val="clear" w:color="auto" w:fill="auto"/>
                <w:vertAlign w:val="baseline"/>
                <w:lang w:val="en-US"/>
                <w14:textFill>
                  <w14:solidFill>
                    <w14:schemeClr w14:val="tx1"/>
                  </w14:solidFill>
                </w14:textFill>
              </w:rPr>
            </w:pPr>
            <w:r>
              <w:rPr>
                <w:rFonts w:hint="default"/>
                <w:b w:val="0"/>
                <w:bCs/>
                <w:color w:val="000000" w:themeColor="text1"/>
                <w:sz w:val="24"/>
                <w:szCs w:val="15"/>
                <w:u w:val="single"/>
                <w:shd w:val="clear" w:color="auto" w:fill="auto"/>
                <w:vertAlign w:val="baseline"/>
                <w:lang w:val="en-US"/>
                <w14:textFill>
                  <w14:solidFill>
                    <w14:schemeClr w14:val="tx1"/>
                  </w14:solidFill>
                </w14:textFill>
              </w:rPr>
              <w:t>Muhammad Ahsan Naeem</w:t>
            </w:r>
          </w:p>
        </w:tc>
      </w:tr>
      <w:tr w14:paraId="31E5F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3" w:type="dxa"/>
          </w:tcPr>
          <w:p w14:paraId="74F8A7FC">
            <w:pPr>
              <w:spacing w:after="80" w:line="360" w:lineRule="auto"/>
              <w:jc w:val="left"/>
              <w:rPr>
                <w:rFonts w:hint="default"/>
                <w:b/>
                <w:bCs w:val="0"/>
                <w:color w:val="000000" w:themeColor="text1"/>
                <w:sz w:val="24"/>
                <w:szCs w:val="15"/>
                <w:shd w:val="clear" w:color="auto" w:fill="auto"/>
                <w:vertAlign w:val="baseline"/>
                <w:lang w:val="en-US"/>
                <w14:textFill>
                  <w14:solidFill>
                    <w14:schemeClr w14:val="tx1"/>
                  </w14:solidFill>
                </w14:textFill>
              </w:rPr>
            </w:pPr>
            <w:r>
              <w:rPr>
                <w:rFonts w:hint="default"/>
                <w:b/>
                <w:bCs w:val="0"/>
                <w:color w:val="000000" w:themeColor="text1"/>
                <w:sz w:val="24"/>
                <w:szCs w:val="15"/>
                <w:shd w:val="clear" w:color="auto" w:fill="auto"/>
                <w:vertAlign w:val="baseline"/>
                <w:lang w:val="en-US"/>
                <w14:textFill>
                  <w14:solidFill>
                    <w14:schemeClr w14:val="tx1"/>
                  </w14:solidFill>
                </w14:textFill>
              </w:rPr>
              <w:t>Date</w:t>
            </w:r>
          </w:p>
        </w:tc>
        <w:tc>
          <w:tcPr>
            <w:tcW w:w="3397" w:type="dxa"/>
          </w:tcPr>
          <w:p w14:paraId="5FA0324D">
            <w:pPr>
              <w:spacing w:after="80" w:line="360" w:lineRule="auto"/>
              <w:jc w:val="left"/>
              <w:rPr>
                <w:rFonts w:hint="default"/>
                <w:b w:val="0"/>
                <w:bCs/>
                <w:color w:val="000000" w:themeColor="text1"/>
                <w:sz w:val="24"/>
                <w:szCs w:val="15"/>
                <w:u w:val="single"/>
                <w:shd w:val="clear" w:color="auto" w:fill="auto"/>
                <w:vertAlign w:val="baseline"/>
                <w:lang w:val="en-US"/>
                <w14:textFill>
                  <w14:solidFill>
                    <w14:schemeClr w14:val="tx1"/>
                  </w14:solidFill>
                </w14:textFill>
              </w:rPr>
            </w:pPr>
            <w:r>
              <w:rPr>
                <w:rFonts w:hint="default"/>
                <w:b w:val="0"/>
                <w:bCs/>
                <w:color w:val="000000" w:themeColor="text1"/>
                <w:sz w:val="24"/>
                <w:szCs w:val="15"/>
                <w:u w:val="single"/>
                <w:shd w:val="clear" w:color="auto" w:fill="auto"/>
                <w:vertAlign w:val="baseline"/>
                <w:lang w:val="en-US"/>
                <w14:textFill>
                  <w14:solidFill>
                    <w14:schemeClr w14:val="tx1"/>
                  </w14:solidFill>
                </w14:textFill>
              </w:rPr>
              <w:t>June 24, 2026</w:t>
            </w:r>
          </w:p>
        </w:tc>
      </w:tr>
    </w:tbl>
    <w:p w14:paraId="1AD5A001">
      <w:pPr>
        <w:rPr>
          <w:rFonts w:ascii="Arial" w:hAnsi="Arial"/>
          <w:b/>
          <w:color w:val="000000" w:themeColor="text1"/>
          <w:sz w:val="30"/>
          <w14:textFill>
            <w14:solidFill>
              <w14:schemeClr w14:val="tx1"/>
            </w14:solidFill>
          </w14:textFill>
        </w:rPr>
      </w:pPr>
    </w:p>
    <w:p w14:paraId="57EA773F">
      <w:pPr>
        <w:rPr>
          <w:rFonts w:ascii="Arial" w:hAnsi="Arial"/>
          <w:b/>
          <w:color w:val="000000" w:themeColor="text1"/>
          <w:sz w:val="30"/>
          <w14:textFill>
            <w14:solidFill>
              <w14:schemeClr w14:val="tx1"/>
            </w14:solidFill>
          </w14:textFill>
        </w:rPr>
      </w:pPr>
    </w:p>
    <w:p w14:paraId="07433946">
      <w:pPr>
        <w:pStyle w:val="2"/>
        <w:keepNext/>
        <w:spacing w:before="400" w:after="160" w:line="360" w:lineRule="auto"/>
        <w:jc w:val="both"/>
        <w:rPr>
          <w:rFonts w:ascii="Arial" w:hAnsi="Arial"/>
          <w:b/>
          <w:color w:val="000000" w:themeColor="text1"/>
          <w:sz w:val="30"/>
          <w14:textFill>
            <w14:solidFill>
              <w14:schemeClr w14:val="tx1"/>
            </w14:solidFill>
          </w14:textFill>
        </w:rPr>
      </w:pPr>
    </w:p>
    <w:p w14:paraId="679C3199"/>
    <w:p w14:paraId="1DA9D008">
      <w:pPr>
        <w:pStyle w:val="2"/>
        <w:keepNext/>
        <w:spacing w:before="400" w:after="160" w:line="360" w:lineRule="auto"/>
        <w:jc w:val="both"/>
        <w:rPr>
          <w:rFonts w:ascii="Arial" w:hAnsi="Arial"/>
          <w:b/>
          <w:color w:val="000000" w:themeColor="text1"/>
          <w:sz w:val="30"/>
          <w14:textFill>
            <w14:solidFill>
              <w14:schemeClr w14:val="tx1"/>
            </w14:solidFill>
          </w14:textFill>
        </w:rPr>
      </w:pPr>
    </w:p>
    <w:p w14:paraId="6565323B">
      <w:pPr>
        <w:rPr>
          <w:rFonts w:ascii="Arial" w:hAnsi="Arial"/>
          <w:b/>
          <w:color w:val="000000" w:themeColor="text1"/>
          <w:sz w:val="30"/>
          <w14:textFill>
            <w14:solidFill>
              <w14:schemeClr w14:val="tx1"/>
            </w14:solidFill>
          </w14:textFill>
        </w:rPr>
      </w:pPr>
    </w:p>
    <w:p w14:paraId="45CA157B">
      <w:pPr>
        <w:rPr>
          <w:rFonts w:ascii="Arial" w:hAnsi="Arial"/>
          <w:b/>
          <w:color w:val="000000" w:themeColor="text1"/>
          <w:sz w:val="30"/>
          <w14:textFill>
            <w14:solidFill>
              <w14:schemeClr w14:val="tx1"/>
            </w14:solidFill>
          </w14:textFill>
        </w:rPr>
      </w:pPr>
    </w:p>
    <w:p w14:paraId="34467341">
      <w:pPr>
        <w:rPr>
          <w:rFonts w:ascii="Arial" w:hAnsi="Arial"/>
          <w:b/>
          <w:color w:val="000000" w:themeColor="text1"/>
          <w:sz w:val="30"/>
          <w14:textFill>
            <w14:solidFill>
              <w14:schemeClr w14:val="tx1"/>
            </w14:solidFill>
          </w14:textFill>
        </w:rPr>
      </w:pPr>
    </w:p>
    <w:p w14:paraId="6528689F">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INTRODUCTION</w:t>
      </w:r>
    </w:p>
    <w:p w14:paraId="57A32EF6">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Problem Statement</w:t>
      </w:r>
    </w:p>
    <w:p w14:paraId="2526D3B0">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Traditional perimeter-based security models—often referred to as 'castle-and-moat' configurations—are completely insufficient to safeguard modern, multi-layered cloud environments. Once a malicious actor or a compromised device successfully penetrates the network border, there are typically few internal barriers or secondary identity evaluations to inhibit lateral movement, unauthorized programmatic orchestration, or data exfiltration. Due to the rapid evolution of sophisticated phishing vectors, credential-stuffing methodologies, and infrastructure configuration drifts, assuming that an active session or device is inherently trustworthy simply because it resides inside the private network boundary represents a catastrophic systemic vulnerability.</w:t>
      </w:r>
    </w:p>
    <w:p w14:paraId="3DE44368">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Project Objectives</w:t>
      </w:r>
    </w:p>
    <w:p w14:paraId="53224D86">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To eliminate ambient trust, this engineering initiative architected, deployed, and validated a highly resilient Zero Trust Security Platform on AWS infrastructure modeled directly on the core pillars defined in NIST SP 800-207. The project achieves the following key milestones:</w:t>
      </w:r>
    </w:p>
    <w:p w14:paraId="6499AB03">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Absolute Identity Verification: </w:t>
      </w:r>
      <w:r>
        <w:rPr>
          <w:rFonts w:ascii="Arial" w:hAnsi="Arial"/>
          <w:color w:val="000000" w:themeColor="text1"/>
          <w:sz w:val="21"/>
          <w14:textFill>
            <w14:solidFill>
              <w14:schemeClr w14:val="tx1"/>
            </w14:solidFill>
          </w14:textFill>
        </w:rPr>
        <w:t>Eradicate ambient, long-lived trust by enforcing multi-stage cryptographic and tokenized multi-factor validation checks on every operational session context.</w:t>
      </w:r>
    </w:p>
    <w:p w14:paraId="7931888D">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Network Micro-Segmentation: </w:t>
      </w:r>
      <w:r>
        <w:rPr>
          <w:rFonts w:ascii="Arial" w:hAnsi="Arial"/>
          <w:color w:val="000000" w:themeColor="text1"/>
          <w:sz w:val="21"/>
          <w14:textFill>
            <w14:solidFill>
              <w14:schemeClr w14:val="tx1"/>
            </w14:solidFill>
          </w14:textFill>
        </w:rPr>
        <w:t>Isolate computing rings within a multi-tiered VPC architecture using strict zero-trust security groups to eliminate open lateral transport lines.</w:t>
      </w:r>
    </w:p>
    <w:p w14:paraId="4F4DF572">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Continuous Posture Auditing: </w:t>
      </w:r>
      <w:r>
        <w:rPr>
          <w:rFonts w:ascii="Arial" w:hAnsi="Arial"/>
          <w:color w:val="000000" w:themeColor="text1"/>
          <w:sz w:val="21"/>
          <w14:textFill>
            <w14:solidFill>
              <w14:schemeClr w14:val="tx1"/>
            </w14:solidFill>
          </w14:textFill>
        </w:rPr>
        <w:t>Implement continuous background configuration observation, cloud service tracking, and automated API-level threat monitoring to guarantee real-time system state transparency.</w:t>
      </w:r>
    </w:p>
    <w:p w14:paraId="4E2A6A30">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Proactive Lifecycle Constraints: </w:t>
      </w:r>
      <w:r>
        <w:rPr>
          <w:rFonts w:ascii="Arial" w:hAnsi="Arial"/>
          <w:color w:val="000000" w:themeColor="text1"/>
          <w:sz w:val="21"/>
          <w14:textFill>
            <w14:solidFill>
              <w14:schemeClr w14:val="tx1"/>
            </w14:solidFill>
          </w14:textFill>
        </w:rPr>
        <w:t>Enforce granular session expiration counters and programmatic lockouts to drastically mitigate token hijacking and automated brute-force attacks.</w:t>
      </w:r>
    </w:p>
    <w:p w14:paraId="08F063A2">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SYSTEM DESIGN &amp; ARCHITECTURE</w:t>
      </w:r>
    </w:p>
    <w:p w14:paraId="7521B154">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platform relies on a strict engineering separation between the Control Plane (identity validation, metadata orchestration, and operational policy evaluation) and the Data Plane (actual packet transfer, localized script execution, and user database state queries). Communication paths do not function unless an explicit, contextual authorization token is produced and verified.</w:t>
      </w:r>
    </w:p>
    <w:p w14:paraId="7E274240">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Three-Tier Network Isolation Matrix</w:t>
      </w:r>
    </w:p>
    <w:p w14:paraId="1F106023">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systemic components are distributed across a tailored network ring, systematically isolating the presentation layer from the database processing core. Below is an overview of the micro-segmented topology:</w:t>
      </w:r>
    </w:p>
    <w:tbl>
      <w:tblPr>
        <w:tblStyle w:val="12"/>
        <w:tblW w:w="0" w:type="auto"/>
        <w:jc w:val="center"/>
        <w:tblLayout w:type="fixed"/>
        <w:tblCellMar>
          <w:top w:w="0" w:type="dxa"/>
          <w:left w:w="108" w:type="dxa"/>
          <w:bottom w:w="0" w:type="dxa"/>
          <w:right w:w="108" w:type="dxa"/>
        </w:tblCellMar>
      </w:tblPr>
      <w:tblGrid>
        <w:gridCol w:w="9360"/>
      </w:tblGrid>
      <w:tr w14:paraId="437A5B86">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8F9FA"/>
            <w:tcMar>
              <w:top w:w="120" w:type="dxa"/>
              <w:left w:w="180" w:type="dxa"/>
              <w:bottom w:w="120" w:type="dxa"/>
              <w:right w:w="180" w:type="dxa"/>
            </w:tcMar>
          </w:tcPr>
          <w:p w14:paraId="0E06FC1A">
            <w:pPr>
              <w:spacing w:before="0"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713730" cy="8631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b="10093"/>
                          <a:stretch>
                            <a:fillRect/>
                          </a:stretch>
                        </pic:blipFill>
                        <pic:spPr>
                          <a:xfrm>
                            <a:off x="0" y="0"/>
                            <a:ext cx="5713730" cy="8631555"/>
                          </a:xfrm>
                          <a:prstGeom prst="rect">
                            <a:avLst/>
                          </a:prstGeom>
                          <a:noFill/>
                          <a:ln>
                            <a:noFill/>
                          </a:ln>
                        </pic:spPr>
                      </pic:pic>
                    </a:graphicData>
                  </a:graphic>
                </wp:inline>
              </w:drawing>
            </w:r>
          </w:p>
        </w:tc>
      </w:tr>
    </w:tbl>
    <w:p w14:paraId="1315CCC5">
      <w:pPr>
        <w:spacing w:before="0" w:after="160" w:line="360" w:lineRule="auto"/>
        <w:jc w:val="both"/>
        <w:rPr>
          <w:color w:val="000000" w:themeColor="text1"/>
          <w14:textFill>
            <w14:solidFill>
              <w14:schemeClr w14:val="tx1"/>
            </w14:solidFill>
          </w14:textFill>
        </w:rPr>
      </w:pPr>
    </w:p>
    <w:p w14:paraId="79558C15">
      <w:pPr>
        <w:pStyle w:val="4"/>
        <w:keepNext/>
        <w:spacing w:before="200" w:after="80" w:line="360" w:lineRule="auto"/>
        <w:jc w:val="both"/>
        <w:rPr>
          <w:color w:val="000000" w:themeColor="text1"/>
          <w14:textFill>
            <w14:solidFill>
              <w14:schemeClr w14:val="tx1"/>
            </w14:solidFill>
          </w14:textFill>
        </w:rPr>
      </w:pPr>
      <w:r>
        <w:rPr>
          <w:rFonts w:ascii="Arial" w:hAnsi="Arial"/>
          <w:b/>
          <w:i/>
          <w:color w:val="000000" w:themeColor="text1"/>
          <w:sz w:val="22"/>
          <w14:textFill>
            <w14:solidFill>
              <w14:schemeClr w14:val="tx1"/>
            </w14:solidFill>
          </w14:textFill>
        </w:rPr>
        <w:t>Architecture Components &amp; Core Logic</w:t>
      </w:r>
    </w:p>
    <w:p w14:paraId="47A66F4F">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Network Segmentation Structure: </w:t>
      </w:r>
      <w:r>
        <w:rPr>
          <w:rFonts w:ascii="Arial" w:hAnsi="Arial"/>
          <w:color w:val="000000" w:themeColor="text1"/>
          <w:sz w:val="21"/>
          <w14:textFill>
            <w14:solidFill>
              <w14:schemeClr w14:val="tx1"/>
            </w14:solidFill>
          </w14:textFill>
        </w:rPr>
        <w:t>The logical blueprint is grounded inside a dedicated 10.0.0.0/16 VPC block. The network topology relies on isolated subnet rings allocated systematically across distinct physical availability zones to guard against failover constraints while preventing unmapped cross-subnet talking paths.</w:t>
      </w:r>
    </w:p>
    <w:p w14:paraId="06E343A2">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Security Group Dependency Chains: </w:t>
      </w:r>
      <w:r>
        <w:rPr>
          <w:rFonts w:ascii="Arial" w:hAnsi="Arial"/>
          <w:color w:val="000000" w:themeColor="text1"/>
          <w:sz w:val="21"/>
          <w14:textFill>
            <w14:solidFill>
              <w14:schemeClr w14:val="tx1"/>
            </w14:solidFill>
          </w14:textFill>
        </w:rPr>
        <w:t>Firewall boundaries are implemented directly at the individual instance elastic network interface (ENI) level. While the public web container allows inbound traffic from 0.0.0.0/0, the private application layer rejects all requests except those originating explicitly from the Web Server's distinct Security Group security identifier. The database tier applies an identical filter, listening only to the app layer.</w:t>
      </w:r>
    </w:p>
    <w:p w14:paraId="02C169C7">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Identity-Aware Control Flow: </w:t>
      </w:r>
      <w:r>
        <w:rPr>
          <w:rFonts w:ascii="Arial" w:hAnsi="Arial"/>
          <w:color w:val="000000" w:themeColor="text1"/>
          <w:sz w:val="21"/>
          <w14:textFill>
            <w14:solidFill>
              <w14:schemeClr w14:val="tx1"/>
            </w14:solidFill>
          </w14:textFill>
        </w:rPr>
        <w:t>Before any background cloud resource state metrics or active telemetry indicators are rendered on the live UI, the application triggers a sequential, two-step identity challenge. Successful password verification moves the user state to an unauthenticated step-2 container, requiring an external TOTP cryptographic code before opening any backend querying pipes.</w:t>
      </w:r>
    </w:p>
    <w:p w14:paraId="2FE74C7C">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SECTION 1: ACCOUNT SECURITY HARDENING</w:t>
      </w:r>
    </w:p>
    <w:p w14:paraId="53395B7F">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1.1 Root Account MFA Protection</w:t>
      </w:r>
    </w:p>
    <w:p w14:paraId="6AB0C958">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foundational AWS root account was instantly secured using Multi-Factor Authentication (MFA) via a virtual Time-based One-Time Password (TOTP) device. This protects root access control elements even in the event of primary credential compromise.</w:t>
      </w:r>
    </w:p>
    <w:p w14:paraId="3821EB86">
      <w:pPr>
        <w:spacing w:before="0" w:after="160" w:line="360" w:lineRule="auto"/>
        <w:jc w:val="both"/>
        <w:rPr>
          <w:color w:val="000000" w:themeColor="text1"/>
          <w14:textFill>
            <w14:solidFill>
              <w14:schemeClr w14:val="tx1"/>
            </w14:solidFill>
          </w14:textFill>
        </w:rPr>
      </w:pPr>
    </w:p>
    <w:p w14:paraId="13BB4BDC">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1.2 IAM Admin User Creation</w:t>
      </w:r>
    </w:p>
    <w:p w14:paraId="2A402476">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To avoid using administrative credentials for baseline operations, a dedicated identity access management (IAM) administrator user profile was successfully provisioned. The root profile is completely restricted and locked out from day-to-day configuration tasks.</w:t>
      </w:r>
    </w:p>
    <w:tbl>
      <w:tblPr>
        <w:tblStyle w:val="12"/>
        <w:tblW w:w="0" w:type="auto"/>
        <w:jc w:val="center"/>
        <w:tblLayout w:type="fixed"/>
        <w:tblCellMar>
          <w:top w:w="0" w:type="dxa"/>
          <w:left w:w="108" w:type="dxa"/>
          <w:bottom w:w="0" w:type="dxa"/>
          <w:right w:w="108" w:type="dxa"/>
        </w:tblCellMar>
      </w:tblPr>
      <w:tblGrid>
        <w:gridCol w:w="9360"/>
      </w:tblGrid>
      <w:tr w14:paraId="29653EF7">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46CEC6CF">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SCREENSHOT</w:t>
            </w:r>
          </w:p>
          <w:p w14:paraId="4E26E24E">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2" name="Picture 2" descr="Screenshot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666)"/>
                          <pic:cNvPicPr>
                            <a:picLocks noChangeAspect="1"/>
                          </pic:cNvPicPr>
                        </pic:nvPicPr>
                        <pic:blipFill>
                          <a:blip r:embed="rId9"/>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1.2: IAM Users List Administrative Summary</w:t>
            </w:r>
          </w:p>
        </w:tc>
      </w:tr>
    </w:tbl>
    <w:p w14:paraId="23AB0332">
      <w:pPr>
        <w:spacing w:before="0" w:after="160" w:line="360" w:lineRule="auto"/>
        <w:jc w:val="both"/>
        <w:rPr>
          <w:color w:val="000000" w:themeColor="text1"/>
          <w14:textFill>
            <w14:solidFill>
              <w14:schemeClr w14:val="tx1"/>
            </w14:solidFill>
          </w14:textFill>
        </w:rPr>
      </w:pPr>
    </w:p>
    <w:p w14:paraId="33F5588E">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1.3 MFA Enforcement Policy</w:t>
      </w:r>
    </w:p>
    <w:p w14:paraId="3F2D11D2">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A robust, custom IAM structural policy mandates multi-factor validation across all identities inside the tenant. This policy utilizes an explicit global deny logic, instantly halting all programmatic or interactive actions unless a verified, active MFA cryptographic session token is matched.</w:t>
      </w:r>
    </w:p>
    <w:tbl>
      <w:tblPr>
        <w:tblStyle w:val="12"/>
        <w:tblW w:w="0" w:type="auto"/>
        <w:jc w:val="center"/>
        <w:tblLayout w:type="fixed"/>
        <w:tblCellMar>
          <w:top w:w="0" w:type="dxa"/>
          <w:left w:w="108" w:type="dxa"/>
          <w:bottom w:w="0" w:type="dxa"/>
          <w:right w:w="108" w:type="dxa"/>
        </w:tblCellMar>
      </w:tblPr>
      <w:tblGrid>
        <w:gridCol w:w="9360"/>
      </w:tblGrid>
      <w:tr w14:paraId="6ACA446E">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101DA625">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SCREENSHOT</w:t>
            </w:r>
          </w:p>
          <w:p w14:paraId="76B20752">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3" name="Picture 3" descr="Screenshot (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667)"/>
                          <pic:cNvPicPr>
                            <a:picLocks noChangeAspect="1"/>
                          </pic:cNvPicPr>
                        </pic:nvPicPr>
                        <pic:blipFill>
                          <a:blip r:embed="rId10"/>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1.3: MFA Policy JSON Configuration Script</w:t>
            </w:r>
          </w:p>
        </w:tc>
      </w:tr>
    </w:tbl>
    <w:p w14:paraId="1196717E">
      <w:pPr>
        <w:spacing w:before="0" w:after="160" w:line="360" w:lineRule="auto"/>
        <w:jc w:val="both"/>
        <w:rPr>
          <w:color w:val="000000" w:themeColor="text1"/>
          <w14:textFill>
            <w14:solidFill>
              <w14:schemeClr w14:val="tx1"/>
            </w14:solidFill>
          </w14:textFill>
        </w:rPr>
      </w:pPr>
    </w:p>
    <w:p w14:paraId="2251976B">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Policy Configuration Highlights:</w:t>
      </w:r>
    </w:p>
    <w:p w14:paraId="23179D8A">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Interactive Console Guarding: </w:t>
      </w:r>
      <w:r>
        <w:rPr>
          <w:rFonts w:ascii="Arial" w:hAnsi="Arial"/>
          <w:color w:val="000000" w:themeColor="text1"/>
          <w:sz w:val="21"/>
          <w14:textFill>
            <w14:solidFill>
              <w14:schemeClr w14:val="tx1"/>
            </w14:solidFill>
          </w14:textFill>
        </w:rPr>
        <w:t>Forces multi-factor token verification across all console management points.</w:t>
      </w:r>
    </w:p>
    <w:p w14:paraId="7AF0B0B3">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Restricted Self-Configuration: </w:t>
      </w:r>
      <w:r>
        <w:rPr>
          <w:rFonts w:ascii="Arial" w:hAnsi="Arial"/>
          <w:color w:val="000000" w:themeColor="text1"/>
          <w:sz w:val="21"/>
          <w14:textFill>
            <w14:solidFill>
              <w14:schemeClr w14:val="tx1"/>
            </w14:solidFill>
          </w14:textFill>
        </w:rPr>
        <w:t>Allows accounts strictly to adjust and initialize their own software/hardware keys while blocking generic data visibility.</w:t>
      </w:r>
    </w:p>
    <w:p w14:paraId="1160DAEE">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Ambient Blockade: </w:t>
      </w:r>
      <w:r>
        <w:rPr>
          <w:rFonts w:ascii="Arial" w:hAnsi="Arial"/>
          <w:color w:val="000000" w:themeColor="text1"/>
          <w:sz w:val="21"/>
          <w14:textFill>
            <w14:solidFill>
              <w14:schemeClr w14:val="tx1"/>
            </w14:solidFill>
          </w14:textFill>
        </w:rPr>
        <w:t>Denies all ambient API queries unless a valid 'aws:MultiFactorAuthPresent' parameter evaluates to True.</w:t>
      </w:r>
    </w:p>
    <w:tbl>
      <w:tblPr>
        <w:tblStyle w:val="12"/>
        <w:tblW w:w="0" w:type="auto"/>
        <w:jc w:val="center"/>
        <w:tblLayout w:type="fixed"/>
        <w:tblCellMar>
          <w:top w:w="0" w:type="dxa"/>
          <w:left w:w="108" w:type="dxa"/>
          <w:bottom w:w="0" w:type="dxa"/>
          <w:right w:w="108" w:type="dxa"/>
        </w:tblCellMar>
      </w:tblPr>
      <w:tblGrid>
        <w:gridCol w:w="9360"/>
      </w:tblGrid>
      <w:tr w14:paraId="740EF5BF">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8F9FA"/>
            <w:tcMar>
              <w:top w:w="120" w:type="dxa"/>
              <w:left w:w="180" w:type="dxa"/>
              <w:bottom w:w="120" w:type="dxa"/>
              <w:right w:w="180" w:type="dxa"/>
            </w:tcMar>
          </w:tcPr>
          <w:p w14:paraId="5BE399FA">
            <w:pPr>
              <w:spacing w:before="0" w:after="0" w:line="360" w:lineRule="auto"/>
              <w:jc w:val="both"/>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"Version": "2012-10-17",</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"Statement":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"Sid": "AllowManageOwnMFA",</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"Effect": "Allow",</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"Action":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"iam:CreateVirtualMFADevice",</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"iam:EnableMFADevice",</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"iam:ListMFADevices"</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"Resource": "arn:aws:iam::*:user/${aws:username}"</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"Sid": "DenyAllExceptIfWithMFA",</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"Effect": "Deny",</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"NotAction":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"iam:CreateVirtualMFADevice",</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"iam:EnableMFADevice"</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"Resource":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"Condition":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"BoolIfExists": {"aws:MultiFactorAuthPresent": "false"}</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 xml:space="preserve">    ]</w:t>
            </w:r>
            <w:r>
              <w:rPr>
                <w:rFonts w:ascii="Consolas" w:hAnsi="Consolas"/>
                <w:color w:val="000000" w:themeColor="text1"/>
                <w:sz w:val="18"/>
                <w14:textFill>
                  <w14:solidFill>
                    <w14:schemeClr w14:val="tx1"/>
                  </w14:solidFill>
                </w14:textFill>
              </w:rPr>
              <w:br w:type="textWrapping"/>
            </w:r>
            <w:r>
              <w:rPr>
                <w:rFonts w:ascii="Consolas" w:hAnsi="Consolas"/>
                <w:color w:val="000000" w:themeColor="text1"/>
                <w:sz w:val="18"/>
                <w14:textFill>
                  <w14:solidFill>
                    <w14:schemeClr w14:val="tx1"/>
                  </w14:solidFill>
                </w14:textFill>
              </w:rPr>
              <w:t>}</w:t>
            </w:r>
          </w:p>
        </w:tc>
      </w:tr>
    </w:tbl>
    <w:p w14:paraId="7CA405E9">
      <w:pPr>
        <w:spacing w:before="0" w:after="160" w:line="360" w:lineRule="auto"/>
        <w:jc w:val="both"/>
        <w:rPr>
          <w:color w:val="000000" w:themeColor="text1"/>
          <w14:textFill>
            <w14:solidFill>
              <w14:schemeClr w14:val="tx1"/>
            </w14:solidFill>
          </w14:textFill>
        </w:rPr>
      </w:pPr>
    </w:p>
    <w:p w14:paraId="0B65A7D9">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SECTION 2: NETWORK ARCHITECTURE</w:t>
      </w:r>
    </w:p>
    <w:p w14:paraId="59C8FEBA">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2.1 Virtual Private Cloud (VPC)</w:t>
      </w:r>
    </w:p>
    <w:p w14:paraId="50B77074">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environment maps a micro-segmented network matrix to prevent horizontal threat movement across processing boundaries.</w:t>
      </w:r>
    </w:p>
    <w:p w14:paraId="5677F12D">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VPC Base Allocation Block: </w:t>
      </w:r>
      <w:r>
        <w:rPr>
          <w:rFonts w:ascii="Arial" w:hAnsi="Arial"/>
          <w:color w:val="000000" w:themeColor="text1"/>
          <w:sz w:val="21"/>
          <w14:textFill>
            <w14:solidFill>
              <w14:schemeClr w14:val="tx1"/>
            </w14:solidFill>
          </w14:textFill>
        </w:rPr>
        <w:t>10.0.0.0/16 CIDR definition.</w:t>
      </w:r>
    </w:p>
    <w:p w14:paraId="06AF3AAB">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Public Gateway Subnet: </w:t>
      </w:r>
      <w:r>
        <w:rPr>
          <w:rFonts w:ascii="Arial" w:hAnsi="Arial"/>
          <w:color w:val="000000" w:themeColor="text1"/>
          <w:sz w:val="21"/>
          <w14:textFill>
            <w14:solidFill>
              <w14:schemeClr w14:val="tx1"/>
            </w14:solidFill>
          </w14:textFill>
        </w:rPr>
        <w:t>10.0.0.0/20 allocated explicitly for public-facing reverse web components.</w:t>
      </w:r>
    </w:p>
    <w:p w14:paraId="33EA3ACE">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Private Isolation Rings: </w:t>
      </w:r>
      <w:r>
        <w:rPr>
          <w:rFonts w:ascii="Arial" w:hAnsi="Arial"/>
          <w:color w:val="000000" w:themeColor="text1"/>
          <w:sz w:val="21"/>
          <w14:textFill>
            <w14:solidFill>
              <w14:schemeClr w14:val="tx1"/>
            </w14:solidFill>
          </w14:textFill>
        </w:rPr>
        <w:t>10.0.16.0/20 and 10.0.32.0/20 networks completely separated from internet gateways.</w:t>
      </w:r>
    </w:p>
    <w:tbl>
      <w:tblPr>
        <w:tblStyle w:val="12"/>
        <w:tblW w:w="0" w:type="auto"/>
        <w:jc w:val="center"/>
        <w:tblLayout w:type="fixed"/>
        <w:tblCellMar>
          <w:top w:w="0" w:type="dxa"/>
          <w:left w:w="108" w:type="dxa"/>
          <w:bottom w:w="0" w:type="dxa"/>
          <w:right w:w="108" w:type="dxa"/>
        </w:tblCellMar>
      </w:tblPr>
      <w:tblGrid>
        <w:gridCol w:w="9360"/>
      </w:tblGrid>
      <w:tr w14:paraId="63D9F3E9">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0D0A4EB6">
            <w:pPr>
              <w:spacing w:before="280" w:after="280" w:line="360" w:lineRule="auto"/>
              <w:jc w:val="both"/>
              <w:rPr>
                <w:rFonts w:hint="default" w:ascii="Arial" w:hAnsi="Arial"/>
                <w:i/>
                <w:color w:val="000000" w:themeColor="text1"/>
                <w:sz w:val="19"/>
                <w:lang w:val="en-US"/>
                <w14:textFill>
                  <w14:solidFill>
                    <w14:schemeClr w14:val="tx1"/>
                  </w14:solidFill>
                </w14:textFill>
              </w:rPr>
            </w:pPr>
            <w:r>
              <w:rPr>
                <w:rFonts w:ascii="Arial" w:hAnsi="Arial"/>
                <w:i/>
                <w:color w:val="000000" w:themeColor="text1"/>
                <w:sz w:val="19"/>
                <w14:textFill>
                  <w14:solidFill>
                    <w14:schemeClr w14:val="tx1"/>
                  </w14:solidFill>
                </w14:textFill>
              </w:rPr>
              <w:t xml:space="preserve">SCREENSHOT </w:t>
            </w:r>
          </w:p>
          <w:p w14:paraId="02F3B27F">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4" name="Picture 4" descr="Screenshot (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675)"/>
                          <pic:cNvPicPr>
                            <a:picLocks noChangeAspect="1"/>
                          </pic:cNvPicPr>
                        </pic:nvPicPr>
                        <pic:blipFill>
                          <a:blip r:embed="rId11"/>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2.1: VPC Dashboard and Visual Structural Map</w:t>
            </w:r>
          </w:p>
        </w:tc>
      </w:tr>
    </w:tbl>
    <w:p w14:paraId="23D33771">
      <w:pPr>
        <w:spacing w:before="0" w:after="160" w:line="360" w:lineRule="auto"/>
        <w:jc w:val="both"/>
        <w:rPr>
          <w:color w:val="000000" w:themeColor="text1"/>
          <w14:textFill>
            <w14:solidFill>
              <w14:schemeClr w14:val="tx1"/>
            </w14:solidFill>
          </w14:textFill>
        </w:rPr>
      </w:pPr>
    </w:p>
    <w:p w14:paraId="3CD99930">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2.2 Subnet Configuration</w:t>
      </w:r>
    </w:p>
    <w:p w14:paraId="228397BC">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Routing metrics are carefully isolated; internal route tables do not contain any destination targets pointed toward an Internet Gateway.</w:t>
      </w:r>
    </w:p>
    <w:tbl>
      <w:tblPr>
        <w:tblStyle w:val="12"/>
        <w:tblW w:w="0" w:type="auto"/>
        <w:jc w:val="center"/>
        <w:tblLayout w:type="fixed"/>
        <w:tblCellMar>
          <w:top w:w="0" w:type="dxa"/>
          <w:left w:w="108" w:type="dxa"/>
          <w:bottom w:w="0" w:type="dxa"/>
          <w:right w:w="108" w:type="dxa"/>
        </w:tblCellMar>
      </w:tblPr>
      <w:tblGrid>
        <w:gridCol w:w="9360"/>
      </w:tblGrid>
      <w:tr w14:paraId="7F0C399F">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0F507DD9">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SCREENSHOT</w:t>
            </w:r>
          </w:p>
          <w:p w14:paraId="74B9E2BF">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5" name="Picture 5" descr="Screenshot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678)"/>
                          <pic:cNvPicPr>
                            <a:picLocks noChangeAspect="1"/>
                          </pic:cNvPicPr>
                        </pic:nvPicPr>
                        <pic:blipFill>
                          <a:blip r:embed="rId12"/>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2.2: Subnets List and Explicit Routing Table Bindings</w:t>
            </w:r>
          </w:p>
        </w:tc>
      </w:tr>
    </w:tbl>
    <w:p w14:paraId="141A19D8">
      <w:pPr>
        <w:spacing w:before="0" w:after="160" w:line="360" w:lineRule="auto"/>
        <w:jc w:val="both"/>
        <w:rPr>
          <w:color w:val="000000" w:themeColor="text1"/>
          <w14:textFill>
            <w14:solidFill>
              <w14:schemeClr w14:val="tx1"/>
            </w14:solidFill>
          </w14:textFill>
        </w:rPr>
      </w:pPr>
    </w:p>
    <w:p w14:paraId="52E88120">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2.3 Security Groups (Default Deny)</w:t>
      </w:r>
    </w:p>
    <w:p w14:paraId="782BF5C6">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Security Group firewalls enforce explicit white-listing rules, implementing an unwavering Zero Trust posture across individual instances.</w:t>
      </w:r>
    </w:p>
    <w:tbl>
      <w:tblPr>
        <w:tblStyle w:val="12"/>
        <w:tblW w:w="0" w:type="auto"/>
        <w:jc w:val="center"/>
        <w:tblLayout w:type="fixed"/>
        <w:tblCellMar>
          <w:top w:w="0" w:type="dxa"/>
          <w:left w:w="108" w:type="dxa"/>
          <w:bottom w:w="0" w:type="dxa"/>
          <w:right w:w="108" w:type="dxa"/>
        </w:tblCellMar>
      </w:tblPr>
      <w:tblGrid>
        <w:gridCol w:w="9360"/>
      </w:tblGrid>
      <w:tr w14:paraId="1E0F9A80">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48F87B05">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 xml:space="preserve">SCREENSHOT </w:t>
            </w:r>
          </w:p>
          <w:p w14:paraId="2C8179BC">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6" name="Picture 6" descr="Screenshot (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682)"/>
                          <pic:cNvPicPr>
                            <a:picLocks noChangeAspect="1"/>
                          </pic:cNvPicPr>
                        </pic:nvPicPr>
                        <pic:blipFill>
                          <a:blip r:embed="rId13"/>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2.3: Security Groups Rules and Cross-Group Ingress Bindings</w:t>
            </w:r>
          </w:p>
        </w:tc>
      </w:tr>
    </w:tbl>
    <w:p w14:paraId="7ED0667C">
      <w:pPr>
        <w:spacing w:before="0" w:after="160" w:line="360" w:lineRule="auto"/>
        <w:jc w:val="both"/>
        <w:rPr>
          <w:color w:val="000000" w:themeColor="text1"/>
          <w14:textFill>
            <w14:solidFill>
              <w14:schemeClr w14:val="tx1"/>
            </w14:solidFill>
          </w14:textFill>
        </w:rPr>
      </w:pPr>
    </w:p>
    <w:p w14:paraId="33C80769">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Traffic Traversal Ground Rules:</w:t>
      </w:r>
    </w:p>
    <w:p w14:paraId="25265777">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Web Ingress Parameter: </w:t>
      </w:r>
      <w:r>
        <w:rPr>
          <w:rFonts w:ascii="Arial" w:hAnsi="Arial"/>
          <w:color w:val="000000" w:themeColor="text1"/>
          <w:sz w:val="21"/>
          <w14:textFill>
            <w14:solidFill>
              <w14:schemeClr w14:val="tx1"/>
            </w14:solidFill>
          </w14:textFill>
        </w:rPr>
        <w:t>Accepts TCP Port 80 and 443 packets exclusively from global addresses (0.0.0.0/0).</w:t>
      </w:r>
    </w:p>
    <w:p w14:paraId="01BFE2B7">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App Tier Layering: </w:t>
      </w:r>
      <w:r>
        <w:rPr>
          <w:rFonts w:ascii="Arial" w:hAnsi="Arial"/>
          <w:color w:val="000000" w:themeColor="text1"/>
          <w:sz w:val="21"/>
          <w14:textFill>
            <w14:solidFill>
              <w14:schemeClr w14:val="tx1"/>
            </w14:solidFill>
          </w14:textFill>
        </w:rPr>
        <w:t>Permits inbound connections solely from the unique Web Server Security Group identifier.</w:t>
      </w:r>
    </w:p>
    <w:p w14:paraId="776DBE9D">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Database Protection Ring: </w:t>
      </w:r>
      <w:r>
        <w:rPr>
          <w:rFonts w:ascii="Arial" w:hAnsi="Arial"/>
          <w:color w:val="000000" w:themeColor="text1"/>
          <w:sz w:val="21"/>
          <w14:textFill>
            <w14:solidFill>
              <w14:schemeClr w14:val="tx1"/>
            </w14:solidFill>
          </w14:textFill>
        </w:rPr>
        <w:t>Rejects all traffic unless it specifically originates from the App Tier Security Group firewall.</w:t>
      </w:r>
    </w:p>
    <w:p w14:paraId="795A0776">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SECTION 3: DEPLOYMENT &amp; COMPUTE</w:t>
      </w:r>
    </w:p>
    <w:p w14:paraId="4034CA24">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3.1 EC2 Instance Configuration</w:t>
      </w:r>
    </w:p>
    <w:p w14:paraId="30E318E9">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foundational dashboard code executes within a hardened virtual EC2 instance operating inside a localized, secure compute container.</w:t>
      </w:r>
    </w:p>
    <w:p w14:paraId="3D306A61">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Operating Platform: </w:t>
      </w:r>
      <w:r>
        <w:rPr>
          <w:rFonts w:ascii="Arial" w:hAnsi="Arial"/>
          <w:color w:val="000000" w:themeColor="text1"/>
          <w:sz w:val="21"/>
          <w14:textFill>
            <w14:solidFill>
              <w14:schemeClr w14:val="tx1"/>
            </w14:solidFill>
          </w14:textFill>
        </w:rPr>
        <w:t>Amazon Linux 2023 minimal footprint architecture.</w:t>
      </w:r>
    </w:p>
    <w:p w14:paraId="04BB9A39">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Capacity Profile: </w:t>
      </w:r>
      <w:r>
        <w:rPr>
          <w:rFonts w:ascii="Arial" w:hAnsi="Arial"/>
          <w:color w:val="000000" w:themeColor="text1"/>
          <w:sz w:val="21"/>
          <w14:textFill>
            <w14:solidFill>
              <w14:schemeClr w14:val="tx1"/>
            </w14:solidFill>
          </w14:textFill>
        </w:rPr>
        <w:t>t2.micro instance footprint (100% Free Tier optimization).</w:t>
      </w:r>
    </w:p>
    <w:p w14:paraId="666757D1">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Identity Binding: </w:t>
      </w:r>
      <w:r>
        <w:rPr>
          <w:rFonts w:ascii="Arial" w:hAnsi="Arial"/>
          <w:color w:val="000000" w:themeColor="text1"/>
          <w:sz w:val="21"/>
          <w14:textFill>
            <w14:solidFill>
              <w14:schemeClr w14:val="tx1"/>
            </w14:solidFill>
          </w14:textFill>
        </w:rPr>
        <w:t>Linked directly to the 'ZeroTrustDashboardRole' avoiding static access keys on disk.</w:t>
      </w:r>
    </w:p>
    <w:tbl>
      <w:tblPr>
        <w:tblStyle w:val="12"/>
        <w:tblW w:w="0" w:type="auto"/>
        <w:jc w:val="center"/>
        <w:tblLayout w:type="fixed"/>
        <w:tblCellMar>
          <w:top w:w="0" w:type="dxa"/>
          <w:left w:w="108" w:type="dxa"/>
          <w:bottom w:w="0" w:type="dxa"/>
          <w:right w:w="108" w:type="dxa"/>
        </w:tblCellMar>
      </w:tblPr>
      <w:tblGrid>
        <w:gridCol w:w="9360"/>
      </w:tblGrid>
      <w:tr w14:paraId="028665CA">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74193CFA">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 xml:space="preserve">SCREENSHOT </w:t>
            </w:r>
          </w:p>
          <w:p w14:paraId="63957A50">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7" name="Picture 7" descr="Screenshot (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693)"/>
                          <pic:cNvPicPr>
                            <a:picLocks noChangeAspect="1"/>
                          </pic:cNvPicPr>
                        </pic:nvPicPr>
                        <pic:blipFill>
                          <a:blip r:embed="rId14"/>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3.1: EC2 Instance Operational Grid and State Indicator</w:t>
            </w:r>
          </w:p>
        </w:tc>
      </w:tr>
      <w:tr w14:paraId="3021DDEB">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1753C09C">
            <w:pPr>
              <w:spacing w:before="280" w:after="280" w:line="360" w:lineRule="auto"/>
              <w:jc w:val="both"/>
              <w:rPr>
                <w:rFonts w:hint="default" w:ascii="Arial" w:hAnsi="Arial"/>
                <w:i/>
                <w:color w:val="000000" w:themeColor="text1"/>
                <w:sz w:val="19"/>
                <w:lang w:val="en-US"/>
                <w14:textFill>
                  <w14:solidFill>
                    <w14:schemeClr w14:val="tx1"/>
                  </w14:solidFill>
                </w14:textFill>
              </w:rPr>
            </w:pPr>
            <w:r>
              <w:rPr>
                <w:rFonts w:hint="default" w:ascii="Arial" w:hAnsi="Arial"/>
                <w:i/>
                <w:color w:val="000000" w:themeColor="text1"/>
                <w:sz w:val="19"/>
                <w:lang w:val="en-US"/>
                <w14:textFill>
                  <w14:solidFill>
                    <w14:schemeClr w14:val="tx1"/>
                  </w14:solidFill>
                </w14:textFill>
              </w:rPr>
              <w:drawing>
                <wp:inline distT="0" distB="0" distL="114300" distR="114300">
                  <wp:extent cx="5803265" cy="3262630"/>
                  <wp:effectExtent l="0" t="0" r="6985" b="13970"/>
                  <wp:docPr id="8" name="Picture 8" descr="Screenshot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699)"/>
                          <pic:cNvPicPr>
                            <a:picLocks noChangeAspect="1"/>
                          </pic:cNvPicPr>
                        </pic:nvPicPr>
                        <pic:blipFill>
                          <a:blip r:embed="rId15"/>
                          <a:stretch>
                            <a:fillRect/>
                          </a:stretch>
                        </pic:blipFill>
                        <pic:spPr>
                          <a:xfrm>
                            <a:off x="0" y="0"/>
                            <a:ext cx="5803265" cy="3262630"/>
                          </a:xfrm>
                          <a:prstGeom prst="rect">
                            <a:avLst/>
                          </a:prstGeom>
                        </pic:spPr>
                      </pic:pic>
                    </a:graphicData>
                  </a:graphic>
                </wp:inline>
              </w:drawing>
            </w:r>
          </w:p>
        </w:tc>
      </w:tr>
    </w:tbl>
    <w:p w14:paraId="673680C6">
      <w:pPr>
        <w:spacing w:before="0" w:after="160" w:line="360" w:lineRule="auto"/>
        <w:jc w:val="both"/>
        <w:rPr>
          <w:color w:val="000000" w:themeColor="text1"/>
          <w14:textFill>
            <w14:solidFill>
              <w14:schemeClr w14:val="tx1"/>
            </w14:solidFill>
          </w14:textFill>
        </w:rPr>
      </w:pPr>
    </w:p>
    <w:p w14:paraId="0990E5D9">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3.2 Instance Details &amp; Public IP</w:t>
      </w:r>
    </w:p>
    <w:p w14:paraId="08723F62">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Networking parameters trace real-time public routing information to simplify gateway checking logic without revealing core system identities.</w:t>
      </w:r>
    </w:p>
    <w:p w14:paraId="0A230D09">
      <w:pPr>
        <w:spacing w:before="0" w:after="160" w:line="360" w:lineRule="auto"/>
        <w:jc w:val="both"/>
        <w:rPr>
          <w:color w:val="000000" w:themeColor="text1"/>
          <w14:textFill>
            <w14:solidFill>
              <w14:schemeClr w14:val="tx1"/>
            </w14:solidFill>
          </w14:textFill>
        </w:rPr>
      </w:pPr>
    </w:p>
    <w:p w14:paraId="5C03571C">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3.3 Firewall Configuration</w:t>
      </w:r>
    </w:p>
    <w:p w14:paraId="4EED9826">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Local iptables security rules complement AWS outer firewall layers to provide thorough defense-in-depth protection.</w:t>
      </w:r>
    </w:p>
    <w:p w14:paraId="6D28419B">
      <w:pPr>
        <w:spacing w:before="0" w:after="160" w:line="360" w:lineRule="auto"/>
        <w:jc w:val="both"/>
        <w:rPr>
          <w:color w:val="000000" w:themeColor="text1"/>
          <w14:textFill>
            <w14:solidFill>
              <w14:schemeClr w14:val="tx1"/>
            </w14:solidFill>
          </w14:textFill>
        </w:rPr>
      </w:pPr>
    </w:p>
    <w:p w14:paraId="0B64331A">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SECTION 4: LIVE ZERO TRUST PLATFORM</w:t>
      </w:r>
    </w:p>
    <w:p w14:paraId="7798C2E8">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4.1 Login Portal</w:t>
      </w:r>
    </w:p>
    <w:p w14:paraId="7A6C1476">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primary security platform requires a sequential authentication workflow before issuing active login contexts to the browser client.</w:t>
      </w:r>
    </w:p>
    <w:p w14:paraId="09178009">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Workflow Feedback: </w:t>
      </w:r>
      <w:r>
        <w:rPr>
          <w:rFonts w:ascii="Arial" w:hAnsi="Arial"/>
          <w:color w:val="000000" w:themeColor="text1"/>
          <w:sz w:val="21"/>
          <w14:textFill>
            <w14:solidFill>
              <w14:schemeClr w14:val="tx1"/>
            </w14:solidFill>
          </w14:textFill>
        </w:rPr>
        <w:t>Step layout interface elements indicating operational stage (Step 1 of 2).</w:t>
      </w:r>
    </w:p>
    <w:p w14:paraId="7DC65A73">
      <w:pPr>
        <w:pStyle w:val="23"/>
        <w:spacing w:before="0" w:after="60" w:line="360" w:lineRule="auto"/>
        <w:jc w:val="both"/>
        <w:rPr>
          <w:color w:val="000000" w:themeColor="text1"/>
          <w14:textFill>
            <w14:solidFill>
              <w14:schemeClr w14:val="tx1"/>
            </w14:solidFill>
          </w14:textFill>
        </w:rPr>
      </w:pPr>
      <w:r>
        <w:rPr>
          <w:rFonts w:ascii="Arial" w:hAnsi="Arial"/>
          <w:b/>
          <w:color w:val="000000" w:themeColor="text1"/>
          <w:sz w:val="21"/>
          <w14:textFill>
            <w14:solidFill>
              <w14:schemeClr w14:val="tx1"/>
            </w14:solidFill>
          </w14:textFill>
        </w:rPr>
        <w:t xml:space="preserve">Session Warning: </w:t>
      </w:r>
      <w:r>
        <w:rPr>
          <w:rFonts w:ascii="Arial" w:hAnsi="Arial"/>
          <w:color w:val="000000" w:themeColor="text1"/>
          <w:sz w:val="21"/>
          <w14:textFill>
            <w14:solidFill>
              <w14:schemeClr w14:val="tx1"/>
            </w14:solidFill>
          </w14:textFill>
        </w:rPr>
        <w:t>Persistent layout counters warning users of near-immediate session collection drops.</w:t>
      </w:r>
    </w:p>
    <w:tbl>
      <w:tblPr>
        <w:tblStyle w:val="12"/>
        <w:tblW w:w="0" w:type="auto"/>
        <w:jc w:val="center"/>
        <w:tblLayout w:type="fixed"/>
        <w:tblCellMar>
          <w:top w:w="0" w:type="dxa"/>
          <w:left w:w="108" w:type="dxa"/>
          <w:bottom w:w="0" w:type="dxa"/>
          <w:right w:w="108" w:type="dxa"/>
        </w:tblCellMar>
      </w:tblPr>
      <w:tblGrid>
        <w:gridCol w:w="9360"/>
      </w:tblGrid>
      <w:tr w14:paraId="2AE180DC">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0BF8966F">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 xml:space="preserve">SCREENSHOT </w:t>
            </w:r>
          </w:p>
          <w:p w14:paraId="75052631">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9" name="Picture 9" descr="Screenshot (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700)"/>
                          <pic:cNvPicPr>
                            <a:picLocks noChangeAspect="1"/>
                          </pic:cNvPicPr>
                        </pic:nvPicPr>
                        <pic:blipFill>
                          <a:blip r:embed="rId16"/>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4.1: Live Zero Trust Login Portal UI Screen</w:t>
            </w:r>
          </w:p>
        </w:tc>
      </w:tr>
    </w:tbl>
    <w:p w14:paraId="2EE483B7">
      <w:pPr>
        <w:spacing w:before="0" w:after="160" w:line="360" w:lineRule="auto"/>
        <w:jc w:val="both"/>
        <w:rPr>
          <w:color w:val="000000" w:themeColor="text1"/>
          <w14:textFill>
            <w14:solidFill>
              <w14:schemeClr w14:val="tx1"/>
            </w14:solidFill>
          </w14:textFill>
        </w:rPr>
      </w:pPr>
    </w:p>
    <w:p w14:paraId="25EC5007">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4.2 Multi-Factor Authentication</w:t>
      </w:r>
    </w:p>
    <w:p w14:paraId="1845036D">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Following primary password identification, the user session enters a gated state, demanding verification of an independent TOTP token.</w:t>
      </w:r>
    </w:p>
    <w:p w14:paraId="788FE391">
      <w:pPr>
        <w:spacing w:before="0" w:after="160" w:line="360" w:lineRule="auto"/>
        <w:jc w:val="both"/>
        <w:rPr>
          <w:color w:val="000000" w:themeColor="text1"/>
          <w14:textFill>
            <w14:solidFill>
              <w14:schemeClr w14:val="tx1"/>
            </w14:solidFill>
          </w14:textFill>
        </w:rPr>
      </w:pPr>
    </w:p>
    <w:p w14:paraId="40703B15">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4.3 Real-Time Dashboard</w:t>
      </w:r>
    </w:p>
    <w:p w14:paraId="5833A03E">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Once fully authenticated, the active platform runs continuous telemetry collection, displaying cloud component status information over safe API loops.</w:t>
      </w:r>
    </w:p>
    <w:tbl>
      <w:tblPr>
        <w:tblStyle w:val="12"/>
        <w:tblW w:w="0" w:type="auto"/>
        <w:jc w:val="center"/>
        <w:tblLayout w:type="fixed"/>
        <w:tblCellMar>
          <w:top w:w="0" w:type="dxa"/>
          <w:left w:w="108" w:type="dxa"/>
          <w:bottom w:w="0" w:type="dxa"/>
          <w:right w:w="108" w:type="dxa"/>
        </w:tblCellMar>
      </w:tblPr>
      <w:tblGrid>
        <w:gridCol w:w="9360"/>
      </w:tblGrid>
      <w:tr w14:paraId="6EDB9CF5">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61F61604">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 xml:space="preserve">SCREENSHOT </w:t>
            </w:r>
          </w:p>
          <w:p w14:paraId="437534BD">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10" name="Picture 10" descr="Screenshot (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701)"/>
                          <pic:cNvPicPr>
                            <a:picLocks noChangeAspect="1"/>
                          </pic:cNvPicPr>
                        </pic:nvPicPr>
                        <pic:blipFill>
                          <a:blip r:embed="rId17"/>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4.3: Real-Time Status Control Panel Dashboard Grid</w:t>
            </w:r>
          </w:p>
        </w:tc>
      </w:tr>
    </w:tbl>
    <w:p w14:paraId="689A1EE9">
      <w:pPr>
        <w:spacing w:before="0" w:after="160" w:line="360" w:lineRule="auto"/>
        <w:jc w:val="both"/>
        <w:rPr>
          <w:color w:val="000000" w:themeColor="text1"/>
          <w14:textFill>
            <w14:solidFill>
              <w14:schemeClr w14:val="tx1"/>
            </w14:solidFill>
          </w14:textFill>
        </w:rPr>
      </w:pPr>
    </w:p>
    <w:p w14:paraId="382B6129">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4.4 AWS Service Monitoring</w:t>
      </w:r>
    </w:p>
    <w:p w14:paraId="7E1BD0DF">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Real-time telemetry verification widgets evaluate the background compliance and up-time properties of cloud resources:</w:t>
      </w:r>
    </w:p>
    <w:tbl>
      <w:tblPr>
        <w:tblStyle w:val="12"/>
        <w:tblW w:w="0" w:type="auto"/>
        <w:jc w:val="center"/>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Layout w:type="fixed"/>
        <w:tblCellMar>
          <w:top w:w="120" w:type="dxa"/>
          <w:left w:w="180" w:type="dxa"/>
          <w:bottom w:w="120" w:type="dxa"/>
          <w:right w:w="180" w:type="dxa"/>
        </w:tblCellMar>
      </w:tblPr>
      <w:tblGrid>
        <w:gridCol w:w="3120"/>
        <w:gridCol w:w="3120"/>
        <w:gridCol w:w="3120"/>
      </w:tblGrid>
      <w:tr w14:paraId="617EDEB0">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shd w:val="clear" w:color="auto" w:fill="1B365D"/>
          </w:tcPr>
          <w:p w14:paraId="7F9EF4A8">
            <w:pPr>
              <w:spacing w:before="80" w:after="80" w:line="360" w:lineRule="auto"/>
              <w:jc w:val="left"/>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Service Name</w:t>
            </w:r>
          </w:p>
        </w:tc>
        <w:tc>
          <w:tcPr>
            <w:tcW w:w="3312" w:type="dxa"/>
            <w:shd w:val="clear" w:color="auto" w:fill="1B365D"/>
          </w:tcPr>
          <w:p w14:paraId="4960DC98">
            <w:pPr>
              <w:spacing w:before="80" w:after="80" w:line="360" w:lineRule="auto"/>
              <w:jc w:val="left"/>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Status Check Objective</w:t>
            </w:r>
          </w:p>
        </w:tc>
        <w:tc>
          <w:tcPr>
            <w:tcW w:w="3888" w:type="dxa"/>
            <w:shd w:val="clear" w:color="auto" w:fill="1B365D"/>
          </w:tcPr>
          <w:p w14:paraId="7E7C2C05">
            <w:pPr>
              <w:spacing w:before="80" w:after="80" w:line="360" w:lineRule="auto"/>
              <w:jc w:val="left"/>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Underlying Query Method</w:t>
            </w:r>
          </w:p>
        </w:tc>
      </w:tr>
      <w:tr w14:paraId="4ADD29AA">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tcPr>
          <w:p w14:paraId="4830CA20">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EC2</w:t>
            </w:r>
          </w:p>
        </w:tc>
        <w:tc>
          <w:tcPr>
            <w:tcW w:w="3312" w:type="dxa"/>
          </w:tcPr>
          <w:p w14:paraId="45974FE5">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Instance health tracking</w:t>
            </w:r>
          </w:p>
        </w:tc>
        <w:tc>
          <w:tcPr>
            <w:tcW w:w="3888" w:type="dxa"/>
          </w:tcPr>
          <w:p w14:paraId="0C5E32DE">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CLI describe-instance-status</w:t>
            </w:r>
          </w:p>
        </w:tc>
      </w:tr>
      <w:tr w14:paraId="697BAFB1">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shd w:val="clear" w:color="auto" w:fill="F4F6F9"/>
          </w:tcPr>
          <w:p w14:paraId="0F4FC930">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Apache</w:t>
            </w:r>
          </w:p>
        </w:tc>
        <w:tc>
          <w:tcPr>
            <w:tcW w:w="3312" w:type="dxa"/>
            <w:shd w:val="clear" w:color="auto" w:fill="F4F6F9"/>
          </w:tcPr>
          <w:p w14:paraId="2C43662E">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Service operational state</w:t>
            </w:r>
          </w:p>
        </w:tc>
        <w:tc>
          <w:tcPr>
            <w:tcW w:w="3888" w:type="dxa"/>
            <w:shd w:val="clear" w:color="auto" w:fill="F4F6F9"/>
          </w:tcPr>
          <w:p w14:paraId="24682617">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systemctl is-active</w:t>
            </w:r>
          </w:p>
        </w:tc>
      </w:tr>
      <w:tr w14:paraId="657B81A4">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tcPr>
          <w:p w14:paraId="1BF012B9">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VPC</w:t>
            </w:r>
          </w:p>
        </w:tc>
        <w:tc>
          <w:tcPr>
            <w:tcW w:w="3312" w:type="dxa"/>
          </w:tcPr>
          <w:p w14:paraId="7B7D5521">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Network object visibility</w:t>
            </w:r>
          </w:p>
        </w:tc>
        <w:tc>
          <w:tcPr>
            <w:tcW w:w="3888" w:type="dxa"/>
          </w:tcPr>
          <w:p w14:paraId="268F6DCD">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CLI describe-vpcs</w:t>
            </w:r>
          </w:p>
        </w:tc>
      </w:tr>
      <w:tr w14:paraId="537D101E">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shd w:val="clear" w:color="auto" w:fill="F4F6F9"/>
          </w:tcPr>
          <w:p w14:paraId="5B322EC1">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Security Groups</w:t>
            </w:r>
          </w:p>
        </w:tc>
        <w:tc>
          <w:tcPr>
            <w:tcW w:w="3312" w:type="dxa"/>
            <w:shd w:val="clear" w:color="auto" w:fill="F4F6F9"/>
          </w:tcPr>
          <w:p w14:paraId="6A51E40E">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Firewall rules evaluation</w:t>
            </w:r>
          </w:p>
        </w:tc>
        <w:tc>
          <w:tcPr>
            <w:tcW w:w="3888" w:type="dxa"/>
            <w:shd w:val="clear" w:color="auto" w:fill="F4F6F9"/>
          </w:tcPr>
          <w:p w14:paraId="5E09CFF5">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CLI describe-security-groups</w:t>
            </w:r>
          </w:p>
        </w:tc>
      </w:tr>
      <w:tr w14:paraId="10E61C07">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tcPr>
          <w:p w14:paraId="474AAAAD">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CloudTrail</w:t>
            </w:r>
          </w:p>
        </w:tc>
        <w:tc>
          <w:tcPr>
            <w:tcW w:w="3312" w:type="dxa"/>
          </w:tcPr>
          <w:p w14:paraId="0184FC87">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Audit log ingestion tracking</w:t>
            </w:r>
          </w:p>
        </w:tc>
        <w:tc>
          <w:tcPr>
            <w:tcW w:w="3888" w:type="dxa"/>
          </w:tcPr>
          <w:p w14:paraId="4A2A0FB0">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CLI describe-trails</w:t>
            </w:r>
          </w:p>
        </w:tc>
      </w:tr>
      <w:tr w14:paraId="4AE4C0C2">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shd w:val="clear" w:color="auto" w:fill="F4F6F9"/>
          </w:tcPr>
          <w:p w14:paraId="755B1165">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S3</w:t>
            </w:r>
          </w:p>
        </w:tc>
        <w:tc>
          <w:tcPr>
            <w:tcW w:w="3312" w:type="dxa"/>
            <w:shd w:val="clear" w:color="auto" w:fill="F4F6F9"/>
          </w:tcPr>
          <w:p w14:paraId="3D93977F">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Storage block accessibility</w:t>
            </w:r>
          </w:p>
        </w:tc>
        <w:tc>
          <w:tcPr>
            <w:tcW w:w="3888" w:type="dxa"/>
            <w:shd w:val="clear" w:color="auto" w:fill="F4F6F9"/>
          </w:tcPr>
          <w:p w14:paraId="7C042301">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CLI s3 ls</w:t>
            </w:r>
          </w:p>
        </w:tc>
      </w:tr>
      <w:tr w14:paraId="031617D6">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160" w:type="dxa"/>
          </w:tcPr>
          <w:p w14:paraId="4A2ACA4D">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GuardDuty</w:t>
            </w:r>
          </w:p>
        </w:tc>
        <w:tc>
          <w:tcPr>
            <w:tcW w:w="3312" w:type="dxa"/>
          </w:tcPr>
          <w:p w14:paraId="1D97D1F1">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Threat detector status</w:t>
            </w:r>
          </w:p>
        </w:tc>
        <w:tc>
          <w:tcPr>
            <w:tcW w:w="3888" w:type="dxa"/>
          </w:tcPr>
          <w:p w14:paraId="661C9C4B">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CLI list-detectors</w:t>
            </w:r>
          </w:p>
        </w:tc>
      </w:tr>
    </w:tbl>
    <w:p w14:paraId="74A51366">
      <w:pPr>
        <w:spacing w:before="0" w:after="160" w:line="360" w:lineRule="auto"/>
        <w:jc w:val="both"/>
        <w:rPr>
          <w:color w:val="000000" w:themeColor="text1"/>
          <w14:textFill>
            <w14:solidFill>
              <w14:schemeClr w14:val="tx1"/>
            </w14:solidFill>
          </w14:textFill>
        </w:rPr>
      </w:pPr>
    </w:p>
    <w:p w14:paraId="6EBE842A">
      <w:pPr>
        <w:spacing w:before="0" w:after="160" w:line="360" w:lineRule="auto"/>
        <w:jc w:val="both"/>
        <w:rPr>
          <w:color w:val="000000" w:themeColor="text1"/>
          <w14:textFill>
            <w14:solidFill>
              <w14:schemeClr w14:val="tx1"/>
            </w14:solidFill>
          </w14:textFill>
        </w:rPr>
      </w:pPr>
    </w:p>
    <w:p w14:paraId="0E4818B6">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4.5 Audit Logging</w:t>
      </w:r>
    </w:p>
    <w:p w14:paraId="156E0FB7">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System actions are completely timestamped, formatted, and pushed to an immutable file structure to maintain an accurate history of user activities.</w:t>
      </w:r>
    </w:p>
    <w:p w14:paraId="515CF604">
      <w:pPr>
        <w:spacing w:before="0" w:after="160" w:line="360" w:lineRule="auto"/>
        <w:jc w:val="both"/>
        <w:rPr>
          <w:color w:val="000000" w:themeColor="text1"/>
          <w14:textFill>
            <w14:solidFill>
              <w14:schemeClr w14:val="tx1"/>
            </w14:solidFill>
          </w14:textFill>
        </w:rPr>
      </w:pPr>
    </w:p>
    <w:p w14:paraId="33D71118">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SECTION 5: MONITORING &amp; LOGGING</w:t>
      </w:r>
    </w:p>
    <w:p w14:paraId="1F80D0E0">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5.1 AWS CloudTrail</w:t>
      </w:r>
    </w:p>
    <w:p w14:paraId="29F33A2D">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AWS CloudTrail tracks all API invocations, guaranteeing full visibility into infrastructure change events.</w:t>
      </w:r>
    </w:p>
    <w:tbl>
      <w:tblPr>
        <w:tblStyle w:val="12"/>
        <w:tblW w:w="0" w:type="auto"/>
        <w:jc w:val="center"/>
        <w:tblLayout w:type="fixed"/>
        <w:tblCellMar>
          <w:top w:w="0" w:type="dxa"/>
          <w:left w:w="108" w:type="dxa"/>
          <w:bottom w:w="0" w:type="dxa"/>
          <w:right w:w="108" w:type="dxa"/>
        </w:tblCellMar>
      </w:tblPr>
      <w:tblGrid>
        <w:gridCol w:w="9360"/>
      </w:tblGrid>
      <w:tr w14:paraId="05CF1B93">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544536DD">
            <w:pPr>
              <w:spacing w:before="280" w:after="280" w:line="360" w:lineRule="auto"/>
              <w:jc w:val="both"/>
              <w:rPr>
                <w:rFonts w:hint="default" w:ascii="Arial" w:hAnsi="Arial"/>
                <w:i/>
                <w:color w:val="000000" w:themeColor="text1"/>
                <w:sz w:val="19"/>
                <w:lang w:val="en-US"/>
                <w14:textFill>
                  <w14:solidFill>
                    <w14:schemeClr w14:val="tx1"/>
                  </w14:solidFill>
                </w14:textFill>
              </w:rPr>
            </w:pPr>
            <w:r>
              <w:rPr>
                <w:rFonts w:hint="default"/>
                <w:i/>
                <w:color w:val="000000" w:themeColor="text1"/>
                <w:sz w:val="19"/>
                <w:lang w:val="en-US"/>
                <w14:textFill>
                  <w14:solidFill>
                    <w14:schemeClr w14:val="tx1"/>
                  </w14:solidFill>
                </w14:textFill>
              </w:rPr>
              <w:t>S</w:t>
            </w:r>
            <w:r>
              <w:rPr>
                <w:rFonts w:ascii="Arial" w:hAnsi="Arial"/>
                <w:i/>
                <w:color w:val="000000" w:themeColor="text1"/>
                <w:sz w:val="19"/>
                <w14:textFill>
                  <w14:solidFill>
                    <w14:schemeClr w14:val="tx1"/>
                  </w14:solidFill>
                </w14:textFill>
              </w:rPr>
              <w:t xml:space="preserve">CREENSHOT </w:t>
            </w:r>
          </w:p>
          <w:p w14:paraId="7E54D39D">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12" name="Picture 12" descr="Screenshot (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707)"/>
                          <pic:cNvPicPr>
                            <a:picLocks noChangeAspect="1"/>
                          </pic:cNvPicPr>
                        </pic:nvPicPr>
                        <pic:blipFill>
                          <a:blip r:embed="rId18"/>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5.1: AWS CloudTrail Active Configuration Audit Grid</w:t>
            </w:r>
          </w:p>
        </w:tc>
      </w:tr>
    </w:tbl>
    <w:p w14:paraId="027311F2">
      <w:pPr>
        <w:spacing w:before="0" w:after="160" w:line="360" w:lineRule="auto"/>
        <w:jc w:val="both"/>
        <w:rPr>
          <w:color w:val="000000" w:themeColor="text1"/>
          <w14:textFill>
            <w14:solidFill>
              <w14:schemeClr w14:val="tx1"/>
            </w14:solidFill>
          </w14:textFill>
        </w:rPr>
      </w:pPr>
    </w:p>
    <w:p w14:paraId="7BE96E9C">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5.2 VPC Flow Logs</w:t>
      </w:r>
    </w:p>
    <w:p w14:paraId="05EF15F4">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Flow Logs track low-level network connection trends, capturing packet drops to help identify scanning attempts.</w:t>
      </w:r>
    </w:p>
    <w:tbl>
      <w:tblPr>
        <w:tblStyle w:val="12"/>
        <w:tblW w:w="0" w:type="auto"/>
        <w:jc w:val="center"/>
        <w:tblLayout w:type="fixed"/>
        <w:tblCellMar>
          <w:top w:w="0" w:type="dxa"/>
          <w:left w:w="108" w:type="dxa"/>
          <w:bottom w:w="0" w:type="dxa"/>
          <w:right w:w="108" w:type="dxa"/>
        </w:tblCellMar>
      </w:tblPr>
      <w:tblGrid>
        <w:gridCol w:w="9360"/>
      </w:tblGrid>
      <w:tr w14:paraId="4E87E348">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64BE3054">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 xml:space="preserve">SCREENSHOT </w:t>
            </w:r>
          </w:p>
          <w:p w14:paraId="4F38C451">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13" name="Picture 13" descr="Screenshot (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716)"/>
                          <pic:cNvPicPr>
                            <a:picLocks noChangeAspect="1"/>
                          </pic:cNvPicPr>
                        </pic:nvPicPr>
                        <pic:blipFill>
                          <a:blip r:embed="rId19"/>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5.2: VPC Flow Logs Metadata Stream Capture</w:t>
            </w:r>
          </w:p>
        </w:tc>
      </w:tr>
    </w:tbl>
    <w:p w14:paraId="21822674">
      <w:pPr>
        <w:spacing w:before="0" w:after="160" w:line="360" w:lineRule="auto"/>
        <w:jc w:val="both"/>
        <w:rPr>
          <w:color w:val="000000" w:themeColor="text1"/>
          <w14:textFill>
            <w14:solidFill>
              <w14:schemeClr w14:val="tx1"/>
            </w14:solidFill>
          </w14:textFill>
        </w:rPr>
      </w:pPr>
    </w:p>
    <w:p w14:paraId="137D429F">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5.3 Amazon GuardDuty</w:t>
      </w:r>
    </w:p>
    <w:p w14:paraId="79ACFAF0">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Amazon GuardDuty acts as an intelligent threat detection engine, analyzing system activity logs to spot unauthorized use patterns.</w:t>
      </w:r>
    </w:p>
    <w:tbl>
      <w:tblPr>
        <w:tblStyle w:val="12"/>
        <w:tblW w:w="0" w:type="auto"/>
        <w:jc w:val="center"/>
        <w:tblLayout w:type="fixed"/>
        <w:tblCellMar>
          <w:top w:w="0" w:type="dxa"/>
          <w:left w:w="108" w:type="dxa"/>
          <w:bottom w:w="0" w:type="dxa"/>
          <w:right w:w="108" w:type="dxa"/>
        </w:tblCellMar>
      </w:tblPr>
      <w:tblGrid>
        <w:gridCol w:w="9360"/>
      </w:tblGrid>
      <w:tr w14:paraId="15126F46">
        <w:tblPrEx>
          <w:tblCellMar>
            <w:top w:w="0" w:type="dxa"/>
            <w:left w:w="108" w:type="dxa"/>
            <w:bottom w:w="0" w:type="dxa"/>
            <w:right w:w="108" w:type="dxa"/>
          </w:tblCellMar>
        </w:tblPrEx>
        <w:trPr>
          <w:jc w:val="center"/>
        </w:trPr>
        <w:tc>
          <w:tcPr>
            <w:tcW w:w="9360" w:type="dxa"/>
            <w:tcBorders>
              <w:top w:val="dashed" w:color="A0A0A0" w:sz="4" w:space="0"/>
              <w:left w:val="dashed" w:color="A0A0A0" w:sz="4" w:space="0"/>
              <w:bottom w:val="dashed" w:color="A0A0A0" w:sz="4" w:space="0"/>
              <w:right w:val="dashed" w:color="A0A0A0" w:sz="4" w:space="0"/>
            </w:tcBorders>
            <w:shd w:val="clear" w:color="auto" w:fill="F8FAFC"/>
          </w:tcPr>
          <w:p w14:paraId="3F4A8581">
            <w:pPr>
              <w:spacing w:before="280" w:after="280" w:line="360" w:lineRule="auto"/>
              <w:jc w:val="both"/>
              <w:rPr>
                <w:rFonts w:ascii="Arial" w:hAnsi="Arial"/>
                <w:i/>
                <w:color w:val="000000" w:themeColor="text1"/>
                <w:sz w:val="19"/>
                <w14:textFill>
                  <w14:solidFill>
                    <w14:schemeClr w14:val="tx1"/>
                  </w14:solidFill>
                </w14:textFill>
              </w:rPr>
            </w:pPr>
            <w:r>
              <w:rPr>
                <w:rFonts w:ascii="Arial" w:hAnsi="Arial"/>
                <w:i/>
                <w:color w:val="000000" w:themeColor="text1"/>
                <w:sz w:val="19"/>
                <w14:textFill>
                  <w14:solidFill>
                    <w14:schemeClr w14:val="tx1"/>
                  </w14:solidFill>
                </w14:textFill>
              </w:rPr>
              <w:t xml:space="preserve"> SCREENSHOT </w:t>
            </w:r>
          </w:p>
          <w:p w14:paraId="5DE9CF67">
            <w:pPr>
              <w:spacing w:before="280" w:after="280" w:line="360" w:lineRule="auto"/>
              <w:jc w:val="both"/>
              <w:rPr>
                <w:color w:val="000000" w:themeColor="text1"/>
                <w14:textFill>
                  <w14:solidFill>
                    <w14:schemeClr w14:val="tx1"/>
                  </w14:solidFill>
                </w14:textFill>
              </w:rPr>
            </w:pPr>
            <w:r>
              <w:rPr>
                <w:rFonts w:ascii="Arial" w:hAnsi="Arial"/>
                <w:i/>
                <w:color w:val="000000" w:themeColor="text1"/>
                <w:sz w:val="19"/>
                <w14:textFill>
                  <w14:solidFill>
                    <w14:schemeClr w14:val="tx1"/>
                  </w14:solidFill>
                </w14:textFill>
              </w:rPr>
              <w:drawing>
                <wp:inline distT="0" distB="0" distL="114300" distR="114300">
                  <wp:extent cx="5803265" cy="3262630"/>
                  <wp:effectExtent l="0" t="0" r="6985" b="13970"/>
                  <wp:docPr id="14" name="Picture 14" descr="Screenshot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725)"/>
                          <pic:cNvPicPr>
                            <a:picLocks noChangeAspect="1"/>
                          </pic:cNvPicPr>
                        </pic:nvPicPr>
                        <pic:blipFill>
                          <a:blip r:embed="rId20"/>
                          <a:stretch>
                            <a:fillRect/>
                          </a:stretch>
                        </pic:blipFill>
                        <pic:spPr>
                          <a:xfrm>
                            <a:off x="0" y="0"/>
                            <a:ext cx="5803265" cy="3262630"/>
                          </a:xfrm>
                          <a:prstGeom prst="rect">
                            <a:avLst/>
                          </a:prstGeom>
                        </pic:spPr>
                      </pic:pic>
                    </a:graphicData>
                  </a:graphic>
                </wp:inline>
              </w:drawing>
            </w:r>
            <w:r>
              <w:rPr>
                <w:rFonts w:ascii="Arial" w:hAnsi="Arial"/>
                <w:i/>
                <w:color w:val="000000" w:themeColor="text1"/>
                <w:sz w:val="19"/>
                <w14:textFill>
                  <w14:solidFill>
                    <w14:schemeClr w14:val="tx1"/>
                  </w14:solidFill>
                </w14:textFill>
              </w:rPr>
              <w:br w:type="textWrapping"/>
            </w:r>
            <w:r>
              <w:rPr>
                <w:rFonts w:ascii="Arial" w:hAnsi="Arial"/>
                <w:i/>
                <w:color w:val="000000" w:themeColor="text1"/>
                <w:sz w:val="19"/>
                <w14:textFill>
                  <w14:solidFill>
                    <w14:schemeClr w14:val="tx1"/>
                  </w14:solidFill>
                </w14:textFill>
              </w:rPr>
              <w:t>Screenshot 5.3: Amazon GuardDuty Intelligent Threat Panel View</w:t>
            </w:r>
          </w:p>
        </w:tc>
      </w:tr>
    </w:tbl>
    <w:p w14:paraId="7899FBC1">
      <w:pPr>
        <w:spacing w:before="0" w:after="160" w:line="360" w:lineRule="auto"/>
        <w:jc w:val="both"/>
        <w:rPr>
          <w:color w:val="000000" w:themeColor="text1"/>
          <w14:textFill>
            <w14:solidFill>
              <w14:schemeClr w14:val="tx1"/>
            </w14:solidFill>
          </w14:textFill>
        </w:rPr>
      </w:pPr>
    </w:p>
    <w:p w14:paraId="4632DFCD">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SECTION 6: ZERO TRUST VERIFICATION</w:t>
      </w:r>
    </w:p>
    <w:p w14:paraId="2EEEAD94">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6.1 Automatic Session Timeout</w:t>
      </w:r>
    </w:p>
    <w:p w14:paraId="5915B8A0">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To mitigate session hijacking risks, active user dashboard access automatically terminates after exactly 10 minutes of complete inactivity.</w:t>
      </w:r>
    </w:p>
    <w:p w14:paraId="012EE7C5">
      <w:pPr>
        <w:spacing w:before="0" w:after="160" w:line="360" w:lineRule="auto"/>
        <w:jc w:val="both"/>
        <w:rPr>
          <w:color w:val="000000" w:themeColor="text1"/>
          <w14:textFill>
            <w14:solidFill>
              <w14:schemeClr w14:val="tx1"/>
            </w14:solidFill>
          </w14:textFill>
        </w:rPr>
      </w:pPr>
    </w:p>
    <w:p w14:paraId="2CCA4199">
      <w:pPr>
        <w:pStyle w:val="3"/>
        <w:keepNext/>
        <w:spacing w:before="280" w:after="120" w:line="360" w:lineRule="auto"/>
        <w:jc w:val="both"/>
        <w:rPr>
          <w:color w:val="000000" w:themeColor="text1"/>
          <w14:textFill>
            <w14:solidFill>
              <w14:schemeClr w14:val="tx1"/>
            </w14:solidFill>
          </w14:textFill>
        </w:rPr>
      </w:pPr>
      <w:r>
        <w:rPr>
          <w:rFonts w:ascii="Arial" w:hAnsi="Arial"/>
          <w:b/>
          <w:color w:val="000000" w:themeColor="text1"/>
          <w:sz w:val="25"/>
          <w14:textFill>
            <w14:solidFill>
              <w14:schemeClr w14:val="tx1"/>
            </w14:solidFill>
          </w14:textFill>
        </w:rPr>
        <w:t>6.2 Account Lockout Protection</w:t>
      </w:r>
    </w:p>
    <w:p w14:paraId="6D0958FD">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Brute-force protection rules lock accounts for 15 minutes if three consecutive incorrect login attempts are detected.</w:t>
      </w:r>
    </w:p>
    <w:p w14:paraId="489C9992">
      <w:pPr>
        <w:spacing w:before="0" w:after="160" w:line="360" w:lineRule="auto"/>
        <w:jc w:val="both"/>
        <w:rPr>
          <w:color w:val="000000" w:themeColor="text1"/>
          <w14:textFill>
            <w14:solidFill>
              <w14:schemeClr w14:val="tx1"/>
            </w14:solidFill>
          </w14:textFill>
        </w:rPr>
      </w:pPr>
    </w:p>
    <w:p w14:paraId="7557C66A">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ZERO TRUST PRINCIPLES IMPLEMENTED</w:t>
      </w:r>
    </w:p>
    <w:tbl>
      <w:tblPr>
        <w:tblStyle w:val="12"/>
        <w:tblW w:w="0" w:type="auto"/>
        <w:jc w:val="center"/>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Layout w:type="fixed"/>
        <w:tblCellMar>
          <w:top w:w="120" w:type="dxa"/>
          <w:left w:w="180" w:type="dxa"/>
          <w:bottom w:w="120" w:type="dxa"/>
          <w:right w:w="180" w:type="dxa"/>
        </w:tblCellMar>
      </w:tblPr>
      <w:tblGrid>
        <w:gridCol w:w="3120"/>
        <w:gridCol w:w="3120"/>
        <w:gridCol w:w="3120"/>
      </w:tblGrid>
      <w:tr w14:paraId="5E443D9F">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880" w:type="dxa"/>
            <w:shd w:val="clear" w:color="auto" w:fill="1B365D"/>
          </w:tcPr>
          <w:p w14:paraId="4E6E62BC">
            <w:pPr>
              <w:spacing w:before="80" w:after="80" w:line="360" w:lineRule="auto"/>
              <w:jc w:val="both"/>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Core Architectural Principle</w:t>
            </w:r>
          </w:p>
        </w:tc>
        <w:tc>
          <w:tcPr>
            <w:tcW w:w="4752" w:type="dxa"/>
            <w:shd w:val="clear" w:color="auto" w:fill="1B365D"/>
          </w:tcPr>
          <w:p w14:paraId="7DCF1A78">
            <w:pPr>
              <w:spacing w:before="80" w:after="80" w:line="360" w:lineRule="auto"/>
              <w:jc w:val="both"/>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Project Practical Implementation</w:t>
            </w:r>
          </w:p>
        </w:tc>
        <w:tc>
          <w:tcPr>
            <w:tcW w:w="1728" w:type="dxa"/>
            <w:shd w:val="clear" w:color="auto" w:fill="1B365D"/>
          </w:tcPr>
          <w:p w14:paraId="39469183">
            <w:pPr>
              <w:spacing w:before="80" w:after="80" w:line="360" w:lineRule="auto"/>
              <w:jc w:val="both"/>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Compliance Status</w:t>
            </w:r>
          </w:p>
        </w:tc>
      </w:tr>
      <w:tr w14:paraId="331164CE">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880" w:type="dxa"/>
          </w:tcPr>
          <w:p w14:paraId="3B76FED9">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Never Trust, Always Verify</w:t>
            </w:r>
          </w:p>
        </w:tc>
        <w:tc>
          <w:tcPr>
            <w:tcW w:w="4752" w:type="dxa"/>
          </w:tcPr>
          <w:p w14:paraId="5F3DEAB3">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Every access request demands explicit credential + TOTP MFA mapping.</w:t>
            </w:r>
          </w:p>
        </w:tc>
        <w:tc>
          <w:tcPr>
            <w:tcW w:w="1728" w:type="dxa"/>
          </w:tcPr>
          <w:p w14:paraId="2A8EB4CE">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Compliant</w:t>
            </w:r>
          </w:p>
        </w:tc>
      </w:tr>
      <w:tr w14:paraId="79F4C66E">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880" w:type="dxa"/>
            <w:shd w:val="clear" w:color="auto" w:fill="F4F6F9"/>
          </w:tcPr>
          <w:p w14:paraId="4C396FA4">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Least Privilege Access</w:t>
            </w:r>
          </w:p>
        </w:tc>
        <w:tc>
          <w:tcPr>
            <w:tcW w:w="4752" w:type="dxa"/>
            <w:shd w:val="clear" w:color="auto" w:fill="F4F6F9"/>
          </w:tcPr>
          <w:p w14:paraId="798AC586">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IAM identities use tightly scoped role rules avoiding asterisks.</w:t>
            </w:r>
          </w:p>
        </w:tc>
        <w:tc>
          <w:tcPr>
            <w:tcW w:w="1728" w:type="dxa"/>
            <w:shd w:val="clear" w:color="auto" w:fill="F4F6F9"/>
          </w:tcPr>
          <w:p w14:paraId="1D8753BA">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Compliant</w:t>
            </w:r>
          </w:p>
        </w:tc>
      </w:tr>
      <w:tr w14:paraId="388001DC">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880" w:type="dxa"/>
          </w:tcPr>
          <w:p w14:paraId="4D8DA960">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Micro-Segmentation</w:t>
            </w:r>
          </w:p>
        </w:tc>
        <w:tc>
          <w:tcPr>
            <w:tcW w:w="4752" w:type="dxa"/>
          </w:tcPr>
          <w:p w14:paraId="6DB267C5">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VPC structures utilize isolated subnets and strictly chained security groups.</w:t>
            </w:r>
          </w:p>
        </w:tc>
        <w:tc>
          <w:tcPr>
            <w:tcW w:w="1728" w:type="dxa"/>
          </w:tcPr>
          <w:p w14:paraId="47EDC64D">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Compliant</w:t>
            </w:r>
          </w:p>
        </w:tc>
      </w:tr>
      <w:tr w14:paraId="4918DAD3">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880" w:type="dxa"/>
            <w:shd w:val="clear" w:color="auto" w:fill="F4F6F9"/>
          </w:tcPr>
          <w:p w14:paraId="090C8F0D">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Continuous Monitoring</w:t>
            </w:r>
          </w:p>
        </w:tc>
        <w:tc>
          <w:tcPr>
            <w:tcW w:w="4752" w:type="dxa"/>
            <w:shd w:val="clear" w:color="auto" w:fill="F4F6F9"/>
          </w:tcPr>
          <w:p w14:paraId="029B0815">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Asynchronous platform scripts query real-time security state metrics.</w:t>
            </w:r>
          </w:p>
        </w:tc>
        <w:tc>
          <w:tcPr>
            <w:tcW w:w="1728" w:type="dxa"/>
            <w:shd w:val="clear" w:color="auto" w:fill="F4F6F9"/>
          </w:tcPr>
          <w:p w14:paraId="24B8A6AA">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Compliant</w:t>
            </w:r>
          </w:p>
        </w:tc>
      </w:tr>
      <w:tr w14:paraId="57272839">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PrEx>
        <w:trPr>
          <w:jc w:val="center"/>
        </w:trPr>
        <w:tc>
          <w:tcPr>
            <w:tcW w:w="2880" w:type="dxa"/>
          </w:tcPr>
          <w:p w14:paraId="1BD39FE9">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Assume Breach</w:t>
            </w:r>
          </w:p>
        </w:tc>
        <w:tc>
          <w:tcPr>
            <w:tcW w:w="4752" w:type="dxa"/>
          </w:tcPr>
          <w:p w14:paraId="3C84CEC3">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Short-lived tokens, aggressive session timeouts, and permanent audit trails.</w:t>
            </w:r>
          </w:p>
        </w:tc>
        <w:tc>
          <w:tcPr>
            <w:tcW w:w="1728" w:type="dxa"/>
          </w:tcPr>
          <w:p w14:paraId="42BCCB42">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Compliant</w:t>
            </w:r>
          </w:p>
        </w:tc>
      </w:tr>
      <w:tr w14:paraId="25392DA1">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rPr>
          <w:jc w:val="center"/>
        </w:trPr>
        <w:tc>
          <w:tcPr>
            <w:tcW w:w="2880" w:type="dxa"/>
            <w:shd w:val="clear" w:color="auto" w:fill="F4F6F9"/>
          </w:tcPr>
          <w:p w14:paraId="2F3A4F66">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Explicit Verification</w:t>
            </w:r>
          </w:p>
        </w:tc>
        <w:tc>
          <w:tcPr>
            <w:tcW w:w="4752" w:type="dxa"/>
            <w:shd w:val="clear" w:color="auto" w:fill="F4F6F9"/>
          </w:tcPr>
          <w:p w14:paraId="6CDE788D">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MFA validation parameters are forced across every discrete login lifecycle.</w:t>
            </w:r>
          </w:p>
        </w:tc>
        <w:tc>
          <w:tcPr>
            <w:tcW w:w="1728" w:type="dxa"/>
            <w:shd w:val="clear" w:color="auto" w:fill="F4F6F9"/>
          </w:tcPr>
          <w:p w14:paraId="690D1D87">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Compliant</w:t>
            </w:r>
          </w:p>
        </w:tc>
      </w:tr>
    </w:tbl>
    <w:p w14:paraId="68FA5CEA">
      <w:pPr>
        <w:spacing w:before="0" w:after="160" w:line="360" w:lineRule="auto"/>
        <w:jc w:val="both"/>
        <w:rPr>
          <w:color w:val="000000" w:themeColor="text1"/>
          <w14:textFill>
            <w14:solidFill>
              <w14:schemeClr w14:val="tx1"/>
            </w14:solidFill>
          </w14:textFill>
        </w:rPr>
      </w:pPr>
    </w:p>
    <w:p w14:paraId="4F6AD167">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AWS SERVICES USED</w:t>
      </w:r>
    </w:p>
    <w:tbl>
      <w:tblPr>
        <w:tblStyle w:val="12"/>
        <w:tblW w:w="0" w:type="auto"/>
        <w:tblInd w:w="0" w:type="dxa"/>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Layout w:type="fixed"/>
        <w:tblCellMar>
          <w:top w:w="120" w:type="dxa"/>
          <w:left w:w="180" w:type="dxa"/>
          <w:bottom w:w="120" w:type="dxa"/>
          <w:right w:w="180" w:type="dxa"/>
        </w:tblCellMar>
      </w:tblPr>
      <w:tblGrid>
        <w:gridCol w:w="3120"/>
        <w:gridCol w:w="3120"/>
        <w:gridCol w:w="3120"/>
      </w:tblGrid>
      <w:tr w14:paraId="4B8F9845">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shd w:val="clear" w:color="auto" w:fill="1B365D"/>
          </w:tcPr>
          <w:p w14:paraId="707209D7">
            <w:pPr>
              <w:spacing w:before="80" w:after="80" w:line="360" w:lineRule="auto"/>
              <w:jc w:val="both"/>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AWS Service</w:t>
            </w:r>
          </w:p>
        </w:tc>
        <w:tc>
          <w:tcPr>
            <w:tcW w:w="4608" w:type="dxa"/>
            <w:shd w:val="clear" w:color="auto" w:fill="1B365D"/>
          </w:tcPr>
          <w:p w14:paraId="558E1946">
            <w:pPr>
              <w:spacing w:before="80" w:after="80" w:line="360" w:lineRule="auto"/>
              <w:jc w:val="both"/>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Target Purpose within Architecture</w:t>
            </w:r>
          </w:p>
        </w:tc>
        <w:tc>
          <w:tcPr>
            <w:tcW w:w="2592" w:type="dxa"/>
            <w:shd w:val="clear" w:color="auto" w:fill="1B365D"/>
          </w:tcPr>
          <w:p w14:paraId="42A0B8E2">
            <w:pPr>
              <w:spacing w:before="80" w:after="80" w:line="360" w:lineRule="auto"/>
              <w:jc w:val="both"/>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Free Tier Eligibility</w:t>
            </w:r>
          </w:p>
        </w:tc>
      </w:tr>
      <w:tr w14:paraId="2C055516">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tcPr>
          <w:p w14:paraId="0982D3DF">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Amazon EC2</w:t>
            </w:r>
          </w:p>
        </w:tc>
        <w:tc>
          <w:tcPr>
            <w:tcW w:w="4608" w:type="dxa"/>
          </w:tcPr>
          <w:p w14:paraId="51993B32">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Hosts the primary web application portal and telemetry scripts.</w:t>
            </w:r>
          </w:p>
        </w:tc>
        <w:tc>
          <w:tcPr>
            <w:tcW w:w="2592" w:type="dxa"/>
          </w:tcPr>
          <w:p w14:paraId="0ED81E0E">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Covered (750 Hours Free)</w:t>
            </w:r>
          </w:p>
        </w:tc>
      </w:tr>
      <w:tr w14:paraId="4B8877C6">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shd w:val="clear" w:color="auto" w:fill="F4F6F9"/>
          </w:tcPr>
          <w:p w14:paraId="51E88E3D">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Amazon VPC</w:t>
            </w:r>
          </w:p>
        </w:tc>
        <w:tc>
          <w:tcPr>
            <w:tcW w:w="4608" w:type="dxa"/>
            <w:shd w:val="clear" w:color="auto" w:fill="F4F6F9"/>
          </w:tcPr>
          <w:p w14:paraId="45F31CDE">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xml:space="preserve">Ensures strict logical network </w:t>
            </w:r>
          </w:p>
        </w:tc>
        <w:tc>
          <w:tcPr>
            <w:tcW w:w="2592" w:type="dxa"/>
            <w:shd w:val="clear" w:color="auto" w:fill="F4F6F9"/>
          </w:tcPr>
          <w:p w14:paraId="3D51CF67">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Covered (Always Free)</w:t>
            </w:r>
          </w:p>
        </w:tc>
      </w:tr>
      <w:tr w14:paraId="75B0A2A1">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tcPr>
          <w:p w14:paraId="67C6F27D">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IAM</w:t>
            </w:r>
          </w:p>
        </w:tc>
        <w:tc>
          <w:tcPr>
            <w:tcW w:w="4608" w:type="dxa"/>
          </w:tcPr>
          <w:p w14:paraId="59016373">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Orchestrates access permissions and identity policies.</w:t>
            </w:r>
          </w:p>
        </w:tc>
        <w:tc>
          <w:tcPr>
            <w:tcW w:w="2592" w:type="dxa"/>
          </w:tcPr>
          <w:p w14:paraId="2453EF82">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Covered (Always Free)</w:t>
            </w:r>
          </w:p>
        </w:tc>
      </w:tr>
      <w:tr w14:paraId="030A682B">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shd w:val="clear" w:color="auto" w:fill="F4F6F9"/>
          </w:tcPr>
          <w:p w14:paraId="34F1DC46">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AWS CloudTrail</w:t>
            </w:r>
          </w:p>
        </w:tc>
        <w:tc>
          <w:tcPr>
            <w:tcW w:w="4608" w:type="dxa"/>
            <w:shd w:val="clear" w:color="auto" w:fill="F4F6F9"/>
          </w:tcPr>
          <w:p w14:paraId="090BBE4C">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Records comprehensive control-plane API audit logs.</w:t>
            </w:r>
          </w:p>
        </w:tc>
        <w:tc>
          <w:tcPr>
            <w:tcW w:w="2592" w:type="dxa"/>
            <w:shd w:val="clear" w:color="auto" w:fill="F4F6F9"/>
          </w:tcPr>
          <w:p w14:paraId="271AFB52">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Covered (First Trail Free)</w:t>
            </w:r>
          </w:p>
        </w:tc>
      </w:tr>
      <w:tr w14:paraId="375D7A30">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tcPr>
          <w:p w14:paraId="72504AE6">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Amazon GuardDuty</w:t>
            </w:r>
          </w:p>
        </w:tc>
        <w:tc>
          <w:tcPr>
            <w:tcW w:w="4608" w:type="dxa"/>
          </w:tcPr>
          <w:p w14:paraId="39C0E35D">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Provides real-time threat detection across log streams.</w:t>
            </w:r>
          </w:p>
        </w:tc>
        <w:tc>
          <w:tcPr>
            <w:tcW w:w="2592" w:type="dxa"/>
          </w:tcPr>
          <w:p w14:paraId="34BFBDC4">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Covered (30-day Free Trial)</w:t>
            </w:r>
          </w:p>
        </w:tc>
      </w:tr>
      <w:tr w14:paraId="2827DCE1">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shd w:val="clear" w:color="auto" w:fill="F4F6F9"/>
          </w:tcPr>
          <w:p w14:paraId="6B31A5F8">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Amazon S3</w:t>
            </w:r>
          </w:p>
        </w:tc>
        <w:tc>
          <w:tcPr>
            <w:tcW w:w="4608" w:type="dxa"/>
            <w:shd w:val="clear" w:color="auto" w:fill="F4F6F9"/>
          </w:tcPr>
          <w:p w14:paraId="30245055">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Acts as an immutable repository for security event logs.</w:t>
            </w:r>
          </w:p>
        </w:tc>
        <w:tc>
          <w:tcPr>
            <w:tcW w:w="2592" w:type="dxa"/>
            <w:shd w:val="clear" w:color="auto" w:fill="F4F6F9"/>
          </w:tcPr>
          <w:p w14:paraId="1C924C49">
            <w:pPr>
              <w:spacing w:before="80" w:after="80" w:line="360" w:lineRule="auto"/>
              <w:jc w:val="both"/>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 Covered (5 GB Free Storage)</w:t>
            </w:r>
          </w:p>
        </w:tc>
      </w:tr>
    </w:tbl>
    <w:p w14:paraId="0485845E">
      <w:pPr>
        <w:spacing w:before="0" w:after="160" w:line="360" w:lineRule="auto"/>
        <w:jc w:val="both"/>
        <w:rPr>
          <w:color w:val="000000" w:themeColor="text1"/>
          <w14:textFill>
            <w14:solidFill>
              <w14:schemeClr w14:val="tx1"/>
            </w14:solidFill>
          </w14:textFill>
        </w:rPr>
      </w:pPr>
    </w:p>
    <w:p w14:paraId="773E79B1">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LIVE ENTERPRISE DEMO ACCESS</w:t>
      </w:r>
    </w:p>
    <w:p w14:paraId="49DAC308">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fully deployed environment can be audited live via the public endpoint URL below:</w:t>
      </w:r>
    </w:p>
    <w:p w14:paraId="06C07BBE">
      <w:pPr>
        <w:spacing w:before="0" w:after="120" w:line="360" w:lineRule="auto"/>
        <w:jc w:val="both"/>
        <w:rPr>
          <w:rFonts w:hint="default"/>
          <w:color w:val="000000" w:themeColor="text1"/>
          <w:lang w:val="en-US"/>
          <w14:textFill>
            <w14:solidFill>
              <w14:schemeClr w14:val="tx1"/>
            </w14:solidFill>
          </w14:textFill>
        </w:rPr>
      </w:pPr>
      <w:r>
        <w:rPr>
          <w:rFonts w:ascii="Arial" w:hAnsi="Arial"/>
          <w:color w:val="000000" w:themeColor="text1"/>
          <w:sz w:val="21"/>
          <w14:textFill>
            <w14:solidFill>
              <w14:schemeClr w14:val="tx1"/>
            </w14:solidFill>
          </w14:textFill>
        </w:rPr>
        <w:t xml:space="preserve">URL Address Target: </w:t>
      </w:r>
      <w:bookmarkStart w:id="0" w:name="_GoBack"/>
      <w:r>
        <w:rPr>
          <w:rFonts w:ascii="Arial" w:hAnsi="Arial"/>
          <w:color w:val="000000" w:themeColor="text1"/>
          <w:sz w:val="21"/>
          <w14:textFill>
            <w14:solidFill>
              <w14:schemeClr w14:val="tx1"/>
            </w14:solidFill>
          </w14:textFill>
        </w:rPr>
        <w:t>http://</w:t>
      </w:r>
      <w:r>
        <w:rPr>
          <w:rFonts w:hint="default"/>
          <w:color w:val="000000" w:themeColor="text1"/>
          <w:sz w:val="21"/>
          <w:lang w:val="en-US"/>
          <w14:textFill>
            <w14:solidFill>
              <w14:schemeClr w14:val="tx1"/>
            </w14:solidFill>
          </w14:textFill>
        </w:rPr>
        <w:t>13.63.166.9</w:t>
      </w:r>
      <w:bookmarkEnd w:id="0"/>
    </w:p>
    <w:tbl>
      <w:tblPr>
        <w:tblStyle w:val="12"/>
        <w:tblW w:w="0" w:type="auto"/>
        <w:tblInd w:w="0" w:type="dxa"/>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Layout w:type="fixed"/>
        <w:tblCellMar>
          <w:top w:w="120" w:type="dxa"/>
          <w:left w:w="180" w:type="dxa"/>
          <w:bottom w:w="120" w:type="dxa"/>
          <w:right w:w="180" w:type="dxa"/>
        </w:tblCellMar>
      </w:tblPr>
      <w:tblGrid>
        <w:gridCol w:w="3120"/>
        <w:gridCol w:w="3120"/>
        <w:gridCol w:w="3120"/>
      </w:tblGrid>
      <w:tr w14:paraId="271FD313">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shd w:val="clear" w:color="auto" w:fill="1B365D"/>
          </w:tcPr>
          <w:p w14:paraId="180A995A">
            <w:pPr>
              <w:spacing w:before="80" w:after="80" w:line="360" w:lineRule="auto"/>
              <w:jc w:val="left"/>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Target Username</w:t>
            </w:r>
          </w:p>
        </w:tc>
        <w:tc>
          <w:tcPr>
            <w:tcW w:w="2880" w:type="dxa"/>
            <w:shd w:val="clear" w:color="auto" w:fill="1B365D"/>
          </w:tcPr>
          <w:p w14:paraId="1F80A768">
            <w:pPr>
              <w:spacing w:before="80" w:after="80" w:line="360" w:lineRule="auto"/>
              <w:jc w:val="left"/>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Baseline Password Asset</w:t>
            </w:r>
          </w:p>
        </w:tc>
        <w:tc>
          <w:tcPr>
            <w:tcW w:w="4320" w:type="dxa"/>
            <w:shd w:val="clear" w:color="auto" w:fill="1B365D"/>
          </w:tcPr>
          <w:p w14:paraId="6CB4E7A7">
            <w:pPr>
              <w:spacing w:before="80" w:after="80" w:line="360" w:lineRule="auto"/>
              <w:jc w:val="left"/>
              <w:rPr>
                <w:color w:val="000000" w:themeColor="text1"/>
                <w14:textFill>
                  <w14:solidFill>
                    <w14:schemeClr w14:val="tx1"/>
                  </w14:solidFill>
                </w14:textFill>
              </w:rPr>
            </w:pPr>
            <w:r>
              <w:rPr>
                <w:rFonts w:ascii="Arial" w:hAnsi="Arial"/>
                <w:b/>
                <w:color w:val="000000" w:themeColor="text1"/>
                <w:sz w:val="19"/>
                <w14:textFill>
                  <w14:solidFill>
                    <w14:schemeClr w14:val="tx1"/>
                  </w14:solidFill>
                </w14:textFill>
              </w:rPr>
              <w:t>Assigned RBAC Authorization Profile</w:t>
            </w:r>
          </w:p>
        </w:tc>
      </w:tr>
      <w:tr w14:paraId="304E9A3D">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tcPr>
          <w:p w14:paraId="312C14DC">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admin</w:t>
            </w:r>
          </w:p>
        </w:tc>
        <w:tc>
          <w:tcPr>
            <w:tcW w:w="2880" w:type="dxa"/>
          </w:tcPr>
          <w:p w14:paraId="1C85005E">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ZeroTrust2026!</w:t>
            </w:r>
          </w:p>
        </w:tc>
        <w:tc>
          <w:tcPr>
            <w:tcW w:w="4320" w:type="dxa"/>
          </w:tcPr>
          <w:p w14:paraId="290A8645">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Full Corporate Administrator Role</w:t>
            </w:r>
          </w:p>
        </w:tc>
      </w:tr>
      <w:tr w14:paraId="2FF1F82F">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shd w:val="clear" w:color="auto" w:fill="F4F6F9"/>
          </w:tcPr>
          <w:p w14:paraId="19D7A545">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analyst</w:t>
            </w:r>
          </w:p>
        </w:tc>
        <w:tc>
          <w:tcPr>
            <w:tcW w:w="2880" w:type="dxa"/>
            <w:shd w:val="clear" w:color="auto" w:fill="F4F6F9"/>
          </w:tcPr>
          <w:p w14:paraId="4C4FC402">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Security2026!</w:t>
            </w:r>
          </w:p>
        </w:tc>
        <w:tc>
          <w:tcPr>
            <w:tcW w:w="4320" w:type="dxa"/>
            <w:shd w:val="clear" w:color="auto" w:fill="F4F6F9"/>
          </w:tcPr>
          <w:p w14:paraId="4BD18DE9">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Read-Only Security Analyst Profile</w:t>
            </w:r>
          </w:p>
        </w:tc>
      </w:tr>
      <w:tr w14:paraId="76A7DF0E">
        <w:tblPrEx>
          <w:tblBorders>
            <w:top w:val="single" w:color="D1D5DB" w:sz="4" w:space="0"/>
            <w:left w:val="none" w:color="auto" w:sz="0" w:space="0"/>
            <w:bottom w:val="single" w:color="1B365D" w:sz="6" w:space="0"/>
            <w:right w:val="none" w:color="auto" w:sz="0" w:space="0"/>
            <w:insideH w:val="single" w:color="D1D5DB" w:sz="4" w:space="0"/>
            <w:insideV w:val="none" w:color="auto" w:sz="0" w:space="0"/>
          </w:tblBorders>
          <w:tblCellMar>
            <w:top w:w="120" w:type="dxa"/>
            <w:left w:w="180" w:type="dxa"/>
            <w:bottom w:w="120" w:type="dxa"/>
            <w:right w:w="180" w:type="dxa"/>
          </w:tblCellMar>
        </w:tblPrEx>
        <w:tc>
          <w:tcPr>
            <w:tcW w:w="2160" w:type="dxa"/>
          </w:tcPr>
          <w:p w14:paraId="5A9DBEB9">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auditor</w:t>
            </w:r>
          </w:p>
        </w:tc>
        <w:tc>
          <w:tcPr>
            <w:tcW w:w="2880" w:type="dxa"/>
          </w:tcPr>
          <w:p w14:paraId="05100FBC">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Audit2026!</w:t>
            </w:r>
          </w:p>
        </w:tc>
        <w:tc>
          <w:tcPr>
            <w:tcW w:w="4320" w:type="dxa"/>
          </w:tcPr>
          <w:p w14:paraId="72E0FB11">
            <w:pPr>
              <w:spacing w:before="80" w:after="80" w:line="360" w:lineRule="auto"/>
              <w:jc w:val="left"/>
              <w:rPr>
                <w:color w:val="000000" w:themeColor="text1"/>
                <w14:textFill>
                  <w14:solidFill>
                    <w14:schemeClr w14:val="tx1"/>
                  </w14:solidFill>
                </w14:textFill>
              </w:rPr>
            </w:pPr>
            <w:r>
              <w:rPr>
                <w:rFonts w:ascii="Arial" w:hAnsi="Arial"/>
                <w:color w:val="000000" w:themeColor="text1"/>
                <w:sz w:val="18"/>
                <w14:textFill>
                  <w14:solidFill>
                    <w14:schemeClr w14:val="tx1"/>
                  </w14:solidFill>
                </w14:textFill>
              </w:rPr>
              <w:t>Compliance Auditor Verification Profile</w:t>
            </w:r>
          </w:p>
        </w:tc>
      </w:tr>
    </w:tbl>
    <w:p w14:paraId="4EA61636">
      <w:pPr>
        <w:spacing w:before="0" w:after="160" w:line="360" w:lineRule="auto"/>
        <w:jc w:val="both"/>
        <w:rPr>
          <w:color w:val="000000" w:themeColor="text1"/>
          <w14:textFill>
            <w14:solidFill>
              <w14:schemeClr w14:val="tx1"/>
            </w14:solidFill>
          </w14:textFill>
        </w:rPr>
      </w:pPr>
    </w:p>
    <w:p w14:paraId="12752ADD">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Verification Note: The multi-factor authentication validation key is generated dynamically and displayed on the initial web portal login interface (rotating on a standard 30-second loop).</w:t>
      </w:r>
    </w:p>
    <w:p w14:paraId="466E760A">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CONCLUSION</w:t>
      </w:r>
    </w:p>
    <w:p w14:paraId="6E17C74A">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The Zero Trust Cloud Security Framework has been successfully deployed and verified on AWS. This project provides a practical model for key cloud security concepts: robust multi-factor identity checks, granular network segmentation, continuous resource auditing, proactive session tracking, and tamper-resistant audit trails. The resulting architecture serves as a baseline for deploying secure cloud infrastructure workflows.</w:t>
      </w:r>
    </w:p>
    <w:p w14:paraId="426E25F1">
      <w:pPr>
        <w:pStyle w:val="2"/>
        <w:keepNext/>
        <w:spacing w:before="400" w:after="160" w:line="360" w:lineRule="auto"/>
        <w:jc w:val="both"/>
        <w:rPr>
          <w:color w:val="000000" w:themeColor="text1"/>
          <w14:textFill>
            <w14:solidFill>
              <w14:schemeClr w14:val="tx1"/>
            </w14:solidFill>
          </w14:textFill>
        </w:rPr>
      </w:pPr>
      <w:r>
        <w:rPr>
          <w:rFonts w:ascii="Arial" w:hAnsi="Arial"/>
          <w:b/>
          <w:color w:val="000000" w:themeColor="text1"/>
          <w:sz w:val="30"/>
          <w14:textFill>
            <w14:solidFill>
              <w14:schemeClr w14:val="tx1"/>
            </w14:solidFill>
          </w14:textFill>
        </w:rPr>
        <w:t>REFERENCES</w:t>
      </w:r>
    </w:p>
    <w:p w14:paraId="6CF57F6D">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 NIST Special Publication 800-207: Zero Trust Architecture Design Frameworks</w:t>
      </w:r>
    </w:p>
    <w:p w14:paraId="1420E620">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 AWS Well-Architected Framework - Core Cloud Security Pillar Guidelines</w:t>
      </w:r>
    </w:p>
    <w:p w14:paraId="505EF669">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 AWS Free Tier Limits and Structural Eligibility General Matrix</w:t>
      </w:r>
    </w:p>
    <w:p w14:paraId="7B61C5AB">
      <w:pPr>
        <w:spacing w:before="0" w:after="120" w:line="360" w:lineRule="auto"/>
        <w:jc w:val="both"/>
        <w:rPr>
          <w:color w:val="000000" w:themeColor="text1"/>
          <w14:textFill>
            <w14:solidFill>
              <w14:schemeClr w14:val="tx1"/>
            </w14:solidFill>
          </w14:textFill>
        </w:rPr>
      </w:pPr>
      <w:r>
        <w:rPr>
          <w:rFonts w:ascii="Arial" w:hAnsi="Arial"/>
          <w:color w:val="000000" w:themeColor="text1"/>
          <w:sz w:val="21"/>
          <w14:textFill>
            <w14:solidFill>
              <w14:schemeClr w14:val="tx1"/>
            </w14:solidFill>
          </w14:textFill>
        </w:rPr>
        <w:t>• OWASP Session Management Guidelines and Cryptographic Token Practices</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90E7A">
    <w:pPr>
      <w:tabs>
        <w:tab w:val="left" w:pos="8200"/>
      </w:tabs>
      <w:spacing w:after="0" w:line="240" w:lineRule="auto"/>
      <w:ind w:left="0" w:leftChars="0" w:firstLine="0" w:firstLineChars="0"/>
      <w:rPr>
        <w:rFonts w:ascii="Times New Roman" w:hAnsi="Times New Roman" w:eastAsia="Times New Roman" w:cs="Times New Roman"/>
        <w:b/>
        <w:color w:val="000000"/>
        <w:sz w:val="24"/>
        <w:szCs w:val="24"/>
        <w:u w:val="single"/>
      </w:rPr>
    </w:pPr>
    <w:r>
      <w:rPr>
        <w:rFonts w:hint="default" w:ascii="Times New Roman" w:hAnsi="Times New Roman" w:eastAsia="Times New Roman" w:cs="Times New Roman"/>
        <w:b/>
        <w:color w:val="000000"/>
        <w:sz w:val="24"/>
        <w:szCs w:val="24"/>
        <w:u w:val="single"/>
        <w:lang w:val="en-US"/>
      </w:rPr>
      <w:t xml:space="preserve">Cloud Security Lab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Project Report</w:t>
    </w:r>
    <w:r>
      <w:rPr>
        <w:rFonts w:ascii="Times New Roman" w:hAnsi="Times New Roman" w:eastAsia="Times New Roman" w:cs="Times New Roman"/>
        <w:b/>
        <w:color w:val="000000"/>
        <w:sz w:val="24"/>
        <w:szCs w:val="24"/>
        <w:u w:val="single"/>
      </w:rPr>
      <w:t xml:space="preserve"> </w:t>
    </w:r>
  </w:p>
  <w:p w14:paraId="0C3469A7">
    <w:pPr>
      <w:tabs>
        <w:tab w:val="left" w:pos="8800"/>
      </w:tabs>
      <w:spacing w:after="0" w:line="240" w:lineRule="auto"/>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p w14:paraId="4219A031">
    <w:pPr>
      <w:pStyle w:val="19"/>
    </w:pPr>
  </w:p>
  <w:p w14:paraId="6E85AA6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F395F"/>
    <w:rsid w:val="080844E5"/>
    <w:rsid w:val="0CC2164E"/>
    <w:rsid w:val="15847282"/>
    <w:rsid w:val="18D577D8"/>
    <w:rsid w:val="1F905E56"/>
    <w:rsid w:val="20AB0B34"/>
    <w:rsid w:val="257F2180"/>
    <w:rsid w:val="40A6021E"/>
    <w:rsid w:val="58896EB8"/>
    <w:rsid w:val="610E79A4"/>
    <w:rsid w:val="6528717A"/>
    <w:rsid w:val="67DA7F7B"/>
    <w:rsid w:val="6C270A6A"/>
    <w:rsid w:val="70AE6D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2</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WPS_1744453629</cp:lastModifiedBy>
  <dcterms:modified xsi:type="dcterms:W3CDTF">2026-06-24T14:58:56Z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DEF4C87440174D029B04C1A085AB52D8_13</vt:lpwstr>
  </property>
</Properties>
</file>