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b68276c02ac92fc659b04afe8d03257c964b7ef"/>
    <w:p>
      <w:pPr>
        <w:pBdr>
          <w:bottom w:val="single" w:sz="144" w:space="1" w:color="000000"/>
        </w:pBdr>
      </w:pPr>
    </w:p>
    <w:p>
      <w:pPr>
        <w:spacing w:before="120"/>
        <w:jc w:val="both"/>
      </w:pPr>
      <w:r>
        <w:rPr>
          <w:rFonts w:ascii="Segoe UI" w:hAnsi="Segoe UI"/>
          <w:color w:val="000000"/>
          <w:sz w:val="44"/>
        </w:rPr>
        <w:t>Analytics Deployment (Microsoft Fabric)</w:t>
      </w:r>
    </w:p>
    <w:p>
      <w:pPr>
        <w:spacing w:before="480"/>
        <w:jc w:val="both"/>
      </w:pPr>
      <w:r>
        <w:rPr>
          <w:rFonts w:ascii="Segoe UI" w:hAnsi="Segoe UI"/>
          <w:color w:val="000000"/>
          <w:sz w:val="44"/>
        </w:rPr>
        <w:t>Planning &amp; Design Document</w:t>
      </w:r>
    </w:p>
    <w:p>
      <w:pPr>
        <w:spacing w:before="800"/>
      </w:pPr>
      <w:r>
        <w:rPr>
          <w:rFonts w:ascii="Segoe UI" w:hAnsi="Segoe UI"/>
          <w:sz w:val="22"/>
        </w:rPr>
        <w:drawing>
          <wp:inline>
            <wp:extent cx="1098373" cy="1371600"/>
            <wp:docPr id="87" name="Picture 87"/>
            <wp:cNvGraphicFramePr>
              <a:graphicFrameLocks noChangeAspect="1"/>
            </wp:cNvGraphicFramePr>
            <a:graphic>
              <a:graphicData uri="http://schemas.openxmlformats.org/drawingml/2006/picture">
                <pic:pic>
                  <pic:nvPicPr>
                    <pic:cNvPr id="0" name="sirim-logo.png"/>
                    <pic:cNvPicPr/>
                  </pic:nvPicPr>
                  <pic:blipFill>
                    <a:blip r:embed="rId1"/>
                    <a:stretch>
                      <a:fillRect/>
                    </a:stretch>
                  </pic:blipFill>
                  <pic:spPr>
                    <a:xfrm>
                      <a:off x="0" y="0"/>
                      <a:ext cx="1098373" cy="1371600"/>
                    </a:xfrm>
                    <a:prstGeom prst="rect"/>
                  </pic:spPr>
                </pic:pic>
              </a:graphicData>
            </a:graphic>
          </wp:inline>
        </w:drawing>
      </w:r>
    </w:p>
    <w:p/>
    <w:p/>
    <w:p/>
    <w:p/>
    <w:p>
      <w:pPr>
        <w:pBdr>
          <w:bottom w:val="single" w:sz="8" w:space="1" w:color="000000"/>
        </w:pBdr>
      </w:pPr>
    </w:p>
    <w:p>
      <w:pPr>
        <w:spacing w:before="120"/>
        <w:jc w:val="both"/>
      </w:pPr>
      <w:r>
        <w:rPr>
          <w:rFonts w:ascii="Segoe UI" w:hAnsi="Segoe UI"/>
          <w:b/>
          <w:sz w:val="22"/>
        </w:rPr>
        <w:t>Abstract</w:t>
      </w:r>
    </w:p>
    <w:p>
      <w:pPr>
        <w:spacing w:before="120"/>
        <w:jc w:val="both"/>
      </w:pPr>
      <w:r>
        <w:rPr>
          <w:rFonts w:ascii="Segoe UI" w:hAnsi="Segoe UI"/>
          <w:sz w:val="22"/>
        </w:rPr>
        <w:t>This document defines the Planning and Design for SIRIM Analytics Deployment (Microsoft Fabric) project.</w:t>
      </w:r>
    </w:p>
    <w:p/>
    <w:p/>
    <w:p>
      <w:pPr>
        <w:jc w:val="both"/>
      </w:pPr>
      <w:r>
        <w:rPr>
          <w:rFonts w:ascii="Segoe UI" w:hAnsi="Segoe UI"/>
          <w:sz w:val="22"/>
        </w:rPr>
        <w:t>Prepared By</w:t>
      </w:r>
    </w:p>
    <w:p>
      <w:pPr>
        <w:spacing w:before="200"/>
      </w:pPr>
      <w:r>
        <w:rPr>
          <w:rFonts w:ascii="Segoe UI" w:hAnsi="Segoe UI"/>
          <w:sz w:val="22"/>
        </w:rPr>
        <w:drawing>
          <wp:inline>
            <wp:extent cx="1371600" cy="312516"/>
            <wp:docPr id="88" name="Picture 88"/>
            <wp:cNvGraphicFramePr>
              <a:graphicFrameLocks noChangeAspect="1"/>
            </wp:cNvGraphicFramePr>
            <a:graphic>
              <a:graphicData uri="http://schemas.openxmlformats.org/drawingml/2006/picture">
                <pic:pic>
                  <pic:nvPicPr>
                    <pic:cNvPr id="0" name="enfrasys-logo.jpg"/>
                    <pic:cNvPicPr/>
                  </pic:nvPicPr>
                  <pic:blipFill>
                    <a:blip r:embed="rId2"/>
                    <a:stretch>
                      <a:fillRect/>
                    </a:stretch>
                  </pic:blipFill>
                  <pic:spPr>
                    <a:xfrm>
                      <a:off x="0" y="0"/>
                      <a:ext cx="1371600" cy="312516"/>
                    </a:xfrm>
                    <a:prstGeom prst="rect"/>
                  </pic:spPr>
                </pic:pic>
              </a:graphicData>
            </a:graphic>
          </wp:inline>
        </w:drawing>
      </w:r>
    </w:p>
    <w:p>
      <w:r>
        <w:rPr>
          <w:rFonts w:ascii="Segoe UI" w:hAnsi="Segoe UI"/>
          <w:sz w:val="22"/>
        </w:rPr>
        <w:br w:type="page"/>
      </w:r>
    </w:p>
    <w:p>
      <w:pPr>
        <w:jc w:val="both"/>
      </w:pPr>
      <w:r>
        <w:rPr>
          <w:rFonts w:ascii="Segoe UI" w:hAnsi="Segoe UI"/>
          <w:b/>
          <w:sz w:val="28"/>
        </w:rPr>
        <w:t>Change Record</w:t>
      </w:r>
    </w:p>
    <w:tbl>
      <w:tblPr>
        <w:tblStyle w:val="GridTable4-Accent11"/>
        <w:tblW w:type="auto" w:w="0"/>
        <w:tblLayout w:type="autofit"/>
        <w:tblLook w:firstColumn="1" w:firstRow="1" w:lastColumn="0" w:lastRow="0" w:noHBand="0" w:noVBand="1" w:val="04A0"/>
      </w:tblPr>
      <w:tblGrid>
        <w:gridCol w:w="2256"/>
        <w:gridCol w:w="2256"/>
        <w:gridCol w:w="2256"/>
        <w:gridCol w:w="2256"/>
      </w:tblGrid>
      <w:tr>
        <w:tc>
          <w:tcPr>
            <w:tcW w:type="dxa" w:w="2256"/>
          </w:tcPr>
          <w:p>
            <w:r>
              <w:rPr>
                <w:rFonts w:ascii="Segoe UI" w:hAnsi="Segoe UI"/>
                <w:sz w:val="22"/>
              </w:rPr>
              <w:t>Date</w:t>
            </w:r>
          </w:p>
        </w:tc>
        <w:tc>
          <w:tcPr>
            <w:tcW w:type="dxa" w:w="2256"/>
          </w:tcPr>
          <w:p>
            <w:r>
              <w:rPr>
                <w:rFonts w:ascii="Segoe UI" w:hAnsi="Segoe UI"/>
                <w:sz w:val="22"/>
              </w:rPr>
              <w:t>Author</w:t>
            </w:r>
          </w:p>
        </w:tc>
        <w:tc>
          <w:tcPr>
            <w:tcW w:type="dxa" w:w="2256"/>
          </w:tcPr>
          <w:p>
            <w:r>
              <w:rPr>
                <w:rFonts w:ascii="Segoe UI" w:hAnsi="Segoe UI"/>
                <w:sz w:val="22"/>
              </w:rPr>
              <w:t>Version</w:t>
            </w:r>
          </w:p>
        </w:tc>
        <w:tc>
          <w:tcPr>
            <w:tcW w:type="dxa" w:w="2256"/>
          </w:tcPr>
          <w:p>
            <w:r>
              <w:rPr>
                <w:rFonts w:ascii="Segoe UI" w:hAnsi="Segoe UI"/>
                <w:sz w:val="22"/>
              </w:rPr>
              <w:t>Change Reference</w:t>
            </w:r>
          </w:p>
        </w:tc>
      </w:tr>
      <w:tr>
        <w:tc>
          <w:tcPr>
            <w:tcW w:type="dxa" w:w="2256"/>
          </w:tcPr>
          <w:p>
            <w:r>
              <w:rPr>
                <w:rFonts w:ascii="Segoe UI" w:hAnsi="Segoe UI"/>
                <w:sz w:val="22"/>
              </w:rPr>
              <w:t>[change-record-date]</w:t>
            </w:r>
          </w:p>
        </w:tc>
        <w:tc>
          <w:tcPr>
            <w:tcW w:type="dxa" w:w="2256"/>
          </w:tcPr>
          <w:p>
            <w:r>
              <w:rPr>
                <w:rFonts w:ascii="Segoe UI" w:hAnsi="Segoe UI"/>
                <w:sz w:val="22"/>
              </w:rPr>
              <w:t>[change-record-author]</w:t>
            </w:r>
          </w:p>
        </w:tc>
        <w:tc>
          <w:tcPr>
            <w:tcW w:type="dxa" w:w="2256"/>
          </w:tcPr>
          <w:p>
            <w:r>
              <w:rPr>
                <w:rFonts w:ascii="Segoe UI" w:hAnsi="Segoe UI"/>
                <w:sz w:val="22"/>
              </w:rPr>
              <w:t>[change-record-version]</w:t>
            </w:r>
          </w:p>
        </w:tc>
        <w:tc>
          <w:tcPr>
            <w:tcW w:type="dxa" w:w="2256"/>
          </w:tcPr>
          <w:p>
            <w:r>
              <w:rPr>
                <w:rFonts w:ascii="Segoe UI" w:hAnsi="Segoe UI"/>
                <w:sz w:val="22"/>
              </w:rPr>
              <w:t>[change-record-reference]</w:t>
            </w:r>
          </w:p>
        </w:tc>
      </w:tr>
      <w:tr>
        <w:tc>
          <w:tcPr>
            <w:tcW w:type="dxa" w:w="2256"/>
          </w:tcPr>
          <w:p/>
        </w:tc>
        <w:tc>
          <w:tcPr>
            <w:tcW w:type="dxa" w:w="2256"/>
          </w:tcPr>
          <w:p/>
        </w:tc>
        <w:tc>
          <w:tcPr>
            <w:tcW w:type="dxa" w:w="2256"/>
          </w:tcPr>
          <w:p/>
        </w:tc>
        <w:tc>
          <w:tcPr>
            <w:tcW w:type="dxa" w:w="2256"/>
          </w:tcPr>
          <w:p/>
        </w:tc>
      </w:tr>
    </w:tbl>
    <w:p>
      <w:pPr>
        <w:spacing w:before="240"/>
      </w:pPr>
    </w:p>
    <w:p>
      <w:pPr>
        <w:jc w:val="both"/>
      </w:pPr>
      <w:r>
        <w:rPr>
          <w:rFonts w:ascii="Segoe UI" w:hAnsi="Segoe UI"/>
          <w:b/>
          <w:sz w:val="28"/>
        </w:rPr>
        <w:t>Distribution List</w:t>
      </w:r>
    </w:p>
    <w:tbl>
      <w:tblPr>
        <w:tblStyle w:val="GridTable4-Accent11"/>
        <w:tblW w:type="auto" w:w="0"/>
        <w:tblLayout w:type="autofit"/>
        <w:tblLook w:firstColumn="1" w:firstRow="1" w:lastColumn="0" w:lastRow="0" w:noHBand="0" w:noVBand="1" w:val="04A0"/>
      </w:tblPr>
      <w:tblGrid>
        <w:gridCol w:w="4513"/>
        <w:gridCol w:w="4513"/>
      </w:tblGrid>
      <w:tr>
        <w:tc>
          <w:tcPr>
            <w:tcW w:type="dxa" w:w="4513"/>
          </w:tcPr>
          <w:p>
            <w:r>
              <w:rPr>
                <w:rFonts w:ascii="Segoe UI" w:hAnsi="Segoe UI"/>
                <w:sz w:val="22"/>
              </w:rPr>
              <w:t>Name</w:t>
            </w:r>
          </w:p>
        </w:tc>
        <w:tc>
          <w:tcPr>
            <w:tcW w:type="dxa" w:w="4513"/>
          </w:tcPr>
          <w:p>
            <w:r>
              <w:rPr>
                <w:rFonts w:ascii="Segoe UI" w:hAnsi="Segoe UI"/>
                <w:sz w:val="22"/>
              </w:rPr>
              <w:t>Position/ Team</w:t>
            </w:r>
          </w:p>
        </w:tc>
      </w:tr>
      <w:tr>
        <w:tc>
          <w:tcPr>
            <w:tcW w:type="dxa" w:w="4513"/>
          </w:tcPr>
          <w:p>
            <w:r>
              <w:rPr>
                <w:rFonts w:ascii="Segoe UI" w:hAnsi="Segoe UI"/>
                <w:sz w:val="22"/>
              </w:rPr>
              <w:t>[Client/Entity/Company Name]</w:t>
            </w:r>
          </w:p>
        </w:tc>
        <w:tc>
          <w:tcPr>
            <w:tcW w:type="dxa" w:w="4513"/>
          </w:tcPr>
          <w:p>
            <w:r>
              <w:rPr>
                <w:rFonts w:ascii="Segoe UI" w:hAnsi="Segoe UI"/>
                <w:sz w:val="22"/>
              </w:rPr>
              <w:t>[Client/Entity/Company Position]</w:t>
            </w:r>
          </w:p>
        </w:tc>
      </w:tr>
      <w:tr>
        <w:tc>
          <w:tcPr>
            <w:tcW w:type="dxa" w:w="4513"/>
          </w:tcPr>
          <w:p>
            <w:r>
              <w:rPr>
                <w:rFonts w:ascii="Segoe UI" w:hAnsi="Segoe UI"/>
                <w:sz w:val="22"/>
              </w:rPr>
            </w:r>
          </w:p>
        </w:tc>
        <w:tc>
          <w:tcPr>
            <w:tcW w:type="dxa" w:w="4513"/>
          </w:tcPr>
          <w:p>
            <w:r>
              <w:rPr>
                <w:rFonts w:ascii="Segoe UI" w:hAnsi="Segoe UI"/>
                <w:sz w:val="22"/>
              </w:rPr>
            </w:r>
          </w:p>
        </w:tc>
      </w:tr>
    </w:tbl>
    <w:p>
      <w:pPr>
        <w:spacing w:before="480"/>
      </w:pPr>
    </w:p>
    <w:p>
      <w:pPr>
        <w:spacing w:before="240"/>
        <w:ind w:left="3312"/>
        <w:jc w:val="both"/>
      </w:pPr>
      <w:r>
        <w:rPr>
          <w:rFonts w:ascii="Segoe UI" w:hAnsi="Segoe UI"/>
          <w:b/>
          <w:sz w:val="14"/>
        </w:rPr>
        <w:t>Terms of Use</w:t>
      </w:r>
    </w:p>
    <w:p>
      <w:pPr>
        <w:ind w:left="3312"/>
        <w:jc w:val="both"/>
      </w:pPr>
      <w:r>
        <w:rPr>
          <w:rFonts w:ascii="Segoe UI" w:hAnsi="Segoe UI"/>
          <w:sz w:val="14"/>
        </w:rPr>
        <w:t>This work may be used "as-is" by any interested party. You may copy, adapt, and redistribute this document for non-commercial use or for your own internal use in a commercial setting. However, you may not republish this document, nor may you publish or distribute any adaptation of this document for other than non-commercial use or your own internal use, without first obtaining express written approval from Enfrasys Solutions Sdn Bhd.</w:t>
      </w:r>
    </w:p>
    <w:p>
      <w:pPr>
        <w:spacing w:before="240"/>
        <w:ind w:left="3312"/>
        <w:jc w:val="both"/>
      </w:pPr>
      <w:r>
        <w:rPr>
          <w:rFonts w:ascii="Segoe UI" w:hAnsi="Segoe UI"/>
          <w:b/>
          <w:sz w:val="14"/>
        </w:rPr>
        <w:t>Disclaimer</w:t>
      </w:r>
    </w:p>
    <w:p>
      <w:pPr>
        <w:ind w:left="3312"/>
        <w:jc w:val="both"/>
      </w:pPr>
      <w:r>
        <w:rPr>
          <w:rFonts w:ascii="Segoe UI" w:hAnsi="Segoe UI"/>
          <w:sz w:val="14"/>
        </w:rPr>
        <w:t>The Author and Enfrasys Solutions Sdn Bhd shall have neither liability nor responsibility to any person or entity with respect to the loss or damages arising from the information contained in this work. This work may include inaccuracies or typographical errors and solely represent the opinions of the Author. Changes are periodically made to this document without notice.Due to the rapid growth of various technologies, the Author and Enfrasys Solutions Sdn Bhd cannot guarantee the accuracy of the information presented after the date of publication.</w:t>
      </w:r>
    </w:p>
    <w:p>
      <w:pPr>
        <w:spacing w:before="240"/>
        <w:ind w:left="3312"/>
        <w:jc w:val="both"/>
      </w:pPr>
      <w:r>
        <w:rPr>
          <w:rFonts w:ascii="Segoe UI" w:hAnsi="Segoe UI"/>
          <w:b/>
          <w:sz w:val="14"/>
        </w:rPr>
        <w:t>Trademarks</w:t>
      </w:r>
    </w:p>
    <w:p>
      <w:pPr>
        <w:ind w:left="3312"/>
        <w:jc w:val="both"/>
      </w:pPr>
      <w:r>
        <w:rPr>
          <w:rFonts w:ascii="Segoe UI" w:hAnsi="Segoe UI"/>
          <w:sz w:val="14"/>
        </w:rPr>
        <w:t>The names of actual companies, service marks, trademarks or products mentioned herein may be the trademarks of their respective owners. Use of terms within this work should not be regarded as affecting the validity of any trademark or service mark. Enfrasys Consulting may have patents, patent applications, trademarks, copyrights, or other intellectual property rights covering subject matter in this document. Except as expressly provided in any written license agreement from Enfrasys Solutions Sdn Bhd, the furnishing of this document does not give you any license to those items.</w:t>
      </w:r>
    </w:p>
    <w:p>
      <w:r>
        <w:rPr>
          <w:rFonts w:ascii="Segoe UI" w:hAnsi="Segoe UI"/>
          <w:sz w:val="22"/>
        </w:rPr>
        <w:br w:type="page"/>
      </w:r>
    </w:p>
    <w:p>
      <w:pPr>
        <w:pStyle w:val="Heading1"/>
      </w:pPr>
      <w:r>
        <w:rPr>
          <w:rFonts w:ascii="Segoe UI" w:hAnsi="Segoe UI"/>
          <w:b w:val="0"/>
          <w:sz w:val="30"/>
        </w:rPr>
        <w:t>1.0 Design Document Sign Off</w:t>
      </w:r>
    </w:p>
    <w:p>
      <w:pPr>
        <w:spacing w:before="240"/>
        <w:jc w:val="both"/>
      </w:pPr>
      <w:r>
        <w:rPr>
          <w:rFonts w:ascii="Segoe UI" w:hAnsi="Segoe UI"/>
          <w:sz w:val="22"/>
        </w:rPr>
        <w:t>We hereby acknowledge that the design document for SIRIM Analytics Deployment (Microsoft Fabric) has been reviewed, and all key aspects have been addressed satisfactorily.</w:t>
      </w:r>
    </w:p>
    <w:p>
      <w:pPr>
        <w:spacing w:before="240"/>
        <w:jc w:val="both"/>
      </w:pPr>
      <w:r>
        <w:rPr>
          <w:rFonts w:ascii="Segoe UI" w:hAnsi="Segoe UI"/>
          <w:sz w:val="22"/>
        </w:rPr>
        <w:t>This document has been prepared, reviewed, accepted, and signed off by the following individuals:</w:t>
      </w:r>
    </w:p>
    <w:p>
      <w:pPr>
        <w:spacing w:before="80"/>
      </w:pPr>
    </w:p>
    <w:tbl>
      <w:tblPr>
        <w:tblStyle w:val="TableGrid"/>
        <w:tblW w:type="auto" w:w="0"/>
        <w:tblLook w:firstColumn="1" w:firstRow="1" w:lastColumn="0" w:lastRow="0" w:noHBand="0" w:noVBand="1" w:val="04A0"/>
        <w:tblBorders>
          <w:top w:val="single" w:sz="8" w:color="000000"/>
          <w:left w:val="single" w:sz="8" w:color="000000"/>
          <w:bottom w:val="single" w:sz="8" w:color="000000"/>
          <w:right w:val="single" w:sz="8" w:color="000000"/>
          <w:insideH w:val="single" w:sz="8" w:color="000000"/>
          <w:insideV w:val="single" w:sz="8" w:color="000000"/>
        </w:tblBorders>
      </w:tblPr>
      <w:tblGrid>
        <w:gridCol w:w="4513"/>
        <w:gridCol w:w="4513"/>
      </w:tblGrid>
      <w:tr>
        <w:tc>
          <w:tcPr>
            <w:tcW w:type="dxa" w:w="4513"/>
          </w:tcPr>
          <w:p>
            <w:r>
              <w:rPr>
                <w:rFonts w:ascii="Segoe UI" w:hAnsi="Segoe UI"/>
                <w:sz w:val="22"/>
              </w:rPr>
              <w:t>Prepared by:</w:t>
              <w:br/>
              <w:br/>
            </w:r>
            <w:r>
              <w:rPr>
                <w:rFonts w:ascii="Segoe UI" w:hAnsi="Segoe UI"/>
                <w:b/>
                <w:sz w:val="22"/>
              </w:rPr>
              <w:t>Enfrasys Solutions Sdn Bhd</w:t>
            </w:r>
            <w:r>
              <w:rPr>
                <w:rFonts w:ascii="Segoe UI" w:hAnsi="Segoe UI"/>
                <w:sz w:val="22"/>
              </w:rPr>
              <w:br/>
              <w:br/>
              <w:t>Signature:</w:t>
              <w:br/>
              <w:br/>
              <w:br/>
              <w:br/>
              <w:br/>
              <w:t>___________________________</w:t>
              <w:br/>
              <w:t>Name:</w:t>
              <w:br/>
              <w:t>Designation:</w:t>
              <w:br/>
              <w:t>Date:</w:t>
            </w:r>
          </w:p>
        </w:tc>
        <w:tc>
          <w:tcPr>
            <w:tcW w:type="dxa" w:w="4513"/>
          </w:tcPr>
          <w:p>
            <w:r>
              <w:rPr>
                <w:rFonts w:ascii="Segoe UI" w:hAnsi="Segoe UI"/>
                <w:sz w:val="22"/>
              </w:rPr>
              <w:t>Verified by:</w:t>
              <w:br/>
              <w:br/>
            </w:r>
            <w:r>
              <w:rPr>
                <w:rFonts w:ascii="Segoe UI" w:hAnsi="Segoe UI"/>
                <w:b/>
                <w:sz w:val="22"/>
              </w:rPr>
              <w:t>Enfrasys Solutions Sdn Bhd</w:t>
            </w:r>
            <w:r>
              <w:rPr>
                <w:rFonts w:ascii="Segoe UI" w:hAnsi="Segoe UI"/>
                <w:sz w:val="22"/>
              </w:rPr>
              <w:br/>
              <w:br/>
              <w:t>Signature:</w:t>
              <w:br/>
              <w:br/>
              <w:br/>
              <w:br/>
              <w:br/>
              <w:t>___________________________</w:t>
              <w:br/>
              <w:t>Name:</w:t>
              <w:br/>
              <w:t>Designation:</w:t>
              <w:br/>
              <w:t>Date:</w:t>
            </w:r>
          </w:p>
        </w:tc>
      </w:tr>
    </w:tbl>
    <w:p>
      <w:r>
        <w:rPr>
          <w:rFonts w:ascii="Segoe UI" w:hAnsi="Segoe UI"/>
          <w:sz w:val="22"/>
        </w:rPr>
        <w:br w:type="page"/>
      </w:r>
    </w:p>
    <w:tbl>
      <w:tblPr>
        <w:tblStyle w:val="TableGrid"/>
        <w:tblW w:type="auto" w:w="0"/>
        <w:tblLook w:firstColumn="1" w:firstRow="1" w:lastColumn="0" w:lastRow="0" w:noHBand="0" w:noVBand="1" w:val="04A0"/>
        <w:tblBorders>
          <w:top w:val="single" w:sz="8" w:color="000000"/>
          <w:left w:val="single" w:sz="8" w:color="000000"/>
          <w:bottom w:val="single" w:sz="8" w:color="000000"/>
          <w:right w:val="single" w:sz="8" w:color="000000"/>
          <w:insideH w:val="single" w:sz="8" w:color="000000"/>
          <w:insideV w:val="single" w:sz="8" w:color="000000"/>
        </w:tblBorders>
      </w:tblPr>
      <w:tblGrid>
        <w:gridCol w:w="4513"/>
        <w:gridCol w:w="4513"/>
      </w:tblGrid>
      <w:tr>
        <w:tc>
          <w:tcPr>
            <w:tcW w:type="dxa" w:w="9026"/>
            <w:gridSpan w:val="2"/>
          </w:tcPr>
          <w:p>
            <w:r>
              <w:rPr>
                <w:rFonts w:ascii="Segoe UI" w:hAnsi="Segoe UI"/>
                <w:sz w:val="22"/>
              </w:rPr>
            </w:r>
            <w:r>
              <w:rPr>
                <w:rFonts w:ascii="Segoe UI" w:hAnsi="Segoe UI"/>
                <w:b/>
                <w:sz w:val="22"/>
              </w:rPr>
              <w:t>Reviewed by:</w:t>
              <w:br/>
            </w:r>
            <w:r>
              <w:rPr>
                <w:rFonts w:ascii="Segoe UI" w:hAnsi="Segoe UI"/>
                <w:sz w:val="22"/>
              </w:rPr>
              <w:br/>
              <w:br/>
            </w:r>
          </w:p>
        </w:tc>
      </w:tr>
      <w:tr>
        <w:tc>
          <w:tcPr>
            <w:tcW w:type="dxa" w:w="4513"/>
          </w:tcPr>
          <w:p>
            <w:r>
              <w:rPr>
                <w:rFonts w:ascii="Segoe UI" w:hAnsi="Segoe UI"/>
                <w:sz w:val="22"/>
              </w:rPr>
            </w:r>
            <w:r>
              <w:rPr>
                <w:rFonts w:ascii="Segoe UI" w:hAnsi="Segoe UI"/>
                <w:b/>
                <w:sz w:val="22"/>
              </w:rPr>
              <w:t>Name</w:t>
            </w:r>
          </w:p>
        </w:tc>
        <w:tc>
          <w:tcPr>
            <w:tcW w:type="dxa" w:w="4513"/>
          </w:tcPr>
          <w:p>
            <w:r>
              <w:rPr>
                <w:rFonts w:ascii="Segoe UI" w:hAnsi="Segoe UI"/>
                <w:sz w:val="22"/>
              </w:rPr>
            </w:r>
            <w:r>
              <w:rPr>
                <w:rFonts w:ascii="Segoe UI" w:hAnsi="Segoe UI"/>
                <w:b/>
                <w:sz w:val="22"/>
              </w:rPr>
              <w:t>Signature</w:t>
            </w:r>
          </w:p>
        </w:tc>
      </w:tr>
      <w:tr>
        <w:tc>
          <w:tcPr>
            <w:tcW w:type="dxa" w:w="4513"/>
          </w:tcPr>
          <w:p>
            <w:r>
              <w:rPr>
                <w:rFonts w:ascii="Segoe UI" w:hAnsi="Segoe UI"/>
                <w:sz w:val="22"/>
              </w:rPr>
              <w:t>Name:</w:t>
              <w:br/>
              <w:br/>
              <w:t>Designation:</w:t>
              <w:br/>
              <w:br/>
              <w:t>Date:</w:t>
            </w:r>
          </w:p>
        </w:tc>
        <w:tc>
          <w:tcPr>
            <w:tcW w:type="dxa" w:w="4513"/>
          </w:tcPr>
          <w:p>
            <w:r>
              <w:rPr>
                <w:rFonts w:ascii="Segoe UI" w:hAnsi="Segoe UI"/>
                <w:sz w:val="22"/>
              </w:rPr>
              <w:br/>
              <w:br/>
              <w:br/>
              <w:br/>
              <w:br/>
              <w:t>___________________________</w:t>
            </w:r>
          </w:p>
        </w:tc>
      </w:tr>
      <w:tr>
        <w:tc>
          <w:tcPr>
            <w:tcW w:type="dxa" w:w="4513"/>
          </w:tcPr>
          <w:p>
            <w:r>
              <w:rPr>
                <w:rFonts w:ascii="Segoe UI" w:hAnsi="Segoe UI"/>
                <w:sz w:val="22"/>
              </w:rPr>
            </w:r>
            <w:r>
              <w:rPr>
                <w:rFonts w:ascii="Segoe UI" w:hAnsi="Segoe UI"/>
                <w:b/>
                <w:sz w:val="22"/>
              </w:rPr>
              <w:t>Verified by:</w:t>
              <w:br/>
              <w:br/>
            </w:r>
            <w:r>
              <w:rPr>
                <w:rFonts w:ascii="Segoe UI" w:hAnsi="Segoe UI"/>
                <w:sz w:val="22"/>
              </w:rPr>
              <w:t>[Designation]</w:t>
              <w:br/>
              <w:br/>
              <w:t>[client]</w:t>
              <w:br/>
              <w:br/>
              <w:t>Signature:</w:t>
              <w:br/>
              <w:br/>
              <w:br/>
              <w:br/>
              <w:br/>
              <w:t>___________________________</w:t>
              <w:br/>
              <w:t>Name:</w:t>
              <w:br/>
              <w:br/>
              <w:t>Designation:</w:t>
              <w:br/>
              <w:br/>
              <w:t>Date:</w:t>
            </w:r>
          </w:p>
        </w:tc>
        <w:tc>
          <w:tcPr>
            <w:tcW w:type="dxa" w:w="4513"/>
          </w:tcPr>
          <w:p>
            <w:r>
              <w:rPr>
                <w:rFonts w:ascii="Segoe UI" w:hAnsi="Segoe UI"/>
                <w:sz w:val="22"/>
              </w:rPr>
            </w:r>
            <w:r>
              <w:rPr>
                <w:rFonts w:ascii="Segoe UI" w:hAnsi="Segoe UI"/>
                <w:b/>
                <w:sz w:val="22"/>
              </w:rPr>
              <w:t>Approved by:</w:t>
              <w:br/>
              <w:br/>
            </w:r>
            <w:r>
              <w:rPr>
                <w:rFonts w:ascii="Segoe UI" w:hAnsi="Segoe UI"/>
                <w:sz w:val="22"/>
              </w:rPr>
              <w:t>[Designation]</w:t>
              <w:br/>
              <w:br/>
              <w:t>[client]</w:t>
              <w:br/>
              <w:br/>
              <w:t>Signature:</w:t>
              <w:br/>
              <w:br/>
              <w:br/>
              <w:br/>
              <w:br/>
              <w:t>___________________________</w:t>
              <w:br/>
              <w:t>Name:</w:t>
              <w:br/>
              <w:br/>
              <w:t>Designation:</w:t>
              <w:br/>
              <w:br/>
              <w:t>Date:</w:t>
            </w:r>
          </w:p>
        </w:tc>
      </w:tr>
    </w:tbl>
    <w:p>
      <w:r>
        <w:rPr>
          <w:rFonts w:ascii="Segoe UI" w:hAnsi="Segoe UI"/>
          <w:sz w:val="22"/>
        </w:rPr>
        <w:br w:type="page"/>
      </w:r>
    </w:p>
    <w:bookmarkEnd w:id="22"/>
    <w:bookmarkStart w:id="26" w:name="executive-summary"/>
    <w:p>
      <w:pPr>
        <w:pStyle w:val="Heading1"/>
        <w:pageBreakBefore/>
      </w:pPr>
      <w:r>
        <w:rPr>
          <w:rFonts w:ascii="Segoe UI" w:hAnsi="Segoe UI"/>
          <w:b w:val="0"/>
          <w:sz w:val="30"/>
        </w:rPr>
        <w:t xml:space="preserve">2.0 Executive Summary</w:t>
      </w:r>
    </w:p>
    <w:p>
      <w:pPr>
        <w:pStyle w:val="FirstParagraph"/>
        <w:jc w:val="both"/>
      </w:pPr>
      <w:r>
        <w:rPr>
          <w:rFonts w:ascii="Segoe UI" w:hAnsi="Segoe UI"/>
          <w:sz w:val="22"/>
        </w:rPr>
        <w:t xml:space="preserve">This section provides a concise overview of the SIRIM Berhad Analytics Deployment project, the purpose and scope of this Solution Design Document, and identifies the primary stakeholders involved in its implementation.</w:t>
      </w:r>
    </w:p>
    <w:bookmarkStart w:id="23" w:name="project-overview"/>
    <w:p>
      <w:pPr>
        <w:pStyle w:val="Heading2"/>
      </w:pPr>
      <w:r>
        <w:rPr>
          <w:rFonts w:ascii="Segoe UI" w:hAnsi="Segoe UI"/>
          <w:b w:val="0"/>
          <w:sz w:val="28"/>
        </w:rPr>
        <w:t xml:space="preserve">2.1 Project Overview</w:t>
      </w:r>
    </w:p>
    <w:p>
      <w:pPr>
        <w:pStyle w:val="FirstParagraph"/>
        <w:jc w:val="both"/>
      </w:pPr>
      <w:r>
        <w:rPr>
          <w:rFonts w:ascii="Segoe UI" w:hAnsi="Segoe UI"/>
          <w:sz w:val="22"/>
        </w:rPr>
        <w:t xml:space="preserve">SIRIM Berhad has initiated the Analytics Deployment project to modernize its Human Resource (HR) data management and analytics capabilities. The primary business objective is to establish an end-to-end data workflow—from ingestion through transformation to visualization—specifically tailored to address HR use-cases such as workforce analytics, talent management, and operational reporting. This initiative is strategically aligned with SIRIM Berhad’s broader cloud adoption roadmap, leveraging Microsoft Fabric as the foundational platform.</w:t>
      </w:r>
    </w:p>
    <w:p>
      <w:pPr>
        <w:pStyle w:val="BodyText"/>
        <w:jc w:val="both"/>
      </w:pPr>
      <w:r>
        <w:rPr>
          <w:rFonts w:ascii="Segoe UI" w:hAnsi="Segoe UI"/>
          <w:sz w:val="22"/>
        </w:rPr>
        <w:t xml:space="preserve">Microsoft Fabric has been selected for its integrated suite of services, notably Fabric Data Factory for robust data integration and orchestration, and Fabric Synapse for advanced analytics and big data processing. By adopting Fabric, SIRIM Berhad aims to unify disparate HR data sources, streamline data pipelines, and enable actionable insights through scalable, secure, and governed analytics workspaces. This deployment is expected to drive operational efficiency, enhance data-driven decision-making, and support compliance with organizational and regulatory requirements.</w:t>
      </w:r>
    </w:p>
    <w:bookmarkEnd w:id="23"/>
    <w:bookmarkStart w:id="24" w:name="document-purpose"/>
    <w:p>
      <w:pPr>
        <w:pStyle w:val="Heading2"/>
      </w:pPr>
      <w:r>
        <w:rPr>
          <w:rFonts w:ascii="Segoe UI" w:hAnsi="Segoe UI"/>
          <w:b w:val="0"/>
          <w:sz w:val="28"/>
        </w:rPr>
        <w:t xml:space="preserve">2.2 Document Purpose</w:t>
      </w:r>
    </w:p>
    <w:p>
      <w:pPr>
        <w:pStyle w:val="FirstParagraph"/>
        <w:jc w:val="both"/>
      </w:pPr>
      <w:r>
        <w:rPr>
          <w:rFonts w:ascii="Segoe UI" w:hAnsi="Segoe UI"/>
          <w:sz w:val="22"/>
        </w:rPr>
        <w:t xml:space="preserve">The purpose of this Solution Design Document is to provide a comprehensive, authoritative blueprint for the deployment of Microsoft Fabric within SIRIM Berhad’s HR analytics environment. It details the architectural decisions, technology components, workflow designs, security controls, resource organization, and governance mechanisms required to ensure a successful and sustainable implementation.</w:t>
      </w:r>
    </w:p>
    <w:p>
      <w:pPr>
        <w:pStyle w:val="BodyText"/>
        <w:jc w:val="both"/>
      </w:pPr>
      <w:r>
        <w:rPr>
          <w:rFonts w:ascii="Segoe UI" w:hAnsi="Segoe UI"/>
          <w:sz w:val="22"/>
        </w:rPr>
        <w:t xml:space="preserve">This document serves as the definitive reference for all technical and operational aspects of the project, guiding stakeholders through the rationale behind each design choice and its anticipated business impact. The scope encompasses infrastructure configuration, data workflow orchestration, access and role management, security, governance, and operational best practices. It is intended to facilitate informed decision-making, mitigate risks, and ensure alignment with SIRIM Berhad’s strategic objectives.</w:t>
      </w:r>
    </w:p>
    <w:bookmarkEnd w:id="24"/>
    <w:bookmarkStart w:id="25" w:name="document-audience"/>
    <w:p>
      <w:pPr>
        <w:pStyle w:val="Heading2"/>
      </w:pPr>
      <w:r>
        <w:rPr>
          <w:rFonts w:ascii="Segoe UI" w:hAnsi="Segoe UI"/>
          <w:b w:val="0"/>
          <w:sz w:val="28"/>
        </w:rPr>
        <w:t xml:space="preserve">2.3 Document Audience</w:t>
      </w:r>
    </w:p>
    <w:p>
      <w:pPr>
        <w:pStyle w:val="FirstParagraph"/>
        <w:jc w:val="both"/>
      </w:pPr>
      <w:r>
        <w:rPr>
          <w:rFonts w:ascii="Segoe UI" w:hAnsi="Segoe UI"/>
          <w:sz w:val="22"/>
        </w:rPr>
        <w:t xml:space="preserve">This Solution Design Document is intended for a diverse audience comprising both technical and business stakeholders within SIRIM Berhad and its implementation partners. Key audiences include:</w:t>
      </w:r>
    </w:p>
    <w:p>
      <w:pPr>
        <w:pStyle w:val="Compact"/>
        <w:numPr>
          <w:ilvl w:val="0"/>
          <w:numId w:val="1001"/>
        </w:numPr>
        <w:jc w:val="both"/>
      </w:pPr>
      <w:r>
        <w:rPr>
          <w:rFonts w:ascii="Segoe UI" w:hAnsi="Segoe UI"/>
          <w:sz w:val="22"/>
        </w:rPr>
        <w:t xml:space="preserve">SIRIM Berhad Executive Leadership (CIO, CTO, HR Director)</w:t>
      </w:r>
    </w:p>
    <w:p>
      <w:pPr>
        <w:pStyle w:val="Compact"/>
        <w:numPr>
          <w:ilvl w:val="0"/>
          <w:numId w:val="1001"/>
        </w:numPr>
        <w:jc w:val="both"/>
      </w:pPr>
      <w:r>
        <w:rPr>
          <w:rFonts w:ascii="Segoe UI" w:hAnsi="Segoe UI"/>
          <w:sz w:val="22"/>
        </w:rPr>
        <w:t xml:space="preserve">SIRIM Berhad IT Management and Enterprise Architecture Teams</w:t>
      </w:r>
    </w:p>
    <w:p>
      <w:pPr>
        <w:pStyle w:val="Compact"/>
        <w:numPr>
          <w:ilvl w:val="0"/>
          <w:numId w:val="1001"/>
        </w:numPr>
        <w:jc w:val="both"/>
      </w:pPr>
      <w:r>
        <w:rPr>
          <w:rFonts w:ascii="Segoe UI" w:hAnsi="Segoe UI"/>
          <w:sz w:val="22"/>
        </w:rPr>
        <w:t xml:space="preserve">SIRIM Berhad HR Analytics and Data Science Teams</w:t>
      </w:r>
    </w:p>
    <w:p>
      <w:pPr>
        <w:pStyle w:val="Compact"/>
        <w:numPr>
          <w:ilvl w:val="0"/>
          <w:numId w:val="1001"/>
        </w:numPr>
        <w:jc w:val="both"/>
      </w:pPr>
      <w:r>
        <w:rPr>
          <w:rFonts w:ascii="Segoe UI" w:hAnsi="Segoe UI"/>
          <w:sz w:val="22"/>
        </w:rPr>
        <w:t xml:space="preserve">Infrastructure and Security Administrators</w:t>
      </w:r>
    </w:p>
    <w:p>
      <w:pPr>
        <w:pStyle w:val="Compact"/>
        <w:numPr>
          <w:ilvl w:val="0"/>
          <w:numId w:val="1001"/>
        </w:numPr>
        <w:jc w:val="both"/>
      </w:pPr>
      <w:r>
        <w:rPr>
          <w:rFonts w:ascii="Segoe UI" w:hAnsi="Segoe UI"/>
          <w:sz w:val="22"/>
        </w:rPr>
        <w:t xml:space="preserve">Microsoft Fabric Platform Owners and Workspace Administrators</w:t>
      </w:r>
    </w:p>
    <w:p>
      <w:pPr>
        <w:pStyle w:val="Compact"/>
        <w:numPr>
          <w:ilvl w:val="0"/>
          <w:numId w:val="1001"/>
        </w:numPr>
        <w:jc w:val="both"/>
      </w:pPr>
      <w:r>
        <w:rPr>
          <w:rFonts w:ascii="Segoe UI" w:hAnsi="Segoe UI"/>
          <w:sz w:val="22"/>
        </w:rPr>
        <w:t xml:space="preserve">Data Integration Specialists and Power BI Developers</w:t>
      </w:r>
    </w:p>
    <w:p>
      <w:pPr>
        <w:pStyle w:val="Compact"/>
        <w:numPr>
          <w:ilvl w:val="0"/>
          <w:numId w:val="1001"/>
        </w:numPr>
        <w:jc w:val="both"/>
      </w:pPr>
      <w:r>
        <w:rPr>
          <w:rFonts w:ascii="Segoe UI" w:hAnsi="Segoe UI"/>
          <w:sz w:val="22"/>
        </w:rPr>
        <w:t xml:space="preserve">Project Managers and Business Analysts</w:t>
      </w:r>
    </w:p>
    <w:p>
      <w:pPr>
        <w:pStyle w:val="Compact"/>
        <w:numPr>
          <w:ilvl w:val="0"/>
          <w:numId w:val="1001"/>
        </w:numPr>
        <w:jc w:val="both"/>
      </w:pPr>
      <w:r>
        <w:rPr>
          <w:rFonts w:ascii="Segoe UI" w:hAnsi="Segoe UI"/>
          <w:sz w:val="22"/>
        </w:rPr>
        <w:t xml:space="preserve">Enfrasys Solutions Implementation and Support Teams</w:t>
      </w:r>
    </w:p>
    <w:p>
      <w:pPr>
        <w:pStyle w:val="FirstParagraph"/>
        <w:jc w:val="both"/>
      </w:pPr>
      <w:r>
        <w:rPr>
          <w:rFonts w:ascii="Segoe UI" w:hAnsi="Segoe UI"/>
          <w:sz w:val="22"/>
        </w:rPr>
        <w:t xml:space="preserve">Each stakeholder group will leverage this document to understand their respective roles, responsibilities, and the technical rationale underpinning the project’s design and execution.</w:t>
      </w:r>
    </w:p>
    <w:bookmarkEnd w:id="25"/>
    <w:bookmarkEnd w:id="26"/>
    <w:bookmarkStart w:id="35" w:name="network-design-and-decision"/>
    <w:p>
      <w:pPr>
        <w:pStyle w:val="Heading1"/>
        <w:pageBreakBefore/>
      </w:pPr>
      <w:r>
        <w:rPr>
          <w:rFonts w:ascii="Segoe UI" w:hAnsi="Segoe UI"/>
          <w:b w:val="0"/>
          <w:sz w:val="30"/>
        </w:rPr>
        <w:t xml:space="preserve">3.0 Network Design and Decision</w:t>
      </w:r>
    </w:p>
    <w:p>
      <w:pPr>
        <w:pStyle w:val="FirstParagraph"/>
        <w:jc w:val="both"/>
      </w:pPr>
      <w:r>
        <w:rPr>
          <w:rFonts w:ascii="Segoe UI" w:hAnsi="Segoe UI"/>
          <w:sz w:val="22"/>
        </w:rPr>
        <w:t xml:space="preserve">This section outlines the network architecture and connectivity decisions for SIRIM Berhad’s Microsoft Fabric deployment, focusing on secure integration between on-premises, Azure, and external users.</w:t>
      </w:r>
    </w:p>
    <w:bookmarkStart w:id="30" w:name="network-connectivity-overview"/>
    <w:p>
      <w:pPr>
        <w:pStyle w:val="Heading2"/>
      </w:pPr>
      <w:r>
        <w:rPr>
          <w:rFonts w:ascii="Segoe UI" w:hAnsi="Segoe UI"/>
          <w:b w:val="0"/>
          <w:sz w:val="28"/>
        </w:rPr>
        <w:t xml:space="preserve">3.1 Network Connectivity Overview</w:t>
      </w:r>
    </w:p>
    <w:p>
      <w:pPr>
        <w:pStyle w:val="FirstParagraph"/>
        <w:jc w:val="both"/>
      </w:pPr>
      <w:r>
        <w:rPr>
          <w:rFonts w:ascii="Segoe UI" w:hAnsi="Segoe UI"/>
          <w:sz w:val="22"/>
        </w:rPr>
        <w:t xml:space="preserve">SIRIM Berhad shall implement a multi-layered Azure network architecture to ensure secure, scalable, and high-performance connectivity across its on-premises infrastructure, Azure cloud resources, and external user access. The design leverages Azure Virtual Networks (VNETs), VNET peering, Site-to-Site (S2S) VPN, and private endpoints to achieve optimal isolation and flexibility.</w:t>
      </w:r>
    </w:p>
    <w:p>
      <w:pPr>
        <w:pStyle w:val="BodyText"/>
        <w:jc w:val="both"/>
      </w:pPr>
      <w:r>
        <w:rPr>
          <w:rFonts w:ascii="Segoe UI" w:hAnsi="Segoe UI"/>
          <w:sz w:val="22"/>
        </w:rPr>
        <w:t xml:space="preserve">The core network topology consists of three interconnected Azure VNETs:</w:t>
      </w:r>
      <w:r>
        <w:rPr>
          <w:rFonts w:ascii="Segoe UI" w:hAnsi="Segoe UI"/>
          <w:sz w:val="22"/>
        </w:rPr>
        <w:t xml:space="preserve"> </w:t>
      </w:r>
      <w:r>
        <w:rPr>
          <w:rFonts w:ascii="Segoe UI" w:hAnsi="Segoe UI"/>
          <w:sz w:val="22"/>
        </w:rPr>
        <w:t xml:space="preserve">-</w:t>
      </w:r>
      <w:r>
        <w:rPr>
          <w:rFonts w:ascii="Segoe UI" w:hAnsi="Segoe UI"/>
          <w:sz w:val="22"/>
        </w:rPr>
        <w:t xml:space="preserve"> </w:t>
      </w:r>
      <w:r>
        <w:rPr>
          <w:rFonts w:ascii="Segoe UI" w:hAnsi="Segoe UI"/>
          <w:b/>
          <w:bCs/>
          <w:sz w:val="22"/>
        </w:rPr>
        <w:t xml:space="preserve">VNET 1</w:t>
      </w:r>
      <w:r>
        <w:rPr>
          <w:rFonts w:ascii="Segoe UI" w:hAnsi="Segoe UI"/>
          <w:sz w:val="22"/>
        </w:rPr>
        <w:t xml:space="preserve">: Hosts the GatewaySubnet and Virtual Network Gateway, which establishes the S2S VPN connection to SIRIM Berhad’s on-premises network. This VNET acts as the primary ingress/egress point for hybrid connectivity.</w:t>
      </w:r>
      <w:r>
        <w:rPr>
          <w:rFonts w:ascii="Segoe UI" w:hAnsi="Segoe UI"/>
          <w:sz w:val="22"/>
        </w:rPr>
        <w:t xml:space="preserve"> </w:t>
      </w:r>
      <w:r>
        <w:rPr>
          <w:rFonts w:ascii="Segoe UI" w:hAnsi="Segoe UI"/>
          <w:sz w:val="22"/>
        </w:rPr>
        <w:t xml:space="preserve">-</w:t>
      </w:r>
      <w:r>
        <w:rPr>
          <w:rFonts w:ascii="Segoe UI" w:hAnsi="Segoe UI"/>
          <w:sz w:val="22"/>
        </w:rPr>
        <w:t xml:space="preserve"> </w:t>
      </w:r>
      <w:r>
        <w:rPr>
          <w:rFonts w:ascii="Segoe UI" w:hAnsi="Segoe UI"/>
          <w:b/>
          <w:bCs/>
          <w:sz w:val="22"/>
        </w:rPr>
        <w:t xml:space="preserve">VNET 2</w:t>
      </w:r>
      <w:r>
        <w:rPr>
          <w:rFonts w:ascii="Segoe UI" w:hAnsi="Segoe UI"/>
          <w:sz w:val="22"/>
        </w:rPr>
        <w:t xml:space="preserve">: Dedicated to Windows Virtual Desktop (WVD) services, enabling secure remote access for external users. VNET 2 is peered with both VNET 1 and Fabric-VNET to facilitate seamless data flow.</w:t>
      </w:r>
      <w:r>
        <w:rPr>
          <w:rFonts w:ascii="Segoe UI" w:hAnsi="Segoe UI"/>
          <w:sz w:val="22"/>
        </w:rPr>
        <w:t xml:space="preserve"> </w:t>
      </w:r>
      <w:r>
        <w:rPr>
          <w:rFonts w:ascii="Segoe UI" w:hAnsi="Segoe UI"/>
          <w:sz w:val="22"/>
        </w:rPr>
        <w:t xml:space="preserve">-</w:t>
      </w:r>
      <w:r>
        <w:rPr>
          <w:rFonts w:ascii="Segoe UI" w:hAnsi="Segoe UI"/>
          <w:sz w:val="22"/>
        </w:rPr>
        <w:t xml:space="preserve"> </w:t>
      </w:r>
      <w:r>
        <w:rPr>
          <w:rFonts w:ascii="Segoe UI" w:hAnsi="Segoe UI"/>
          <w:b/>
          <w:bCs/>
          <w:sz w:val="22"/>
        </w:rPr>
        <w:t xml:space="preserve">Fabric-VNET</w:t>
      </w:r>
      <w:r>
        <w:rPr>
          <w:rFonts w:ascii="Segoe UI" w:hAnsi="Segoe UI"/>
          <w:sz w:val="22"/>
        </w:rPr>
        <w:t xml:space="preserve">: Contains the Fabric Resource Group (Fabric-RG) and hosts a Fabric Private Endpoint within a Fabric-Subnet. This configuration ensures that only internal Azure resources can access Fabric services, enforcing strict network isolation.</w:t>
      </w:r>
    </w:p>
    <w:p>
      <w:pPr>
        <w:pStyle w:val="BodyText"/>
        <w:jc w:val="both"/>
      </w:pPr>
      <w:r>
        <w:rPr>
          <w:rFonts w:ascii="Segoe UI" w:hAnsi="Segoe UI"/>
          <w:sz w:val="22"/>
        </w:rPr>
        <w:t xml:space="preserve">VNET peering is configured bidirectionally between all three VNETs, allowing low-latency, high-bandwidth communication while maintaining resource isolation and minimizing management overhead. The S2S VPN provides encrypted connectivity between SIRIM Berhad’s on-premises network and Azure, routing traffic through VNET 1 and enabling access to resources in peered VNETs.</w:t>
      </w:r>
    </w:p>
    <w:p>
      <w:pPr>
        <w:pStyle w:val="BodyText"/>
        <w:jc w:val="both"/>
      </w:pPr>
      <w:r>
        <w:rPr>
          <w:rFonts w:ascii="Segoe UI" w:hAnsi="Segoe UI"/>
          <w:sz w:val="22"/>
        </w:rPr>
        <w:t xml:space="preserve">The use of private endpoints within Fabric-VNET ensures that Fabric services are only accessible from within the Azure network, blocking public access and reducing the attack surface. This approach aligns with Microsoft’s security best practices for PaaS resources.</w:t>
      </w:r>
    </w:p>
    <w:p>
      <w:pPr>
        <w:pStyle w:val="BodyText"/>
        <w:jc w:val="both"/>
      </w:pPr>
      <w:r>
        <w:rPr>
          <w:rFonts w:ascii="Segoe UI" w:hAnsi="Segoe UI"/>
          <w:sz w:val="22"/>
        </w:rPr>
        <w:t xml:space="preserve">The following architecture diagram illustrates the network connectivity design:</w:t>
      </w:r>
    </w:p>
    <w:p>
      <w:pPr>
        <w:pStyle w:val="BodyText"/>
      </w:pPr>
      <w:r>
        <w:rPr>
          <w:rFonts w:ascii="Segoe UI" w:hAnsi="Segoe UI"/>
          <w:sz w:val="22"/>
        </w:rPr>
        <w:drawing>
          <wp:inline>
            <wp:extent cx="5727700" cy="3608782"/>
            <wp:effectExtent b="0" l="0" r="0" t="0"/>
            <wp:docPr descr="" title="" id="28" name="Picture"/>
            <a:graphic>
              <a:graphicData uri="http://schemas.openxmlformats.org/drawingml/2006/picture">
                <pic:pic>
                  <pic:nvPicPr>
                    <pic:cNvPr descr="C:\Users\MuhammadIdzhansKhair\OneDrive%20-%20ENFRASYS\Documents\project-internal\design-document-converter\extraction-output\images\slide_012_img_003.png" id="29" name="Picture"/>
                    <pic:cNvPicPr>
                      <a:picLocks noChangeArrowheads="1" noChangeAspect="1"/>
                    </pic:cNvPicPr>
                  </pic:nvPicPr>
                  <pic:blipFill>
                    <a:blip r:embed="rId27"/>
                    <a:stretch>
                      <a:fillRect/>
                    </a:stretch>
                  </pic:blipFill>
                  <pic:spPr bwMode="auto">
                    <a:xfrm>
                      <a:off x="0" y="0"/>
                      <a:ext cx="5727700" cy="3608782"/>
                    </a:xfrm>
                    <a:prstGeom prst="rect">
                      <a:avLst/>
                    </a:prstGeom>
                    <a:noFill/>
                    <a:ln w="9525">
                      <a:noFill/>
                      <a:headEnd/>
                      <a:tailEnd/>
                    </a:ln>
                  </pic:spPr>
                </pic:pic>
              </a:graphicData>
            </a:graphic>
          </wp:inline>
        </w:drawing>
      </w:r>
    </w:p>
    <w:p>
      <w:pPr>
        <w:pStyle w:val="BodyText"/>
        <w:jc w:val="both"/>
      </w:pPr>
      <w:r>
        <w:rPr>
          <w:rFonts w:ascii="Segoe UI" w:hAnsi="Segoe UI"/>
          <w:sz w:val="22"/>
        </w:rPr>
        <w:t xml:space="preserve">This topology guarantees secure, scalable, and efficient connectivity for SIRIM Berhad’s hybrid workloads, supporting both internal and external user scenarios.</w:t>
      </w:r>
    </w:p>
    <w:bookmarkEnd w:id="30"/>
    <w:bookmarkStart w:id="34" w:name="microsoft-fabric-data-gateway"/>
    <w:p>
      <w:pPr>
        <w:pStyle w:val="Heading2"/>
      </w:pPr>
      <w:r>
        <w:rPr>
          <w:rFonts w:ascii="Segoe UI" w:hAnsi="Segoe UI"/>
          <w:b w:val="0"/>
          <w:sz w:val="28"/>
        </w:rPr>
        <w:t xml:space="preserve">3.2 [Microsoft Fabric] Data Gateway</w:t>
      </w:r>
    </w:p>
    <w:p>
      <w:pPr>
        <w:pStyle w:val="FirstParagraph"/>
        <w:jc w:val="both"/>
      </w:pPr>
      <w:r>
        <w:rPr>
          <w:rFonts w:ascii="Segoe UI" w:hAnsi="Segoe UI"/>
          <w:sz w:val="22"/>
        </w:rPr>
        <w:t xml:space="preserve">SIRIM Berhad shall deploy a dedicated Data Gateway Virtual Machine (VM) within the Azure environment to facilitate secure and reliable data transfer between on-premises systems, cloud-hosted databases, and Microsoft Fabric. The Data Gateway VM acts as a bridge, enabling seamless integration and supporting hybrid data workflows.</w:t>
      </w:r>
    </w:p>
    <w:p>
      <w:pPr>
        <w:pStyle w:val="BodyText"/>
        <w:jc w:val="both"/>
      </w:pPr>
      <w:r>
        <w:rPr>
          <w:rFonts w:ascii="Segoe UI" w:hAnsi="Segoe UI"/>
          <w:sz w:val="22"/>
        </w:rPr>
        <w:t xml:space="preserve">The Data Gateway agent is installed on a VM named</w:t>
      </w:r>
      <w:r>
        <w:rPr>
          <w:rFonts w:ascii="Segoe UI" w:hAnsi="Segoe UI"/>
          <w:sz w:val="22"/>
        </w:rPr>
        <w:t xml:space="preserve"> </w:t>
      </w:r>
      <w:r>
        <w:rPr>
          <w:rFonts w:ascii="Segoe UI" w:hAnsi="Segoe UI"/>
          <w:b/>
          <w:bCs/>
          <w:sz w:val="22"/>
        </w:rPr>
        <w:t xml:space="preserve">GASPRA</w:t>
      </w:r>
      <w:r>
        <w:rPr>
          <w:rFonts w:ascii="Segoe UI" w:hAnsi="Segoe UI"/>
          <w:sz w:val="22"/>
        </w:rPr>
        <w:t xml:space="preserve">, located in the SIRIM-BIGDATA-EDWH-RG resource group. This placement ensures proximity to both the TOPAZ system (connected to a PostgreSQL database) and the SIRIM Fabric service, optimizing data transfer performance and minimizing latency.</w:t>
      </w:r>
    </w:p>
    <w:p>
      <w:pPr>
        <w:pStyle w:val="BodyText"/>
        <w:jc w:val="both"/>
      </w:pPr>
      <w:r>
        <w:rPr>
          <w:rFonts w:ascii="Segoe UI" w:hAnsi="Segoe UI"/>
          <w:sz w:val="22"/>
        </w:rPr>
        <w:t xml:space="preserve">Connectivity is established as follows:</w:t>
      </w:r>
      <w:r>
        <w:rPr>
          <w:rFonts w:ascii="Segoe UI" w:hAnsi="Segoe UI"/>
          <w:sz w:val="22"/>
        </w:rPr>
        <w:t xml:space="preserve"> </w:t>
      </w:r>
      <w:r>
        <w:rPr>
          <w:rFonts w:ascii="Segoe UI" w:hAnsi="Segoe UI"/>
          <w:sz w:val="22"/>
        </w:rPr>
        <w:t xml:space="preserve">- The Data Gateway VM interfaces with the TOPAZ system and its PostgreSQL database, supporting bidirectional data flows.</w:t>
      </w:r>
      <w:r>
        <w:rPr>
          <w:rFonts w:ascii="Segoe UI" w:hAnsi="Segoe UI"/>
          <w:sz w:val="22"/>
        </w:rPr>
        <w:t xml:space="preserve"> </w:t>
      </w:r>
      <w:r>
        <w:rPr>
          <w:rFonts w:ascii="Segoe UI" w:hAnsi="Segoe UI"/>
          <w:sz w:val="22"/>
        </w:rPr>
        <w:t xml:space="preserve">- The VM securely transmits data to and from SIRIM Fabric, leveraging Azure’s internal networking and private endpoints.</w:t>
      </w:r>
      <w:r>
        <w:rPr>
          <w:rFonts w:ascii="Segoe UI" w:hAnsi="Segoe UI"/>
          <w:sz w:val="22"/>
        </w:rPr>
        <w:t xml:space="preserve"> </w:t>
      </w:r>
      <w:r>
        <w:rPr>
          <w:rFonts w:ascii="Segoe UI" w:hAnsi="Segoe UI"/>
          <w:sz w:val="22"/>
        </w:rPr>
        <w:t xml:space="preserve">- All communication is routed through Azure VNETs, ensuring that data never traverses public networks, thus maintaining compliance with SIRIM Berhad’s security requirements.</w:t>
      </w:r>
    </w:p>
    <w:p>
      <w:pPr>
        <w:pStyle w:val="BodyText"/>
        <w:jc w:val="both"/>
      </w:pPr>
      <w:r>
        <w:rPr>
          <w:rFonts w:ascii="Segoe UI" w:hAnsi="Segoe UI"/>
          <w:sz w:val="22"/>
        </w:rPr>
        <w:t xml:space="preserve">The Data Gateway VM is configured with the following specifications to ensure robust performance and reliability:</w:t>
      </w:r>
    </w:p>
    <w:tbl>
      <w:tblPr>
        <w:tblStyle w:val="GridTable4-Accent11"/>
        <w:tblW w:type="pct" w:w="5000"/>
        <w:tblLayout w:type="autofit"/>
        <w:tblLook w:firstRow="1" w:lastRow="0" w:firstColumn="1" w:lastColumn="0" w:noHBand="0" w:noVBand="1" w:val="04A0"/>
      </w:tblPr>
      <w:tblGrid>
        <w:gridCol w:w="925"/>
        <w:gridCol w:w="1234"/>
        <w:gridCol w:w="1440"/>
        <w:gridCol w:w="617"/>
        <w:gridCol w:w="617"/>
        <w:gridCol w:w="1131"/>
        <w:gridCol w:w="1954"/>
      </w:tblGrid>
      <w:tr>
        <w:trPr>
          <w:tblHeader w:val="on"/>
        </w:trPr>
        <w:tc>
          <w:tcPr/>
          <w:p>
            <w:pPr>
              <w:pStyle w:val="Compact"/>
            </w:pPr>
            <w:r>
              <w:rPr>
                <w:rFonts w:ascii="Segoe UI" w:hAnsi="Segoe UI"/>
                <w:sz w:val="22"/>
              </w:rPr>
              <w:t xml:space="preserve">VM Name</w:t>
            </w:r>
          </w:p>
        </w:tc>
        <w:tc>
          <w:tcPr/>
          <w:p>
            <w:pPr>
              <w:pStyle w:val="Compact"/>
            </w:pPr>
            <w:r>
              <w:rPr>
                <w:rFonts w:ascii="Segoe UI" w:hAnsi="Segoe UI"/>
                <w:sz w:val="22"/>
              </w:rPr>
              <w:t xml:space="preserve">OS</w:t>
            </w:r>
          </w:p>
        </w:tc>
        <w:tc>
          <w:tcPr/>
          <w:p>
            <w:pPr>
              <w:pStyle w:val="Compact"/>
            </w:pPr>
            <w:r>
              <w:rPr>
                <w:rFonts w:ascii="Segoe UI" w:hAnsi="Segoe UI"/>
                <w:sz w:val="22"/>
              </w:rPr>
              <w:t xml:space="preserve">.NET Version</w:t>
            </w:r>
          </w:p>
        </w:tc>
        <w:tc>
          <w:tcPr/>
          <w:p>
            <w:pPr>
              <w:pStyle w:val="Compact"/>
            </w:pPr>
            <w:r>
              <w:rPr>
                <w:rFonts w:ascii="Segoe UI" w:hAnsi="Segoe UI"/>
                <w:sz w:val="22"/>
              </w:rPr>
              <w:t xml:space="preserve">vCPU</w:t>
            </w:r>
          </w:p>
        </w:tc>
        <w:tc>
          <w:tcPr/>
          <w:p>
            <w:pPr>
              <w:pStyle w:val="Compact"/>
            </w:pPr>
            <w:r>
              <w:rPr>
                <w:rFonts w:ascii="Segoe UI" w:hAnsi="Segoe UI"/>
                <w:sz w:val="22"/>
              </w:rPr>
              <w:t xml:space="preserve">RAM</w:t>
            </w:r>
          </w:p>
        </w:tc>
        <w:tc>
          <w:tcPr/>
          <w:p>
            <w:pPr>
              <w:pStyle w:val="Compact"/>
            </w:pPr>
            <w:r>
              <w:rPr>
                <w:rFonts w:ascii="Segoe UI" w:hAnsi="Segoe UI"/>
                <w:sz w:val="22"/>
              </w:rPr>
              <w:t xml:space="preserve">Disk Size</w:t>
            </w:r>
          </w:p>
        </w:tc>
        <w:tc>
          <w:tcPr/>
          <w:p>
            <w:pPr>
              <w:pStyle w:val="Compact"/>
            </w:pPr>
            <w:r>
              <w:rPr>
                <w:rFonts w:ascii="Segoe UI" w:hAnsi="Segoe UI"/>
                <w:sz w:val="22"/>
              </w:rPr>
              <w:t xml:space="preserve">Network Interface</w:t>
            </w:r>
          </w:p>
        </w:tc>
      </w:tr>
      <w:tr>
        <w:tc>
          <w:tcPr/>
          <w:p>
            <w:pPr>
              <w:pStyle w:val="Compact"/>
            </w:pPr>
            <w:r>
              <w:rPr>
                <w:rFonts w:ascii="Segoe UI" w:hAnsi="Segoe UI"/>
                <w:sz w:val="22"/>
              </w:rPr>
              <w:t xml:space="preserve">GASPRA</w:t>
            </w:r>
          </w:p>
        </w:tc>
        <w:tc>
          <w:tcPr/>
          <w:p>
            <w:pPr>
              <w:pStyle w:val="Compact"/>
            </w:pPr>
            <w:r>
              <w:rPr>
                <w:rFonts w:ascii="Segoe UI" w:hAnsi="Segoe UI"/>
                <w:sz w:val="22"/>
              </w:rPr>
              <w:t xml:space="preserve">Windows Server 2019</w:t>
            </w:r>
          </w:p>
        </w:tc>
        <w:tc>
          <w:tcPr/>
          <w:p>
            <w:pPr>
              <w:pStyle w:val="Compact"/>
            </w:pPr>
            <w:r>
              <w:rPr>
                <w:rFonts w:ascii="Segoe UI" w:hAnsi="Segoe UI"/>
                <w:sz w:val="22"/>
              </w:rPr>
              <w:t xml:space="preserve">.NET 6.0</w:t>
            </w:r>
          </w:p>
        </w:tc>
        <w:tc>
          <w:tcPr/>
          <w:p>
            <w:pPr>
              <w:pStyle w:val="Compact"/>
            </w:pPr>
            <w:r>
              <w:rPr>
                <w:rFonts w:ascii="Segoe UI" w:hAnsi="Segoe UI"/>
                <w:sz w:val="22"/>
              </w:rPr>
              <w:t xml:space="preserve">4</w:t>
            </w:r>
          </w:p>
        </w:tc>
        <w:tc>
          <w:tcPr/>
          <w:p>
            <w:pPr>
              <w:pStyle w:val="Compact"/>
            </w:pPr>
            <w:r>
              <w:rPr>
                <w:rFonts w:ascii="Segoe UI" w:hAnsi="Segoe UI"/>
                <w:sz w:val="22"/>
              </w:rPr>
              <w:t xml:space="preserve">16 GB</w:t>
            </w:r>
          </w:p>
        </w:tc>
        <w:tc>
          <w:tcPr/>
          <w:p>
            <w:pPr>
              <w:pStyle w:val="Compact"/>
            </w:pPr>
            <w:r>
              <w:rPr>
                <w:rFonts w:ascii="Segoe UI" w:hAnsi="Segoe UI"/>
                <w:sz w:val="22"/>
              </w:rPr>
              <w:t xml:space="preserve">256 GB</w:t>
            </w:r>
          </w:p>
        </w:tc>
        <w:tc>
          <w:tcPr/>
          <w:p>
            <w:pPr>
              <w:pStyle w:val="Compact"/>
            </w:pPr>
            <w:r>
              <w:rPr>
                <w:rFonts w:ascii="Segoe UI" w:hAnsi="Segoe UI"/>
                <w:sz w:val="22"/>
              </w:rPr>
              <w:t xml:space="preserve">Standard Azure NIC</w:t>
            </w:r>
          </w:p>
        </w:tc>
      </w:tr>
    </w:tbl>
    <w:p>
      <w:pPr>
        <w:pStyle w:val="BodyText"/>
        <w:jc w:val="both"/>
      </w:pPr>
      <w:r>
        <w:rPr>
          <w:rFonts w:ascii="Segoe UI" w:hAnsi="Segoe UI"/>
          <w:sz w:val="22"/>
        </w:rPr>
        <w:t xml:space="preserve">This configuration provides sufficient compute and memory resources for high-throughput data processing, while the disk size accommodates large data transfers. The use of Windows Server 2019 and .NET 6.0 ensures compatibility with Microsoft Fabric Data Gateway requirements.</w:t>
      </w:r>
    </w:p>
    <w:p>
      <w:pPr>
        <w:pStyle w:val="BodyText"/>
        <w:jc w:val="both"/>
      </w:pPr>
      <w:r>
        <w:rPr>
          <w:rFonts w:ascii="Segoe UI" w:hAnsi="Segoe UI"/>
          <w:sz w:val="22"/>
        </w:rPr>
        <w:t xml:space="preserve">The following diagram illustrates the Data Gateway architecture and its role in the data workflow:</w:t>
      </w:r>
    </w:p>
    <w:p>
      <w:pPr>
        <w:pStyle w:val="BodyText"/>
      </w:pPr>
      <w:r>
        <w:rPr>
          <w:rFonts w:ascii="Segoe UI" w:hAnsi="Segoe UI"/>
          <w:sz w:val="22"/>
        </w:rPr>
        <w:drawing>
          <wp:inline>
            <wp:extent cx="5727700" cy="1876125"/>
            <wp:effectExtent b="0" l="0" r="0" t="0"/>
            <wp:docPr descr="" title="" id="32" name="Picture"/>
            <a:graphic>
              <a:graphicData uri="http://schemas.openxmlformats.org/drawingml/2006/picture">
                <pic:pic>
                  <pic:nvPicPr>
                    <pic:cNvPr descr="C:\Users\MuhammadIdzhansKhair\OneDrive%20-%20ENFRASYS\Documents\project-internal\design-document-converter\extraction-output\images\slide_018_img_005.png" id="33" name="Picture"/>
                    <pic:cNvPicPr>
                      <a:picLocks noChangeArrowheads="1" noChangeAspect="1"/>
                    </pic:cNvPicPr>
                  </pic:nvPicPr>
                  <pic:blipFill>
                    <a:blip r:embed="rId31"/>
                    <a:stretch>
                      <a:fillRect/>
                    </a:stretch>
                  </pic:blipFill>
                  <pic:spPr bwMode="auto">
                    <a:xfrm>
                      <a:off x="0" y="0"/>
                      <a:ext cx="5727700" cy="1876125"/>
                    </a:xfrm>
                    <a:prstGeom prst="rect">
                      <a:avLst/>
                    </a:prstGeom>
                    <a:noFill/>
                    <a:ln w="9525">
                      <a:noFill/>
                      <a:headEnd/>
                      <a:tailEnd/>
                    </a:ln>
                  </pic:spPr>
                </pic:pic>
              </a:graphicData>
            </a:graphic>
          </wp:inline>
        </w:drawing>
      </w:r>
    </w:p>
    <w:p>
      <w:pPr>
        <w:pStyle w:val="BodyText"/>
        <w:jc w:val="both"/>
      </w:pPr>
      <w:r>
        <w:rPr>
          <w:rFonts w:ascii="Segoe UI" w:hAnsi="Segoe UI"/>
          <w:sz w:val="22"/>
        </w:rPr>
        <w:t xml:space="preserve">By deploying the Data Gateway VM in this manner, SIRIM Berhad achieves secure, efficient, and scalable data integration between on-premises and cloud-based resources, supporting advanced analytics and business intelligence scenarios in Microsoft Fabric.</w:t>
      </w:r>
    </w:p>
    <w:bookmarkEnd w:id="34"/>
    <w:bookmarkEnd w:id="35"/>
    <w:bookmarkStart w:id="44" w:name="roles-in-microsoft-fabric"/>
    <w:p>
      <w:pPr>
        <w:pStyle w:val="Heading1"/>
        <w:pageBreakBefore/>
      </w:pPr>
      <w:r>
        <w:rPr>
          <w:rFonts w:ascii="Segoe UI" w:hAnsi="Segoe UI"/>
          <w:b w:val="0"/>
          <w:sz w:val="30"/>
        </w:rPr>
        <w:t xml:space="preserve">4.0 Roles in Microsoft Fabric</w:t>
      </w:r>
    </w:p>
    <w:p>
      <w:pPr>
        <w:pStyle w:val="FirstParagraph"/>
        <w:jc w:val="both"/>
      </w:pPr>
      <w:r>
        <w:rPr>
          <w:rFonts w:ascii="Segoe UI" w:hAnsi="Segoe UI"/>
          <w:sz w:val="22"/>
        </w:rPr>
        <w:t xml:space="preserve">This section defines the role-based access model for Microsoft Fabric as implemented for SIRIM Berhad. It details administrator assignment, native workspace roles, item-level permissions, and SIRIM-specific role mappings, including Row-Level Security (RLS) and semantic model access.</w:t>
      </w:r>
    </w:p>
    <w:bookmarkStart w:id="38" w:name="microsoft-fabric-administrator-role"/>
    <w:p>
      <w:pPr>
        <w:pStyle w:val="Heading2"/>
      </w:pPr>
      <w:r>
        <w:rPr>
          <w:rFonts w:ascii="Segoe UI" w:hAnsi="Segoe UI"/>
          <w:b w:val="0"/>
          <w:sz w:val="28"/>
        </w:rPr>
        <w:t xml:space="preserve">4.1 Microsoft Fabric Administrator Role</w:t>
      </w:r>
    </w:p>
    <w:p>
      <w:pPr>
        <w:pStyle w:val="FirstParagraph"/>
        <w:jc w:val="both"/>
      </w:pPr>
      <w:r>
        <w:rPr>
          <w:rFonts w:ascii="Segoe UI" w:hAnsi="Segoe UI"/>
          <w:sz w:val="22"/>
        </w:rPr>
        <w:t xml:space="preserve">The Microsoft Fabric Administrator role is critical for managing global workspace settings, user provisioning, and security configurations. SIRIM Berhad shall designate trusted personnel to this role, ensuring proper oversight and governance of all Fabric resources.</w:t>
      </w:r>
    </w:p>
    <w:bookmarkStart w:id="36" w:name="assigning-the-role"/>
    <w:p>
      <w:pPr>
        <w:pStyle w:val="Heading3"/>
      </w:pPr>
      <w:r>
        <w:rPr>
          <w:rFonts w:ascii="Segoe UI" w:hAnsi="Segoe UI"/>
          <w:b w:val="0"/>
          <w:sz w:val="26"/>
        </w:rPr>
        <w:t xml:space="preserve">Assigning the Role</w:t>
      </w:r>
    </w:p>
    <w:p>
      <w:pPr>
        <w:pStyle w:val="FirstParagraph"/>
        <w:jc w:val="both"/>
      </w:pPr>
      <w:r>
        <w:rPr>
          <w:rFonts w:ascii="Segoe UI" w:hAnsi="Segoe UI"/>
          <w:sz w:val="22"/>
        </w:rPr>
        <w:t xml:space="preserve">SIRIM Berhad shall assign the Fabric Administrator role to designated personnel via the Microsoft Fabric Admin Portal. The assignment process involves:</w:t>
      </w:r>
    </w:p>
    <w:p>
      <w:pPr>
        <w:pStyle w:val="Compact"/>
        <w:numPr>
          <w:ilvl w:val="0"/>
          <w:numId w:val="1002"/>
        </w:numPr>
        <w:jc w:val="both"/>
      </w:pPr>
      <w:r>
        <w:rPr>
          <w:rFonts w:ascii="Segoe UI" w:hAnsi="Segoe UI"/>
          <w:sz w:val="22"/>
        </w:rPr>
        <w:t xml:space="preserve">Identifying eligible candidates with appropriate technical and business authority, such as En Wazir and Puan Solehah.</w:t>
      </w:r>
    </w:p>
    <w:p>
      <w:pPr>
        <w:pStyle w:val="Compact"/>
        <w:numPr>
          <w:ilvl w:val="0"/>
          <w:numId w:val="1002"/>
        </w:numPr>
        <w:jc w:val="both"/>
      </w:pPr>
      <w:r>
        <w:rPr>
          <w:rFonts w:ascii="Segoe UI" w:hAnsi="Segoe UI"/>
          <w:sz w:val="22"/>
        </w:rPr>
        <w:t xml:space="preserve">Using the Admin Portal to grant the Fabric Admin role, ensuring that only authorized individuals can manage workspaces, permissions, and content lifecycle.</w:t>
      </w:r>
    </w:p>
    <w:p>
      <w:pPr>
        <w:pStyle w:val="Compact"/>
        <w:numPr>
          <w:ilvl w:val="0"/>
          <w:numId w:val="1002"/>
        </w:numPr>
        <w:jc w:val="both"/>
      </w:pPr>
      <w:r>
        <w:rPr>
          <w:rFonts w:ascii="Segoe UI" w:hAnsi="Segoe UI"/>
          <w:sz w:val="22"/>
        </w:rPr>
        <w:t xml:space="preserve">Periodically reviewing role assignments to maintain compliance and operational integrity.</w:t>
      </w:r>
    </w:p>
    <w:p>
      <w:pPr>
        <w:pStyle w:val="FirstParagraph"/>
        <w:jc w:val="both"/>
      </w:pPr>
      <w:r>
        <w:rPr>
          <w:rFonts w:ascii="Segoe UI" w:hAnsi="Segoe UI"/>
          <w:sz w:val="22"/>
        </w:rPr>
        <w:t xml:space="preserve">This approach aligns with Microsoft best practices, minimizing risk by restricting administrative privileges to vetted personnel.</w:t>
      </w:r>
    </w:p>
    <w:bookmarkEnd w:id="36"/>
    <w:bookmarkStart w:id="37" w:name="the-admin-portal-capabilities-table"/>
    <w:p>
      <w:pPr>
        <w:pStyle w:val="Heading3"/>
      </w:pPr>
      <w:r>
        <w:rPr>
          <w:rFonts w:ascii="Segoe UI" w:hAnsi="Segoe UI"/>
          <w:b w:val="0"/>
          <w:sz w:val="26"/>
        </w:rPr>
        <w:t xml:space="preserve">The Admin Portal Capabilities Table</w:t>
      </w:r>
    </w:p>
    <w:p>
      <w:pPr>
        <w:pStyle w:val="FirstParagraph"/>
        <w:jc w:val="both"/>
      </w:pPr>
      <w:r>
        <w:rPr>
          <w:rFonts w:ascii="Segoe UI" w:hAnsi="Segoe UI"/>
          <w:sz w:val="22"/>
        </w:rPr>
        <w:t xml:space="preserve">The following table summarizes the capabilities available to Fabric Administrators, highlighting those exclusive to the Admin role:</w:t>
      </w:r>
    </w:p>
    <w:tbl>
      <w:tblPr>
        <w:tblStyle w:val="GridTable4-Accent11"/>
        <w:tblW w:type="pct" w:w="5000"/>
        <w:tblLayout w:type="autofit"/>
        <w:tblLook w:firstRow="1" w:lastRow="0" w:firstColumn="1" w:lastColumn="0" w:noHBand="0" w:noVBand="1" w:val="04A0"/>
      </w:tblPr>
      <w:tblGrid>
        <w:gridCol w:w="2529"/>
        <w:gridCol w:w="4525"/>
        <w:gridCol w:w="865"/>
      </w:tblGrid>
      <w:tr>
        <w:trPr>
          <w:tblHeader w:val="on"/>
        </w:trPr>
        <w:tc>
          <w:tcPr/>
          <w:p>
            <w:pPr>
              <w:pStyle w:val="Compact"/>
            </w:pPr>
            <w:r>
              <w:rPr>
                <w:rFonts w:ascii="Segoe UI" w:hAnsi="Segoe UI"/>
                <w:sz w:val="22"/>
              </w:rPr>
              <w:t xml:space="preserve">Capability</w:t>
            </w:r>
          </w:p>
        </w:tc>
        <w:tc>
          <w:tcPr/>
          <w:p>
            <w:pPr>
              <w:pStyle w:val="Compact"/>
            </w:pPr>
            <w:r>
              <w:rPr>
                <w:rFonts w:ascii="Segoe UI" w:hAnsi="Segoe UI"/>
                <w:sz w:val="22"/>
              </w:rPr>
              <w:t xml:space="preserve">Description</w:t>
            </w:r>
          </w:p>
        </w:tc>
        <w:tc>
          <w:tcPr/>
          <w:p>
            <w:pPr>
              <w:pStyle w:val="Compact"/>
            </w:pPr>
            <w:r>
              <w:rPr>
                <w:rFonts w:ascii="Segoe UI" w:hAnsi="Segoe UI"/>
                <w:sz w:val="22"/>
              </w:rPr>
              <w:t xml:space="preserve">Admin Only?</w:t>
            </w:r>
          </w:p>
        </w:tc>
      </w:tr>
      <w:tr>
        <w:tc>
          <w:tcPr/>
          <w:p>
            <w:pPr>
              <w:pStyle w:val="Compact"/>
            </w:pPr>
            <w:r>
              <w:rPr>
                <w:rFonts w:ascii="Segoe UI" w:hAnsi="Segoe UI"/>
                <w:sz w:val="22"/>
              </w:rPr>
              <w:t xml:space="preserve">Manage workspace roles and permissions</w:t>
            </w:r>
          </w:p>
        </w:tc>
        <w:tc>
          <w:tcPr/>
          <w:p>
            <w:pPr>
              <w:pStyle w:val="Compact"/>
            </w:pPr>
            <w:r>
              <w:rPr>
                <w:rFonts w:ascii="Segoe UI" w:hAnsi="Segoe UI"/>
                <w:sz w:val="22"/>
              </w:rPr>
              <w:t xml:space="preserve">Add/remove users, assign roles, and configure access controls</w:t>
            </w:r>
          </w:p>
        </w:tc>
        <w:tc>
          <w:tcPr/>
          <w:p>
            <w:pPr>
              <w:pStyle w:val="Compact"/>
            </w:pPr>
            <w:r>
              <w:rPr>
                <w:rFonts w:ascii="Segoe UI" w:hAnsi="Segoe UI"/>
                <w:sz w:val="22"/>
              </w:rPr>
              <w:t xml:space="preserve">Yes</w:t>
            </w:r>
          </w:p>
        </w:tc>
      </w:tr>
      <w:tr>
        <w:tc>
          <w:tcPr/>
          <w:p>
            <w:pPr>
              <w:pStyle w:val="Compact"/>
            </w:pPr>
            <w:r>
              <w:rPr>
                <w:rFonts w:ascii="Segoe UI" w:hAnsi="Segoe UI"/>
                <w:sz w:val="22"/>
              </w:rPr>
              <w:t xml:space="preserve">Publish/edit/delete content</w:t>
            </w:r>
          </w:p>
        </w:tc>
        <w:tc>
          <w:tcPr/>
          <w:p>
            <w:pPr>
              <w:pStyle w:val="Compact"/>
            </w:pPr>
            <w:r>
              <w:rPr>
                <w:rFonts w:ascii="Segoe UI" w:hAnsi="Segoe UI"/>
                <w:sz w:val="22"/>
              </w:rPr>
              <w:t xml:space="preserve">Oversee content lifecycle, including dashboards and datasets</w:t>
            </w:r>
          </w:p>
        </w:tc>
        <w:tc>
          <w:tcPr/>
          <w:p>
            <w:pPr>
              <w:pStyle w:val="Compact"/>
            </w:pPr>
            <w:r>
              <w:rPr>
                <w:rFonts w:ascii="Segoe UI" w:hAnsi="Segoe UI"/>
                <w:sz w:val="22"/>
              </w:rPr>
              <w:t xml:space="preserve">Yes</w:t>
            </w:r>
          </w:p>
        </w:tc>
      </w:tr>
      <w:tr>
        <w:tc>
          <w:tcPr/>
          <w:p>
            <w:pPr>
              <w:pStyle w:val="Compact"/>
            </w:pPr>
            <w:r>
              <w:rPr>
                <w:rFonts w:ascii="Segoe UI" w:hAnsi="Segoe UI"/>
                <w:sz w:val="22"/>
              </w:rPr>
              <w:t xml:space="preserve">Configure Row-Level Security (RLS)</w:t>
            </w:r>
          </w:p>
        </w:tc>
        <w:tc>
          <w:tcPr/>
          <w:p>
            <w:pPr>
              <w:pStyle w:val="Compact"/>
            </w:pPr>
            <w:r>
              <w:rPr>
                <w:rFonts w:ascii="Segoe UI" w:hAnsi="Segoe UI"/>
                <w:sz w:val="22"/>
              </w:rPr>
              <w:t xml:space="preserve">Define and enforce RLS policies for sensitive data</w:t>
            </w:r>
          </w:p>
        </w:tc>
        <w:tc>
          <w:tcPr/>
          <w:p>
            <w:pPr>
              <w:pStyle w:val="Compact"/>
            </w:pPr>
            <w:r>
              <w:rPr>
                <w:rFonts w:ascii="Segoe UI" w:hAnsi="Segoe UI"/>
                <w:sz w:val="22"/>
              </w:rPr>
              <w:t xml:space="preserve">Yes</w:t>
            </w:r>
          </w:p>
        </w:tc>
      </w:tr>
      <w:tr>
        <w:tc>
          <w:tcPr/>
          <w:p>
            <w:pPr>
              <w:pStyle w:val="Compact"/>
            </w:pPr>
            <w:r>
              <w:rPr>
                <w:rFonts w:ascii="Segoe UI" w:hAnsi="Segoe UI"/>
                <w:sz w:val="22"/>
              </w:rPr>
              <w:t xml:space="preserve">Semantic model management</w:t>
            </w:r>
          </w:p>
        </w:tc>
        <w:tc>
          <w:tcPr/>
          <w:p>
            <w:pPr>
              <w:pStyle w:val="Compact"/>
            </w:pPr>
            <w:r>
              <w:rPr>
                <w:rFonts w:ascii="Segoe UI" w:hAnsi="Segoe UI"/>
                <w:sz w:val="22"/>
              </w:rPr>
              <w:t xml:space="preserve">Create, modify, and secure semantic models for reporting</w:t>
            </w:r>
          </w:p>
        </w:tc>
        <w:tc>
          <w:tcPr/>
          <w:p>
            <w:pPr>
              <w:pStyle w:val="Compact"/>
            </w:pPr>
            <w:r>
              <w:rPr>
                <w:rFonts w:ascii="Segoe UI" w:hAnsi="Segoe UI"/>
                <w:sz w:val="22"/>
              </w:rPr>
              <w:t xml:space="preserve">Yes</w:t>
            </w:r>
          </w:p>
        </w:tc>
      </w:tr>
      <w:tr>
        <w:tc>
          <w:tcPr/>
          <w:p>
            <w:pPr>
              <w:pStyle w:val="Compact"/>
            </w:pPr>
            <w:r>
              <w:rPr>
                <w:rFonts w:ascii="Segoe UI" w:hAnsi="Segoe UI"/>
                <w:sz w:val="22"/>
              </w:rPr>
              <w:t xml:space="preserve">Audit and activity tracking</w:t>
            </w:r>
          </w:p>
        </w:tc>
        <w:tc>
          <w:tcPr/>
          <w:p>
            <w:pPr>
              <w:pStyle w:val="Compact"/>
            </w:pPr>
            <w:r>
              <w:rPr>
                <w:rFonts w:ascii="Segoe UI" w:hAnsi="Segoe UI"/>
                <w:sz w:val="22"/>
              </w:rPr>
              <w:t xml:space="preserve">Monitor workspace activity and access logs</w:t>
            </w:r>
          </w:p>
        </w:tc>
        <w:tc>
          <w:tcPr/>
          <w:p>
            <w:pPr>
              <w:pStyle w:val="Compact"/>
            </w:pPr>
            <w:r>
              <w:rPr>
                <w:rFonts w:ascii="Segoe UI" w:hAnsi="Segoe UI"/>
                <w:sz w:val="22"/>
              </w:rPr>
              <w:t xml:space="preserve">Yes</w:t>
            </w:r>
          </w:p>
        </w:tc>
      </w:tr>
      <w:tr>
        <w:tc>
          <w:tcPr/>
          <w:p>
            <w:pPr>
              <w:pStyle w:val="Compact"/>
            </w:pPr>
            <w:r>
              <w:rPr>
                <w:rFonts w:ascii="Segoe UI" w:hAnsi="Segoe UI"/>
                <w:sz w:val="22"/>
              </w:rPr>
              <w:t xml:space="preserve">Workspace settings management</w:t>
            </w:r>
          </w:p>
        </w:tc>
        <w:tc>
          <w:tcPr/>
          <w:p>
            <w:pPr>
              <w:pStyle w:val="Compact"/>
            </w:pPr>
            <w:r>
              <w:rPr>
                <w:rFonts w:ascii="Segoe UI" w:hAnsi="Segoe UI"/>
                <w:sz w:val="22"/>
              </w:rPr>
              <w:t xml:space="preserve">Configure workspace properties and integrations</w:t>
            </w:r>
          </w:p>
        </w:tc>
        <w:tc>
          <w:tcPr/>
          <w:p>
            <w:pPr>
              <w:pStyle w:val="Compact"/>
            </w:pPr>
            <w:r>
              <w:rPr>
                <w:rFonts w:ascii="Segoe UI" w:hAnsi="Segoe UI"/>
                <w:sz w:val="22"/>
              </w:rPr>
              <w:t xml:space="preserve">Yes</w:t>
            </w:r>
          </w:p>
        </w:tc>
      </w:tr>
    </w:tbl>
    <w:p>
      <w:pPr>
        <w:pStyle w:val="BodyText"/>
        <w:jc w:val="both"/>
      </w:pPr>
      <w:r>
        <w:rPr>
          <w:rFonts w:ascii="Segoe UI" w:hAnsi="Segoe UI"/>
          <w:sz w:val="22"/>
        </w:rPr>
        <w:t xml:space="preserve">This table clarifies the exclusive capabilities of Fabric Administrators, ensuring SIRIM Berhad maintains strict control over critical workspace functions.</w:t>
      </w:r>
    </w:p>
    <w:bookmarkEnd w:id="37"/>
    <w:bookmarkEnd w:id="38"/>
    <w:bookmarkStart w:id="41" w:name="microsoft-fabric-native-roles"/>
    <w:p>
      <w:pPr>
        <w:pStyle w:val="Heading2"/>
      </w:pPr>
      <w:r>
        <w:rPr>
          <w:rFonts w:ascii="Segoe UI" w:hAnsi="Segoe UI"/>
          <w:b w:val="0"/>
          <w:sz w:val="28"/>
        </w:rPr>
        <w:t xml:space="preserve">4.2 Microsoft Fabric-native Roles</w:t>
      </w:r>
    </w:p>
    <w:p>
      <w:pPr>
        <w:pStyle w:val="FirstParagraph"/>
        <w:jc w:val="both"/>
      </w:pPr>
      <w:r>
        <w:rPr>
          <w:rFonts w:ascii="Segoe UI" w:hAnsi="Segoe UI"/>
          <w:sz w:val="22"/>
        </w:rPr>
        <w:t xml:space="preserve">Microsoft Fabric provides a granular role-based access model at both the workspace and item levels. SIRIM Berhad shall leverage these roles to enforce least-privilege access and operational separation.</w:t>
      </w:r>
    </w:p>
    <w:bookmarkStart w:id="39" w:name="workspace-level-roles"/>
    <w:p>
      <w:pPr>
        <w:pStyle w:val="Heading3"/>
      </w:pPr>
      <w:r>
        <w:rPr>
          <w:rFonts w:ascii="Segoe UI" w:hAnsi="Segoe UI"/>
          <w:b w:val="0"/>
          <w:sz w:val="26"/>
        </w:rPr>
        <w:t xml:space="preserve">Workspace-level Roles</w:t>
      </w:r>
    </w:p>
    <w:p>
      <w:pPr>
        <w:pStyle w:val="FirstParagraph"/>
        <w:jc w:val="both"/>
      </w:pPr>
      <w:r>
        <w:rPr>
          <w:rFonts w:ascii="Segoe UI" w:hAnsi="Segoe UI"/>
          <w:sz w:val="22"/>
        </w:rPr>
        <w:t xml:space="preserve">Workspace roles define the scope of actions users can perform within a Fabric workspace. The following table outlines the roles, their capabilities, and associated permissions:</w:t>
      </w:r>
    </w:p>
    <w:tbl>
      <w:tblPr>
        <w:tblStyle w:val="GridTable4-Accent11"/>
        <w:tblW w:type="pct" w:w="5000"/>
        <w:tblLayout w:type="autofit"/>
        <w:tblLook w:firstRow="1" w:lastRow="0" w:firstColumn="1" w:lastColumn="0" w:noHBand="0" w:noVBand="1" w:val="04A0"/>
      </w:tblPr>
      <w:tblGrid>
        <w:gridCol w:w="880"/>
        <w:gridCol w:w="3926"/>
        <w:gridCol w:w="3113"/>
      </w:tblGrid>
      <w:tr>
        <w:trPr>
          <w:tblHeader w:val="on"/>
        </w:trPr>
        <w:tc>
          <w:tcPr/>
          <w:p>
            <w:pPr>
              <w:pStyle w:val="Compact"/>
            </w:pPr>
            <w:r>
              <w:rPr>
                <w:rFonts w:ascii="Segoe UI" w:hAnsi="Segoe UI"/>
                <w:sz w:val="22"/>
              </w:rPr>
              <w:t xml:space="preserve">Role</w:t>
            </w:r>
          </w:p>
        </w:tc>
        <w:tc>
          <w:tcPr/>
          <w:p>
            <w:pPr>
              <w:pStyle w:val="Compact"/>
            </w:pPr>
            <w:r>
              <w:rPr>
                <w:rFonts w:ascii="Segoe UI" w:hAnsi="Segoe UI"/>
                <w:sz w:val="22"/>
              </w:rPr>
              <w:t xml:space="preserve">Capabilities</w:t>
            </w:r>
          </w:p>
        </w:tc>
        <w:tc>
          <w:tcPr/>
          <w:p>
            <w:pPr>
              <w:pStyle w:val="Compact"/>
            </w:pPr>
            <w:r>
              <w:rPr>
                <w:rFonts w:ascii="Segoe UI" w:hAnsi="Segoe UI"/>
                <w:sz w:val="22"/>
              </w:rPr>
              <w:t xml:space="preserve">Permissions</w:t>
            </w:r>
          </w:p>
        </w:tc>
      </w:tr>
      <w:tr>
        <w:tc>
          <w:tcPr/>
          <w:p>
            <w:pPr>
              <w:pStyle w:val="Compact"/>
            </w:pPr>
            <w:r>
              <w:rPr>
                <w:rFonts w:ascii="Segoe UI" w:hAnsi="Segoe UI"/>
                <w:sz w:val="22"/>
              </w:rPr>
              <w:t xml:space="preserve">Admin</w:t>
            </w:r>
          </w:p>
        </w:tc>
        <w:tc>
          <w:tcPr/>
          <w:p>
            <w:pPr>
              <w:pStyle w:val="Compact"/>
            </w:pPr>
            <w:r>
              <w:rPr>
                <w:rFonts w:ascii="Segoe UI" w:hAnsi="Segoe UI"/>
                <w:sz w:val="22"/>
              </w:rPr>
              <w:t xml:space="preserve">Manage roles, permissions, publish/edit/delete content</w:t>
            </w:r>
          </w:p>
        </w:tc>
        <w:tc>
          <w:tcPr/>
          <w:p>
            <w:pPr>
              <w:pStyle w:val="Compact"/>
            </w:pPr>
            <w:r>
              <w:rPr>
                <w:rFonts w:ascii="Segoe UI" w:hAnsi="Segoe UI"/>
                <w:sz w:val="22"/>
              </w:rPr>
              <w:t xml:space="preserve">Full control; can add/remove users</w:t>
            </w:r>
          </w:p>
        </w:tc>
      </w:tr>
      <w:tr>
        <w:tc>
          <w:tcPr/>
          <w:p>
            <w:pPr>
              <w:pStyle w:val="Compact"/>
            </w:pPr>
            <w:r>
              <w:rPr>
                <w:rFonts w:ascii="Segoe UI" w:hAnsi="Segoe UI"/>
                <w:sz w:val="22"/>
              </w:rPr>
              <w:t xml:space="preserve">Contributor</w:t>
            </w:r>
          </w:p>
        </w:tc>
        <w:tc>
          <w:tcPr/>
          <w:p>
            <w:pPr>
              <w:pStyle w:val="Compact"/>
            </w:pPr>
            <w:r>
              <w:rPr>
                <w:rFonts w:ascii="Segoe UI" w:hAnsi="Segoe UI"/>
                <w:sz w:val="22"/>
              </w:rPr>
              <w:t xml:space="preserve">Create/edit/delete own content; limited settings access</w:t>
            </w:r>
          </w:p>
        </w:tc>
        <w:tc>
          <w:tcPr/>
          <w:p>
            <w:pPr>
              <w:pStyle w:val="Compact"/>
            </w:pPr>
            <w:r>
              <w:rPr>
                <w:rFonts w:ascii="Segoe UI" w:hAnsi="Segoe UI"/>
                <w:sz w:val="22"/>
              </w:rPr>
              <w:t xml:space="preserve">Modify own content; cannot manage permissions</w:t>
            </w:r>
          </w:p>
        </w:tc>
      </w:tr>
      <w:tr>
        <w:tc>
          <w:tcPr/>
          <w:p>
            <w:pPr>
              <w:pStyle w:val="Compact"/>
            </w:pPr>
            <w:r>
              <w:rPr>
                <w:rFonts w:ascii="Segoe UI" w:hAnsi="Segoe UI"/>
                <w:sz w:val="22"/>
              </w:rPr>
              <w:t xml:space="preserve">Member</w:t>
            </w:r>
          </w:p>
        </w:tc>
        <w:tc>
          <w:tcPr/>
          <w:p>
            <w:pPr>
              <w:pStyle w:val="Compact"/>
            </w:pPr>
            <w:r>
              <w:rPr>
                <w:rFonts w:ascii="Segoe UI" w:hAnsi="Segoe UI"/>
                <w:sz w:val="22"/>
              </w:rPr>
              <w:t xml:space="preserve">Create/edit/delete reports, pipelines; share content</w:t>
            </w:r>
          </w:p>
        </w:tc>
        <w:tc>
          <w:tcPr/>
          <w:p>
            <w:pPr>
              <w:pStyle w:val="Compact"/>
            </w:pPr>
            <w:r>
              <w:rPr>
                <w:rFonts w:ascii="Segoe UI" w:hAnsi="Segoe UI"/>
                <w:sz w:val="22"/>
              </w:rPr>
              <w:t xml:space="preserve">Share and collaborate; no role management</w:t>
            </w:r>
          </w:p>
        </w:tc>
      </w:tr>
      <w:tr>
        <w:tc>
          <w:tcPr/>
          <w:p>
            <w:pPr>
              <w:pStyle w:val="Compact"/>
            </w:pPr>
            <w:r>
              <w:rPr>
                <w:rFonts w:ascii="Segoe UI" w:hAnsi="Segoe UI"/>
                <w:sz w:val="22"/>
              </w:rPr>
              <w:t xml:space="preserve">Viewer</w:t>
            </w:r>
          </w:p>
        </w:tc>
        <w:tc>
          <w:tcPr/>
          <w:p>
            <w:pPr>
              <w:pStyle w:val="Compact"/>
            </w:pPr>
            <w:r>
              <w:rPr>
                <w:rFonts w:ascii="Segoe UI" w:hAnsi="Segoe UI"/>
                <w:sz w:val="22"/>
              </w:rPr>
              <w:t xml:space="preserve">View reports/dashboards; no edit/publish rights</w:t>
            </w:r>
          </w:p>
        </w:tc>
        <w:tc>
          <w:tcPr/>
          <w:p>
            <w:pPr>
              <w:pStyle w:val="Compact"/>
            </w:pPr>
            <w:r>
              <w:rPr>
                <w:rFonts w:ascii="Segoe UI" w:hAnsi="Segoe UI"/>
                <w:sz w:val="22"/>
              </w:rPr>
              <w:t xml:space="preserve">Read-only access to workspace content</w:t>
            </w:r>
          </w:p>
        </w:tc>
      </w:tr>
    </w:tbl>
    <w:p>
      <w:pPr>
        <w:pStyle w:val="BodyText"/>
        <w:jc w:val="both"/>
      </w:pPr>
      <w:r>
        <w:rPr>
          <w:rFonts w:ascii="Segoe UI" w:hAnsi="Segoe UI"/>
          <w:sz w:val="22"/>
        </w:rPr>
        <w:t xml:space="preserve">Workspace-level roles are assigned based on operational requirements, ensuring SIRIM Berhad users have access only to the functions necessary for their duties.</w:t>
      </w:r>
    </w:p>
    <w:bookmarkEnd w:id="39"/>
    <w:bookmarkStart w:id="40" w:name="item-level-roles"/>
    <w:p>
      <w:pPr>
        <w:pStyle w:val="Heading3"/>
      </w:pPr>
      <w:r>
        <w:rPr>
          <w:rFonts w:ascii="Segoe UI" w:hAnsi="Segoe UI"/>
          <w:b w:val="0"/>
          <w:sz w:val="26"/>
        </w:rPr>
        <w:t xml:space="preserve">Item-level Roles</w:t>
      </w:r>
    </w:p>
    <w:p>
      <w:pPr>
        <w:pStyle w:val="FirstParagraph"/>
        <w:jc w:val="both"/>
      </w:pPr>
      <w:r>
        <w:rPr>
          <w:rFonts w:ascii="Segoe UI" w:hAnsi="Segoe UI"/>
          <w:sz w:val="22"/>
        </w:rPr>
        <w:t xml:space="preserve">Item-level roles provide fine-grained control over individual content objects within a workspace, such as datasets, reports, and pipelines. The following table details item-level permissions:</w:t>
      </w:r>
    </w:p>
    <w:tbl>
      <w:tblPr>
        <w:tblStyle w:val="GridTable4-Accent11"/>
        <w:tblW w:type="pct" w:w="5000"/>
        <w:tblLayout w:type="autofit"/>
        <w:tblLook w:firstRow="1" w:lastRow="0" w:firstColumn="1" w:lastColumn="0" w:noHBand="0" w:noVBand="1" w:val="04A0"/>
      </w:tblPr>
      <w:tblGrid>
        <w:gridCol w:w="1410"/>
        <w:gridCol w:w="1518"/>
        <w:gridCol w:w="4990"/>
      </w:tblGrid>
      <w:tr>
        <w:trPr>
          <w:tblHeader w:val="on"/>
        </w:trPr>
        <w:tc>
          <w:tcPr/>
          <w:p>
            <w:pPr>
              <w:pStyle w:val="Compact"/>
            </w:pPr>
            <w:r>
              <w:rPr>
                <w:rFonts w:ascii="Segoe UI" w:hAnsi="Segoe UI"/>
                <w:sz w:val="22"/>
              </w:rPr>
              <w:t xml:space="preserve">Item</w:t>
            </w:r>
          </w:p>
        </w:tc>
        <w:tc>
          <w:tcPr/>
          <w:p>
            <w:pPr>
              <w:pStyle w:val="Compact"/>
            </w:pPr>
            <w:r>
              <w:rPr>
                <w:rFonts w:ascii="Segoe UI" w:hAnsi="Segoe UI"/>
                <w:sz w:val="22"/>
              </w:rPr>
              <w:t xml:space="preserve">Role</w:t>
            </w:r>
          </w:p>
        </w:tc>
        <w:tc>
          <w:tcPr/>
          <w:p>
            <w:pPr>
              <w:pStyle w:val="Compact"/>
            </w:pPr>
            <w:r>
              <w:rPr>
                <w:rFonts w:ascii="Segoe UI" w:hAnsi="Segoe UI"/>
                <w:sz w:val="22"/>
              </w:rPr>
              <w:t xml:space="preserve">Permissions</w:t>
            </w:r>
          </w:p>
        </w:tc>
      </w:tr>
      <w:tr>
        <w:tc>
          <w:tcPr/>
          <w:p>
            <w:pPr>
              <w:pStyle w:val="Compact"/>
            </w:pPr>
            <w:r>
              <w:rPr>
                <w:rFonts w:ascii="Segoe UI" w:hAnsi="Segoe UI"/>
                <w:sz w:val="22"/>
              </w:rPr>
              <w:t xml:space="preserve">Dataset</w:t>
            </w:r>
          </w:p>
        </w:tc>
        <w:tc>
          <w:tcPr/>
          <w:p>
            <w:pPr>
              <w:pStyle w:val="Compact"/>
            </w:pPr>
            <w:r>
              <w:rPr>
                <w:rFonts w:ascii="Segoe UI" w:hAnsi="Segoe UI"/>
                <w:sz w:val="22"/>
              </w:rPr>
              <w:t xml:space="preserve">Owner</w:t>
            </w:r>
          </w:p>
        </w:tc>
        <w:tc>
          <w:tcPr/>
          <w:p>
            <w:pPr>
              <w:pStyle w:val="Compact"/>
            </w:pPr>
            <w:r>
              <w:rPr>
                <w:rFonts w:ascii="Segoe UI" w:hAnsi="Segoe UI"/>
                <w:sz w:val="22"/>
              </w:rPr>
              <w:t xml:space="preserve">Full control; manage RLS, edit/delete</w:t>
            </w:r>
          </w:p>
        </w:tc>
      </w:tr>
      <w:tr>
        <w:tc>
          <w:tcPr/>
          <w:p>
            <w:pPr>
              <w:pStyle w:val="Compact"/>
            </w:pPr>
            <w:r>
              <w:rPr>
                <w:rFonts w:ascii="Segoe UI" w:hAnsi="Segoe UI"/>
                <w:sz w:val="22"/>
              </w:rPr>
              <w:t xml:space="preserve">Report</w:t>
            </w:r>
          </w:p>
        </w:tc>
        <w:tc>
          <w:tcPr/>
          <w:p>
            <w:pPr>
              <w:pStyle w:val="Compact"/>
            </w:pPr>
            <w:r>
              <w:rPr>
                <w:rFonts w:ascii="Segoe UI" w:hAnsi="Segoe UI"/>
                <w:sz w:val="22"/>
              </w:rPr>
              <w:t xml:space="preserve">Contributor</w:t>
            </w:r>
          </w:p>
        </w:tc>
        <w:tc>
          <w:tcPr/>
          <w:p>
            <w:pPr>
              <w:pStyle w:val="Compact"/>
            </w:pPr>
            <w:r>
              <w:rPr>
                <w:rFonts w:ascii="Segoe UI" w:hAnsi="Segoe UI"/>
                <w:sz w:val="22"/>
              </w:rPr>
              <w:t xml:space="preserve">Edit report; cannot publish or delete</w:t>
            </w:r>
          </w:p>
        </w:tc>
      </w:tr>
      <w:tr>
        <w:tc>
          <w:tcPr/>
          <w:p>
            <w:pPr>
              <w:pStyle w:val="Compact"/>
            </w:pPr>
            <w:r>
              <w:rPr>
                <w:rFonts w:ascii="Segoe UI" w:hAnsi="Segoe UI"/>
                <w:sz w:val="22"/>
              </w:rPr>
              <w:t xml:space="preserve">Pipeline</w:t>
            </w:r>
          </w:p>
        </w:tc>
        <w:tc>
          <w:tcPr/>
          <w:p>
            <w:pPr>
              <w:pStyle w:val="Compact"/>
            </w:pPr>
            <w:r>
              <w:rPr>
                <w:rFonts w:ascii="Segoe UI" w:hAnsi="Segoe UI"/>
                <w:sz w:val="22"/>
              </w:rPr>
              <w:t xml:space="preserve">Member</w:t>
            </w:r>
          </w:p>
        </w:tc>
        <w:tc>
          <w:tcPr/>
          <w:p>
            <w:pPr>
              <w:pStyle w:val="Compact"/>
            </w:pPr>
            <w:r>
              <w:rPr>
                <w:rFonts w:ascii="Segoe UI" w:hAnsi="Segoe UI"/>
                <w:sz w:val="22"/>
              </w:rPr>
              <w:t xml:space="preserve">Execute pipeline; view logs</w:t>
            </w:r>
          </w:p>
        </w:tc>
      </w:tr>
      <w:tr>
        <w:tc>
          <w:tcPr/>
          <w:p>
            <w:pPr>
              <w:pStyle w:val="Compact"/>
            </w:pPr>
            <w:r>
              <w:rPr>
                <w:rFonts w:ascii="Segoe UI" w:hAnsi="Segoe UI"/>
                <w:sz w:val="22"/>
              </w:rPr>
              <w:t xml:space="preserve">Dashboard</w:t>
            </w:r>
          </w:p>
        </w:tc>
        <w:tc>
          <w:tcPr/>
          <w:p>
            <w:pPr>
              <w:pStyle w:val="Compact"/>
            </w:pPr>
            <w:r>
              <w:rPr>
                <w:rFonts w:ascii="Segoe UI" w:hAnsi="Segoe UI"/>
                <w:sz w:val="22"/>
              </w:rPr>
              <w:t xml:space="preserve">Viewer</w:t>
            </w:r>
          </w:p>
        </w:tc>
        <w:tc>
          <w:tcPr/>
          <w:p>
            <w:pPr>
              <w:pStyle w:val="Compact"/>
            </w:pPr>
            <w:r>
              <w:rPr>
                <w:rFonts w:ascii="Segoe UI" w:hAnsi="Segoe UI"/>
                <w:sz w:val="22"/>
              </w:rPr>
              <w:t xml:space="preserve">View dashboard; no modification rights</w:t>
            </w:r>
          </w:p>
        </w:tc>
      </w:tr>
    </w:tbl>
    <w:p>
      <w:pPr>
        <w:pStyle w:val="BodyText"/>
        <w:jc w:val="both"/>
      </w:pPr>
      <w:r>
        <w:rPr>
          <w:rFonts w:ascii="Segoe UI" w:hAnsi="Segoe UI"/>
          <w:sz w:val="22"/>
        </w:rPr>
        <w:t xml:space="preserve">By applying item-level roles, SIRIM Berhad can restrict access to sensitive data and ensure compliance with internal policies.</w:t>
      </w:r>
    </w:p>
    <w:bookmarkEnd w:id="40"/>
    <w:bookmarkEnd w:id="41"/>
    <w:bookmarkStart w:id="43" w:name="sirim-workspace-role-and-access"/>
    <w:p>
      <w:pPr>
        <w:pStyle w:val="Heading2"/>
      </w:pPr>
      <w:r>
        <w:rPr>
          <w:rFonts w:ascii="Segoe UI" w:hAnsi="Segoe UI"/>
          <w:b w:val="0"/>
          <w:sz w:val="28"/>
        </w:rPr>
        <w:t xml:space="preserve">4.3 SIRIM Workspace Role and Access</w:t>
      </w:r>
    </w:p>
    <w:p>
      <w:pPr>
        <w:pStyle w:val="FirstParagraph"/>
        <w:jc w:val="both"/>
      </w:pPr>
      <w:r>
        <w:rPr>
          <w:rFonts w:ascii="Segoe UI" w:hAnsi="Segoe UI"/>
          <w:sz w:val="22"/>
        </w:rPr>
        <w:t xml:space="preserve">SIRIM Berhad shall implement a structured mapping of personnel to Fabric workspace roles, based on operational needs and group assignments. The following table provides the recommended mapping:</w:t>
      </w:r>
    </w:p>
    <w:tbl>
      <w:tblPr>
        <w:tblStyle w:val="GridTable4-Accent11"/>
        <w:tblW w:type="pct" w:w="5000"/>
        <w:tblLayout w:type="autofit"/>
        <w:tblLook w:firstRow="1" w:lastRow="0" w:firstColumn="1" w:lastColumn="0" w:noHBand="0" w:noVBand="1" w:val="04A0"/>
      </w:tblPr>
      <w:tblGrid>
        <w:gridCol w:w="1980"/>
        <w:gridCol w:w="3111"/>
        <w:gridCol w:w="2828"/>
      </w:tblGrid>
      <w:tr>
        <w:trPr>
          <w:tblHeader w:val="on"/>
        </w:trPr>
        <w:tc>
          <w:tcPr/>
          <w:p>
            <w:pPr>
              <w:pStyle w:val="Compact"/>
            </w:pPr>
            <w:r>
              <w:rPr>
                <w:rFonts w:ascii="Segoe UI" w:hAnsi="Segoe UI"/>
                <w:sz w:val="22"/>
              </w:rPr>
              <w:t xml:space="preserve">Workspace Role</w:t>
            </w:r>
          </w:p>
        </w:tc>
        <w:tc>
          <w:tcPr/>
          <w:p>
            <w:pPr>
              <w:pStyle w:val="Compact"/>
            </w:pPr>
            <w:r>
              <w:rPr>
                <w:rFonts w:ascii="Segoe UI" w:hAnsi="Segoe UI"/>
                <w:sz w:val="22"/>
              </w:rPr>
              <w:t xml:space="preserve">Suggested Role</w:t>
            </w:r>
          </w:p>
        </w:tc>
        <w:tc>
          <w:tcPr/>
          <w:p>
            <w:pPr>
              <w:pStyle w:val="Compact"/>
            </w:pPr>
            <w:r>
              <w:rPr>
                <w:rFonts w:ascii="Segoe UI" w:hAnsi="Segoe UI"/>
                <w:sz w:val="22"/>
              </w:rPr>
              <w:t xml:space="preserve">SIRIM PIC</w:t>
            </w:r>
          </w:p>
        </w:tc>
      </w:tr>
      <w:tr>
        <w:tc>
          <w:tcPr/>
          <w:p>
            <w:pPr>
              <w:pStyle w:val="Compact"/>
            </w:pPr>
            <w:r>
              <w:rPr>
                <w:rFonts w:ascii="Segoe UI" w:hAnsi="Segoe UI"/>
                <w:sz w:val="22"/>
              </w:rPr>
              <w:t xml:space="preserve">Workspace Admin</w:t>
            </w:r>
          </w:p>
        </w:tc>
        <w:tc>
          <w:tcPr/>
          <w:p>
            <w:pPr>
              <w:pStyle w:val="Compact"/>
            </w:pPr>
            <w:r>
              <w:rPr>
                <w:rFonts w:ascii="Segoe UI" w:hAnsi="Segoe UI"/>
                <w:sz w:val="22"/>
              </w:rPr>
              <w:t xml:space="preserve">Fabric Admin/Data Engineer</w:t>
            </w:r>
          </w:p>
        </w:tc>
        <w:tc>
          <w:tcPr/>
          <w:p>
            <w:pPr>
              <w:pStyle w:val="Compact"/>
            </w:pPr>
            <w:r>
              <w:rPr>
                <w:rFonts w:ascii="Segoe UI" w:hAnsi="Segoe UI"/>
                <w:sz w:val="22"/>
              </w:rPr>
              <w:t xml:space="preserve">En Wazir, Puan Solehah</w:t>
            </w:r>
          </w:p>
        </w:tc>
      </w:tr>
      <w:tr>
        <w:tc>
          <w:tcPr/>
          <w:p>
            <w:pPr>
              <w:pStyle w:val="Compact"/>
            </w:pPr>
            <w:r>
              <w:rPr>
                <w:rFonts w:ascii="Segoe UI" w:hAnsi="Segoe UI"/>
                <w:sz w:val="22"/>
              </w:rPr>
              <w:t xml:space="preserve">Workspace Contributor</w:t>
            </w:r>
          </w:p>
        </w:tc>
        <w:tc>
          <w:tcPr/>
          <w:p>
            <w:pPr>
              <w:pStyle w:val="Compact"/>
            </w:pPr>
            <w:r>
              <w:rPr>
                <w:rFonts w:ascii="Segoe UI" w:hAnsi="Segoe UI"/>
                <w:sz w:val="22"/>
              </w:rPr>
              <w:t xml:space="preserve">Data Engineer/Business User Admin</w:t>
            </w:r>
          </w:p>
        </w:tc>
        <w:tc>
          <w:tcPr/>
          <w:p>
            <w:pPr>
              <w:pStyle w:val="Compact"/>
            </w:pPr>
            <w:r>
              <w:rPr>
                <w:rFonts w:ascii="Segoe UI" w:hAnsi="Segoe UI"/>
                <w:sz w:val="22"/>
              </w:rPr>
              <w:t xml:space="preserve">Aina, Khairul, Puan Solehah</w:t>
            </w:r>
          </w:p>
        </w:tc>
      </w:tr>
      <w:tr>
        <w:tc>
          <w:tcPr/>
          <w:p>
            <w:pPr>
              <w:pStyle w:val="Compact"/>
            </w:pPr>
            <w:r>
              <w:rPr>
                <w:rFonts w:ascii="Segoe UI" w:hAnsi="Segoe UI"/>
                <w:sz w:val="22"/>
              </w:rPr>
              <w:t xml:space="preserve">Workspace Viewer</w:t>
            </w:r>
          </w:p>
        </w:tc>
        <w:tc>
          <w:tcPr/>
          <w:p>
            <w:pPr>
              <w:pStyle w:val="Compact"/>
            </w:pPr>
            <w:r>
              <w:rPr>
                <w:rFonts w:ascii="Segoe UI" w:hAnsi="Segoe UI"/>
                <w:sz w:val="22"/>
              </w:rPr>
              <w:t xml:space="preserve">Data Analyst</w:t>
            </w:r>
          </w:p>
        </w:tc>
        <w:tc>
          <w:tcPr/>
          <w:p>
            <w:pPr>
              <w:pStyle w:val="Compact"/>
            </w:pPr>
            <w:r>
              <w:rPr>
                <w:rFonts w:ascii="Segoe UI" w:hAnsi="Segoe UI"/>
                <w:sz w:val="22"/>
              </w:rPr>
              <w:t xml:space="preserve">Aina, Khairul, Puan Solehah</w:t>
            </w:r>
          </w:p>
        </w:tc>
      </w:tr>
      <w:tr>
        <w:tc>
          <w:tcPr/>
          <w:p>
            <w:pPr>
              <w:pStyle w:val="Compact"/>
            </w:pPr>
            <w:r>
              <w:rPr>
                <w:rFonts w:ascii="Segoe UI" w:hAnsi="Segoe UI"/>
                <w:sz w:val="22"/>
              </w:rPr>
              <w:t xml:space="preserve">Workspace Member</w:t>
            </w:r>
          </w:p>
        </w:tc>
        <w:tc>
          <w:tcPr/>
          <w:p>
            <w:pPr>
              <w:pStyle w:val="Compact"/>
            </w:pPr>
            <w:r>
              <w:rPr>
                <w:rFonts w:ascii="Segoe UI" w:hAnsi="Segoe UI"/>
                <w:sz w:val="22"/>
              </w:rPr>
              <w:t xml:space="preserve">Data Engineer</w:t>
            </w:r>
          </w:p>
        </w:tc>
        <w:tc>
          <w:tcPr/>
          <w:p>
            <w:pPr>
              <w:pStyle w:val="Compact"/>
            </w:pPr>
            <w:r>
              <w:rPr>
                <w:rFonts w:ascii="Segoe UI" w:hAnsi="Segoe UI"/>
                <w:sz w:val="22"/>
              </w:rPr>
              <w:t xml:space="preserve">Aina, Khairul, Puan Solehah</w:t>
            </w:r>
          </w:p>
        </w:tc>
      </w:tr>
    </w:tbl>
    <w:p>
      <w:pPr>
        <w:pStyle w:val="BodyText"/>
        <w:jc w:val="both"/>
      </w:pPr>
      <w:r>
        <w:rPr>
          <w:rFonts w:ascii="Segoe UI" w:hAnsi="Segoe UI"/>
          <w:sz w:val="22"/>
        </w:rPr>
        <w:t xml:space="preserve">This mapping ensures clear accountability and operational efficiency, allowing SIRIM Berhad to maintain a robust access model aligned with business processes.</w:t>
      </w:r>
    </w:p>
    <w:bookmarkStart w:id="42" w:name="X981061f836e09a5a5a463a5fdd1a869e8bf2a3b"/>
    <w:p>
      <w:pPr>
        <w:pStyle w:val="Heading3"/>
      </w:pPr>
      <w:r>
        <w:rPr>
          <w:rFonts w:ascii="Segoe UI" w:hAnsi="Segoe UI"/>
          <w:b w:val="0"/>
          <w:sz w:val="26"/>
        </w:rPr>
        <w:t xml:space="preserve">Row-Level Security (RLS) and Semantic Model Access</w:t>
      </w:r>
    </w:p>
    <w:p>
      <w:pPr>
        <w:pStyle w:val="FirstParagraph"/>
        <w:jc w:val="both"/>
      </w:pPr>
      <w:r>
        <w:rPr>
          <w:rFonts w:ascii="Segoe UI" w:hAnsi="Segoe UI"/>
          <w:sz w:val="22"/>
        </w:rPr>
        <w:t xml:space="preserve">SIRIM Berhad shall implement Row-Level Security (RLS) within the semantic model to restrict data visibility based on user roles and group membership. For example, HR staff will only see data relevant to their department, enforced via RLS policies and Microsoft 365 group integration (e.g., sirimmgmt@sirim.my).</w:t>
      </w:r>
    </w:p>
    <w:p>
      <w:pPr>
        <w:pStyle w:val="BodyText"/>
        <w:jc w:val="both"/>
      </w:pPr>
      <w:r>
        <w:rPr>
          <w:rFonts w:ascii="Segoe UI" w:hAnsi="Segoe UI"/>
          <w:sz w:val="22"/>
        </w:rPr>
        <w:t xml:space="preserve">Semantic models define table relationships, measures, and calculated columns, serving as the foundation for reporting and analytics. Access to semantic models will be governed by workspace and item-level roles, ensuring only authorized users can view or modify sensitive data.</w:t>
      </w:r>
    </w:p>
    <w:p>
      <w:pPr>
        <w:pStyle w:val="BodyText"/>
        <w:jc w:val="both"/>
      </w:pPr>
      <w:r>
        <w:rPr>
          <w:rFonts w:ascii="Segoe UI" w:hAnsi="Segoe UI"/>
          <w:sz w:val="22"/>
        </w:rPr>
        <w:t xml:space="preserve">By combining RLS and semantic modeling, SIRIM Berhad achieves granular data protection and compliance with internal data governance standards.</w:t>
      </w:r>
    </w:p>
    <w:p>
      <w:r>
        <w:rPr>
          <w:rFonts w:ascii="Segoe UI" w:hAnsi="Segoe UI"/>
          <w:sz w:val="22"/>
        </w:rPr>
        <w:pict>
          <v:rect style="width:0;height:1.5pt" o:hralign="center" o:hrstd="t" o:hr="t"/>
        </w:pict>
      </w:r>
    </w:p>
    <w:p>
      <w:pPr>
        <w:pStyle w:val="FirstParagraph"/>
        <w:jc w:val="both"/>
      </w:pPr>
      <w:r>
        <w:rPr>
          <w:rFonts w:ascii="Segoe UI" w:hAnsi="Segoe UI"/>
          <w:sz w:val="22"/>
        </w:rPr>
        <w:t xml:space="preserve">Refer to Section 5.0 Platform Design and Section 6.0 Governance for detailed access policy and governance configurations.</w:t>
      </w:r>
    </w:p>
    <w:bookmarkEnd w:id="42"/>
    <w:bookmarkEnd w:id="43"/>
    <w:bookmarkEnd w:id="44"/>
    <w:bookmarkStart w:id="76" w:name="microsoft-fabric-design-and-decision"/>
    <w:p>
      <w:pPr>
        <w:pStyle w:val="Heading1"/>
        <w:pageBreakBefore/>
      </w:pPr>
      <w:r>
        <w:rPr>
          <w:rFonts w:ascii="Segoe UI" w:hAnsi="Segoe UI"/>
          <w:b w:val="0"/>
          <w:sz w:val="30"/>
        </w:rPr>
        <w:t xml:space="preserve">5.0 Microsoft Fabric Design and Decision</w:t>
      </w:r>
    </w:p>
    <w:p>
      <w:pPr>
        <w:pStyle w:val="FirstParagraph"/>
        <w:jc w:val="both"/>
      </w:pPr>
      <w:r>
        <w:rPr>
          <w:rFonts w:ascii="Segoe UI" w:hAnsi="Segoe UI"/>
          <w:sz w:val="22"/>
        </w:rPr>
        <w:t xml:space="preserve">This section details the comprehensive Microsoft Fabric architecture and key design decisions for SIRIM Berhad’s analytics deployment. Each sub-section addresses workflow, access, organization, and governance to ensure secure, scalable, and compliant operations.</w:t>
      </w:r>
    </w:p>
    <w:bookmarkStart w:id="45" w:name="data-workflow-design-considerations"/>
    <w:p>
      <w:pPr>
        <w:pStyle w:val="Heading2"/>
      </w:pPr>
      <w:r>
        <w:rPr>
          <w:rFonts w:ascii="Segoe UI" w:hAnsi="Segoe UI"/>
          <w:b w:val="0"/>
          <w:sz w:val="28"/>
        </w:rPr>
        <w:t xml:space="preserve">5.1 Data Workflow Design Considerations</w:t>
      </w:r>
    </w:p>
    <w:p>
      <w:pPr>
        <w:pStyle w:val="FirstParagraph"/>
        <w:jc w:val="both"/>
      </w:pPr>
      <w:r>
        <w:rPr>
          <w:rFonts w:ascii="Segoe UI" w:hAnsi="Segoe UI"/>
          <w:sz w:val="22"/>
        </w:rPr>
        <w:t xml:space="preserve">SIRIM Berhad shall implement a multi-layered data workflow leveraging Azure Data Factory, Lakehouse architecture, and Power BI integration. The following table summarizes the critical workflow considerations, mapped to workload types:</w:t>
      </w:r>
    </w:p>
    <w:p>
      <w:pPr>
        <w:pStyle w:val="BodyText"/>
        <w:jc w:val="both"/>
      </w:pPr>
      <w:r>
        <w:rPr>
          <w:rFonts w:ascii="Segoe UI" w:hAnsi="Segoe UI"/>
          <w:sz w:val="22"/>
        </w:rPr>
        <w:t xml:space="preserve">The table below outlines each workflow consideration and its associated workload type.</w:t>
      </w:r>
    </w:p>
    <w:tbl>
      <w:tblPr>
        <w:tblStyle w:val="GridTable4-Accent11"/>
        <w:tblW w:type="pct" w:w="5000"/>
        <w:tblLayout w:type="autofit"/>
        <w:tblLook w:firstRow="1" w:lastRow="0" w:firstColumn="1" w:lastColumn="0" w:noHBand="0" w:noVBand="1" w:val="04A0"/>
      </w:tblPr>
      <w:tblGrid>
        <w:gridCol w:w="413"/>
        <w:gridCol w:w="6501"/>
        <w:gridCol w:w="1004"/>
      </w:tblGrid>
      <w:tr>
        <w:trPr>
          <w:tblHeader w:val="on"/>
        </w:trPr>
        <w:tc>
          <w:tcPr/>
          <w:p>
            <w:pPr>
              <w:pStyle w:val="Compact"/>
            </w:pPr>
            <w:r>
              <w:rPr>
                <w:rFonts w:ascii="Segoe UI" w:hAnsi="Segoe UI"/>
                <w:sz w:val="22"/>
              </w:rPr>
              <w:t xml:space="preserve">ID</w:t>
            </w:r>
          </w:p>
        </w:tc>
        <w:tc>
          <w:tcPr/>
          <w:p>
            <w:pPr>
              <w:pStyle w:val="Compact"/>
            </w:pPr>
            <w:r>
              <w:rPr>
                <w:rFonts w:ascii="Segoe UI" w:hAnsi="Segoe UI"/>
                <w:sz w:val="22"/>
              </w:rPr>
              <w:t xml:space="preserve">Description</w:t>
            </w:r>
          </w:p>
        </w:tc>
        <w:tc>
          <w:tcPr/>
          <w:p>
            <w:pPr>
              <w:pStyle w:val="Compact"/>
            </w:pPr>
            <w:r>
              <w:rPr>
                <w:rFonts w:ascii="Segoe UI" w:hAnsi="Segoe UI"/>
                <w:sz w:val="22"/>
              </w:rPr>
              <w:t xml:space="preserve">Workload Type</w:t>
            </w:r>
          </w:p>
        </w:tc>
      </w:tr>
      <w:tr>
        <w:tc>
          <w:tcPr/>
          <w:p>
            <w:pPr>
              <w:pStyle w:val="Compact"/>
            </w:pPr>
            <w:r>
              <w:rPr>
                <w:rFonts w:ascii="Segoe UI" w:hAnsi="Segoe UI"/>
                <w:sz w:val="22"/>
              </w:rPr>
              <w:t xml:space="preserve">DC01</w:t>
            </w:r>
          </w:p>
        </w:tc>
        <w:tc>
          <w:tcPr/>
          <w:p>
            <w:pPr>
              <w:pStyle w:val="Compact"/>
            </w:pPr>
            <w:r>
              <w:rPr>
                <w:rFonts w:ascii="Segoe UI" w:hAnsi="Segoe UI"/>
                <w:sz w:val="22"/>
              </w:rPr>
              <w:t xml:space="preserve">Data Pipeline will be used to ingest data from PostgreSQL.</w:t>
            </w:r>
          </w:p>
        </w:tc>
        <w:tc>
          <w:tcPr/>
          <w:p>
            <w:pPr>
              <w:pStyle w:val="Compact"/>
            </w:pPr>
            <w:r>
              <w:rPr>
                <w:rFonts w:ascii="Segoe UI" w:hAnsi="Segoe UI"/>
                <w:sz w:val="22"/>
              </w:rPr>
              <w:t xml:space="preserve">Data Factory</w:t>
            </w:r>
          </w:p>
        </w:tc>
      </w:tr>
      <w:tr>
        <w:tc>
          <w:tcPr/>
          <w:p>
            <w:pPr>
              <w:pStyle w:val="Compact"/>
            </w:pPr>
            <w:r>
              <w:rPr>
                <w:rFonts w:ascii="Segoe UI" w:hAnsi="Segoe UI"/>
                <w:sz w:val="22"/>
              </w:rPr>
              <w:t xml:space="preserve">DC02</w:t>
            </w:r>
          </w:p>
        </w:tc>
        <w:tc>
          <w:tcPr/>
          <w:p>
            <w:pPr>
              <w:pStyle w:val="Compact"/>
            </w:pPr>
            <w:r>
              <w:rPr>
                <w:rFonts w:ascii="Segoe UI" w:hAnsi="Segoe UI"/>
                <w:sz w:val="22"/>
              </w:rPr>
              <w:t xml:space="preserve">The bronze Lakehouse will store raw/original data ingested from PostgreSQL.</w:t>
            </w:r>
          </w:p>
        </w:tc>
        <w:tc>
          <w:tcPr/>
          <w:p>
            <w:pPr>
              <w:pStyle w:val="Compact"/>
            </w:pPr>
            <w:r>
              <w:rPr>
                <w:rFonts w:ascii="Segoe UI" w:hAnsi="Segoe UI"/>
                <w:sz w:val="22"/>
              </w:rPr>
              <w:t xml:space="preserve">Data Engineering</w:t>
            </w:r>
          </w:p>
        </w:tc>
      </w:tr>
      <w:tr>
        <w:tc>
          <w:tcPr/>
          <w:p>
            <w:pPr>
              <w:pStyle w:val="Compact"/>
            </w:pPr>
            <w:r>
              <w:rPr>
                <w:rFonts w:ascii="Segoe UI" w:hAnsi="Segoe UI"/>
                <w:sz w:val="22"/>
              </w:rPr>
              <w:t xml:space="preserve">DC03</w:t>
            </w:r>
          </w:p>
        </w:tc>
        <w:tc>
          <w:tcPr/>
          <w:p>
            <w:pPr>
              <w:pStyle w:val="Compact"/>
            </w:pPr>
            <w:r>
              <w:rPr>
                <w:rFonts w:ascii="Segoe UI" w:hAnsi="Segoe UI"/>
                <w:sz w:val="22"/>
              </w:rPr>
              <w:t xml:space="preserve">The silver Lakehouse will store cleansed data sourced from the bronze Lakehouse.</w:t>
            </w:r>
          </w:p>
        </w:tc>
        <w:tc>
          <w:tcPr/>
          <w:p>
            <w:pPr>
              <w:pStyle w:val="Compact"/>
            </w:pPr>
            <w:r>
              <w:rPr>
                <w:rFonts w:ascii="Segoe UI" w:hAnsi="Segoe UI"/>
                <w:sz w:val="22"/>
              </w:rPr>
              <w:t xml:space="preserve">Data Engineering</w:t>
            </w:r>
          </w:p>
        </w:tc>
      </w:tr>
      <w:tr>
        <w:tc>
          <w:tcPr/>
          <w:p>
            <w:pPr>
              <w:pStyle w:val="Compact"/>
            </w:pPr>
            <w:r>
              <w:rPr>
                <w:rFonts w:ascii="Segoe UI" w:hAnsi="Segoe UI"/>
                <w:sz w:val="22"/>
              </w:rPr>
              <w:t xml:space="preserve">DC04</w:t>
            </w:r>
          </w:p>
        </w:tc>
        <w:tc>
          <w:tcPr/>
          <w:p>
            <w:pPr>
              <w:pStyle w:val="Compact"/>
            </w:pPr>
            <w:r>
              <w:rPr>
                <w:rFonts w:ascii="Segoe UI" w:hAnsi="Segoe UI"/>
                <w:sz w:val="22"/>
              </w:rPr>
              <w:t xml:space="preserve">The gold Lakehouse will store transformed data sourced from the silver Lakehouse.</w:t>
            </w:r>
          </w:p>
        </w:tc>
        <w:tc>
          <w:tcPr/>
          <w:p>
            <w:pPr>
              <w:pStyle w:val="Compact"/>
            </w:pPr>
            <w:r>
              <w:rPr>
                <w:rFonts w:ascii="Segoe UI" w:hAnsi="Segoe UI"/>
                <w:sz w:val="22"/>
              </w:rPr>
              <w:t xml:space="preserve">Data Engineering</w:t>
            </w:r>
          </w:p>
        </w:tc>
      </w:tr>
      <w:tr>
        <w:tc>
          <w:tcPr/>
          <w:p>
            <w:pPr>
              <w:pStyle w:val="Compact"/>
            </w:pPr>
            <w:r>
              <w:rPr>
                <w:rFonts w:ascii="Segoe UI" w:hAnsi="Segoe UI"/>
                <w:sz w:val="22"/>
              </w:rPr>
              <w:t xml:space="preserve">DC05</w:t>
            </w:r>
          </w:p>
        </w:tc>
        <w:tc>
          <w:tcPr/>
          <w:p>
            <w:pPr>
              <w:pStyle w:val="Compact"/>
            </w:pPr>
            <w:r>
              <w:rPr>
                <w:rFonts w:ascii="Segoe UI" w:hAnsi="Segoe UI"/>
                <w:sz w:val="22"/>
              </w:rPr>
              <w:t xml:space="preserve">Data cleansing and transformation for the bronze and silver Lakehouse will be performed using Visual Query in the SQL Analytics Endpoint.</w:t>
            </w:r>
          </w:p>
        </w:tc>
        <w:tc>
          <w:tcPr/>
          <w:p>
            <w:pPr>
              <w:pStyle w:val="Compact"/>
            </w:pPr>
            <w:r>
              <w:rPr>
                <w:rFonts w:ascii="Segoe UI" w:hAnsi="Segoe UI"/>
                <w:sz w:val="22"/>
              </w:rPr>
              <w:t xml:space="preserve">Data Engineering</w:t>
            </w:r>
          </w:p>
        </w:tc>
      </w:tr>
      <w:tr>
        <w:tc>
          <w:tcPr/>
          <w:p>
            <w:pPr>
              <w:pStyle w:val="Compact"/>
            </w:pPr>
            <w:r>
              <w:rPr>
                <w:rFonts w:ascii="Segoe UI" w:hAnsi="Segoe UI"/>
                <w:sz w:val="22"/>
              </w:rPr>
              <w:t xml:space="preserve">DC06</w:t>
            </w:r>
          </w:p>
        </w:tc>
        <w:tc>
          <w:tcPr/>
          <w:p>
            <w:pPr>
              <w:pStyle w:val="Compact"/>
            </w:pPr>
            <w:r>
              <w:rPr>
                <w:rFonts w:ascii="Segoe UI" w:hAnsi="Segoe UI"/>
                <w:sz w:val="22"/>
              </w:rPr>
              <w:t xml:space="preserve">Dataflow Gen2 will be used to move data between Lakehouses (e.g., from bronze to silver or silver to gold).</w:t>
            </w:r>
          </w:p>
        </w:tc>
        <w:tc>
          <w:tcPr/>
          <w:p>
            <w:pPr>
              <w:pStyle w:val="Compact"/>
            </w:pPr>
            <w:r>
              <w:rPr>
                <w:rFonts w:ascii="Segoe UI" w:hAnsi="Segoe UI"/>
                <w:sz w:val="22"/>
              </w:rPr>
              <w:t xml:space="preserve">Data Factory</w:t>
            </w:r>
          </w:p>
        </w:tc>
      </w:tr>
      <w:tr>
        <w:tc>
          <w:tcPr/>
          <w:p>
            <w:pPr>
              <w:pStyle w:val="Compact"/>
            </w:pPr>
            <w:r>
              <w:rPr>
                <w:rFonts w:ascii="Segoe UI" w:hAnsi="Segoe UI"/>
                <w:sz w:val="22"/>
              </w:rPr>
              <w:t xml:space="preserve">DC07</w:t>
            </w:r>
          </w:p>
        </w:tc>
        <w:tc>
          <w:tcPr/>
          <w:p>
            <w:pPr>
              <w:pStyle w:val="Compact"/>
            </w:pPr>
            <w:r>
              <w:rPr>
                <w:rFonts w:ascii="Segoe UI" w:hAnsi="Segoe UI"/>
                <w:sz w:val="22"/>
              </w:rPr>
              <w:t xml:space="preserve">Data modeling and row-level security (RLS) configurations will be implemented in the Semantic Model, using data from the gold Lakehouse.</w:t>
            </w:r>
          </w:p>
        </w:tc>
        <w:tc>
          <w:tcPr/>
          <w:p>
            <w:pPr>
              <w:pStyle w:val="Compact"/>
            </w:pPr>
            <w:r>
              <w:rPr>
                <w:rFonts w:ascii="Segoe UI" w:hAnsi="Segoe UI"/>
                <w:sz w:val="22"/>
              </w:rPr>
              <w:t xml:space="preserve">Power BI</w:t>
            </w:r>
          </w:p>
        </w:tc>
      </w:tr>
      <w:tr>
        <w:tc>
          <w:tcPr/>
          <w:p>
            <w:pPr>
              <w:pStyle w:val="Compact"/>
            </w:pPr>
            <w:r>
              <w:rPr>
                <w:rFonts w:ascii="Segoe UI" w:hAnsi="Segoe UI"/>
                <w:sz w:val="22"/>
              </w:rPr>
              <w:t xml:space="preserve">DC08</w:t>
            </w:r>
          </w:p>
        </w:tc>
        <w:tc>
          <w:tcPr/>
          <w:p>
            <w:pPr>
              <w:pStyle w:val="Compact"/>
            </w:pPr>
            <w:r>
              <w:rPr>
                <w:rFonts w:ascii="Segoe UI" w:hAnsi="Segoe UI"/>
                <w:sz w:val="22"/>
              </w:rPr>
              <w:t xml:space="preserve">Power BI Desktop will connect to the Semantic Model via OneLake for data visualization.</w:t>
            </w:r>
          </w:p>
        </w:tc>
        <w:tc>
          <w:tcPr/>
          <w:p>
            <w:pPr>
              <w:pStyle w:val="Compact"/>
            </w:pPr>
            <w:r>
              <w:rPr>
                <w:rFonts w:ascii="Segoe UI" w:hAnsi="Segoe UI"/>
                <w:sz w:val="22"/>
              </w:rPr>
              <w:t xml:space="preserve">Power BI</w:t>
            </w:r>
          </w:p>
        </w:tc>
      </w:tr>
    </w:tbl>
    <w:p>
      <w:pPr>
        <w:pStyle w:val="BodyText"/>
        <w:jc w:val="both"/>
      </w:pPr>
      <w:r>
        <w:rPr>
          <w:rFonts w:ascii="Segoe UI" w:hAnsi="Segoe UI"/>
          <w:sz w:val="22"/>
        </w:rPr>
        <w:t xml:space="preserve">These considerations ensure SIRIM Berhad’s data pipeline is robust, enabling secure ingestion, transformation, and visualization.</w:t>
      </w:r>
    </w:p>
    <w:bookmarkEnd w:id="45"/>
    <w:bookmarkStart w:id="50" w:name="data-workflow-design-decisions"/>
    <w:p>
      <w:pPr>
        <w:pStyle w:val="Heading2"/>
      </w:pPr>
      <w:r>
        <w:rPr>
          <w:rFonts w:ascii="Segoe UI" w:hAnsi="Segoe UI"/>
          <w:b w:val="0"/>
          <w:sz w:val="28"/>
        </w:rPr>
        <w:t xml:space="preserve">5.2 Data Workflow Design Decisions</w:t>
      </w:r>
    </w:p>
    <w:p>
      <w:pPr>
        <w:pStyle w:val="FirstParagraph"/>
        <w:jc w:val="both"/>
      </w:pPr>
      <w:r>
        <w:rPr>
          <w:rFonts w:ascii="Segoe UI" w:hAnsi="Segoe UI"/>
          <w:sz w:val="22"/>
        </w:rPr>
        <w:t xml:space="preserve">SIRIM Berhad shall adopt a structured data pipeline, integrating Azure Data Factory, Lakehouse layers (Bronze, Silver, Gold), Synapse Engineering, and Power BI for end-to-end analytics. The workflow is illustrated in the following architecture diagram:</w:t>
      </w:r>
    </w:p>
    <w:p>
      <w:pPr>
        <w:pStyle w:val="BodyText"/>
      </w:pPr>
      <w:r>
        <w:rPr>
          <w:rFonts w:ascii="Segoe UI" w:hAnsi="Segoe UI"/>
          <w:sz w:val="22"/>
        </w:rPr>
        <w:drawing>
          <wp:inline>
            <wp:extent cx="5727700" cy="2131190"/>
            <wp:effectExtent b="0" l="0" r="0" t="0"/>
            <wp:docPr descr="" title="" id="47" name="Picture"/>
            <a:graphic>
              <a:graphicData uri="http://schemas.openxmlformats.org/drawingml/2006/picture">
                <pic:pic>
                  <pic:nvPicPr>
                    <pic:cNvPr descr="C:\Users\MuhammadIdzhansKhair\OneDrive%20-%20ENFRASYS\Documents\project-internal\design-document-converter\extraction-output\images\slide_016_img_004.png" id="48" name="Picture"/>
                    <pic:cNvPicPr>
                      <a:picLocks noChangeArrowheads="1" noChangeAspect="1"/>
                    </pic:cNvPicPr>
                  </pic:nvPicPr>
                  <pic:blipFill>
                    <a:blip r:embed="rId46"/>
                    <a:stretch>
                      <a:fillRect/>
                    </a:stretch>
                  </pic:blipFill>
                  <pic:spPr bwMode="auto">
                    <a:xfrm>
                      <a:off x="0" y="0"/>
                      <a:ext cx="5727700" cy="2131190"/>
                    </a:xfrm>
                    <a:prstGeom prst="rect">
                      <a:avLst/>
                    </a:prstGeom>
                    <a:noFill/>
                    <a:ln w="9525">
                      <a:noFill/>
                      <a:headEnd/>
                      <a:tailEnd/>
                    </a:ln>
                  </pic:spPr>
                </pic:pic>
              </a:graphicData>
            </a:graphic>
          </wp:inline>
        </w:drawing>
      </w:r>
    </w:p>
    <w:bookmarkStart w:id="49" w:name="workflow-steps-summary"/>
    <w:p>
      <w:pPr>
        <w:pStyle w:val="Heading3"/>
      </w:pPr>
      <w:r>
        <w:rPr>
          <w:rFonts w:ascii="Segoe UI" w:hAnsi="Segoe UI"/>
          <w:b w:val="0"/>
          <w:sz w:val="26"/>
        </w:rPr>
        <w:t xml:space="preserve">Workflow Steps Summary</w:t>
      </w:r>
    </w:p>
    <w:p>
      <w:pPr>
        <w:pStyle w:val="Compact"/>
        <w:numPr>
          <w:ilvl w:val="0"/>
          <w:numId w:val="1003"/>
        </w:numPr>
        <w:jc w:val="both"/>
      </w:pPr>
      <w:r>
        <w:rPr>
          <w:rFonts w:ascii="Segoe UI" w:hAnsi="Segoe UI"/>
          <w:sz w:val="22"/>
        </w:rPr>
        <w:t xml:space="preserve">Data is ingested from the TOPAZ source system (PostgreSQL) into the Bronze Lakehouse using Azure Data Factory.</w:t>
      </w:r>
    </w:p>
    <w:p>
      <w:pPr>
        <w:pStyle w:val="Compact"/>
        <w:numPr>
          <w:ilvl w:val="0"/>
          <w:numId w:val="1003"/>
        </w:numPr>
        <w:jc w:val="both"/>
      </w:pPr>
      <w:r>
        <w:rPr>
          <w:rFonts w:ascii="Segoe UI" w:hAnsi="Segoe UI"/>
          <w:sz w:val="22"/>
        </w:rPr>
        <w:t xml:space="preserve">Data is cleansed and transformed in the Silver Lakehouse via Synapse Engineering and Visual Query.</w:t>
      </w:r>
    </w:p>
    <w:p>
      <w:pPr>
        <w:pStyle w:val="Compact"/>
        <w:numPr>
          <w:ilvl w:val="0"/>
          <w:numId w:val="1003"/>
        </w:numPr>
        <w:jc w:val="both"/>
      </w:pPr>
      <w:r>
        <w:rPr>
          <w:rFonts w:ascii="Segoe UI" w:hAnsi="Segoe UI"/>
          <w:sz w:val="22"/>
        </w:rPr>
        <w:t xml:space="preserve">Further transformation produces the Gold Lakehouse, optimized for analytics and reporting.</w:t>
      </w:r>
    </w:p>
    <w:p>
      <w:pPr>
        <w:pStyle w:val="Compact"/>
        <w:numPr>
          <w:ilvl w:val="0"/>
          <w:numId w:val="1003"/>
        </w:numPr>
        <w:jc w:val="both"/>
      </w:pPr>
      <w:r>
        <w:rPr>
          <w:rFonts w:ascii="Segoe UI" w:hAnsi="Segoe UI"/>
          <w:sz w:val="22"/>
        </w:rPr>
        <w:t xml:space="preserve">Dataflow Gen2 orchestrates movement between Lakehouse layers.</w:t>
      </w:r>
    </w:p>
    <w:p>
      <w:pPr>
        <w:pStyle w:val="Compact"/>
        <w:numPr>
          <w:ilvl w:val="0"/>
          <w:numId w:val="1003"/>
        </w:numPr>
        <w:jc w:val="both"/>
      </w:pPr>
      <w:r>
        <w:rPr>
          <w:rFonts w:ascii="Segoe UI" w:hAnsi="Segoe UI"/>
          <w:sz w:val="22"/>
        </w:rPr>
        <w:t xml:space="preserve">Semantic Models are built using Gold Lakehouse data, with row-level security applied.</w:t>
      </w:r>
    </w:p>
    <w:p>
      <w:pPr>
        <w:pStyle w:val="Compact"/>
        <w:numPr>
          <w:ilvl w:val="0"/>
          <w:numId w:val="1003"/>
        </w:numPr>
        <w:jc w:val="both"/>
      </w:pPr>
      <w:r>
        <w:rPr>
          <w:rFonts w:ascii="Segoe UI" w:hAnsi="Segoe UI"/>
          <w:sz w:val="22"/>
        </w:rPr>
        <w:t xml:space="preserve">Power BI Desktop connects via OneLake to provide visualization and business intelligence.</w:t>
      </w:r>
    </w:p>
    <w:p>
      <w:pPr>
        <w:pStyle w:val="FirstParagraph"/>
        <w:jc w:val="both"/>
      </w:pPr>
      <w:r>
        <w:rPr>
          <w:rFonts w:ascii="Segoe UI" w:hAnsi="Segoe UI"/>
          <w:sz w:val="22"/>
        </w:rPr>
        <w:t xml:space="preserve">This design ensures data lineage, security, and scalability, supporting SIRIM Berhad’s analytics objectives.</w:t>
      </w:r>
    </w:p>
    <w:bookmarkEnd w:id="49"/>
    <w:bookmarkEnd w:id="50"/>
    <w:bookmarkStart w:id="59" w:name="access-design-considerations"/>
    <w:p>
      <w:pPr>
        <w:pStyle w:val="Heading2"/>
      </w:pPr>
      <w:r>
        <w:rPr>
          <w:rFonts w:ascii="Segoe UI" w:hAnsi="Segoe UI"/>
          <w:b w:val="0"/>
          <w:sz w:val="28"/>
        </w:rPr>
        <w:t xml:space="preserve">5.3 Access Design Considerations</w:t>
      </w:r>
    </w:p>
    <w:p>
      <w:pPr>
        <w:pStyle w:val="FirstParagraph"/>
        <w:jc w:val="both"/>
      </w:pPr>
      <w:r>
        <w:rPr>
          <w:rFonts w:ascii="Segoe UI" w:hAnsi="Segoe UI"/>
          <w:sz w:val="22"/>
        </w:rPr>
        <w:t xml:space="preserve">SIRIM Berhad shall enforce strict access controls using Conditional Access, Private Endpoint, and Multi-Factor Authentication (MFA). Each method is detailed below.</w:t>
      </w:r>
    </w:p>
    <w:bookmarkStart w:id="54" w:name="conditional-access"/>
    <w:p>
      <w:pPr>
        <w:pStyle w:val="Heading3"/>
      </w:pPr>
      <w:r>
        <w:rPr>
          <w:rFonts w:ascii="Segoe UI" w:hAnsi="Segoe UI"/>
          <w:b w:val="0"/>
          <w:sz w:val="26"/>
        </w:rPr>
        <w:t xml:space="preserve">Conditional Access</w:t>
      </w:r>
    </w:p>
    <w:p>
      <w:pPr>
        <w:pStyle w:val="FirstParagraph"/>
        <w:jc w:val="both"/>
      </w:pPr>
      <w:r>
        <w:rPr>
          <w:rFonts w:ascii="Segoe UI" w:hAnsi="Segoe UI"/>
          <w:sz w:val="22"/>
        </w:rPr>
        <w:t xml:space="preserve">Conditional Access policies are central to securing SIRIM Fabric. Users are required to meet specific conditions before accessing resources such as Power BI Service, Azure Data Explorer, Azure SQL Database, and Azure Storage.</w:t>
      </w:r>
    </w:p>
    <w:p>
      <w:pPr>
        <w:pStyle w:val="BodyText"/>
        <w:jc w:val="both"/>
      </w:pPr>
      <w:r>
        <w:rPr>
          <w:rFonts w:ascii="Segoe UI" w:hAnsi="Segoe UI"/>
          <w:sz w:val="22"/>
        </w:rPr>
        <w:t xml:space="preserve">The following table compares access paths for SIRIM users and external users:</w:t>
      </w:r>
    </w:p>
    <w:tbl>
      <w:tblPr>
        <w:tblStyle w:val="GridTable4-Accent11"/>
        <w:tblW w:type="pct" w:w="5000"/>
        <w:tblLayout w:type="autofit"/>
        <w:tblLook w:firstRow="1" w:lastRow="0" w:firstColumn="1" w:lastColumn="0" w:noHBand="0" w:noVBand="1" w:val="04A0"/>
      </w:tblPr>
      <w:tblGrid>
        <w:gridCol w:w="400"/>
        <w:gridCol w:w="3760"/>
        <w:gridCol w:w="3760"/>
      </w:tblGrid>
      <w:tr>
        <w:trPr>
          <w:tblHeader w:val="on"/>
        </w:trPr>
        <w:tc>
          <w:tcPr/>
          <w:p>
            <w:pPr>
              <w:pStyle w:val="Compact"/>
            </w:pPr>
            <w:r>
              <w:rPr>
                <w:rFonts w:ascii="Segoe UI" w:hAnsi="Segoe UI"/>
                <w:sz w:val="22"/>
              </w:rPr>
              <w:t xml:space="preserve">No.</w:t>
            </w:r>
          </w:p>
        </w:tc>
        <w:tc>
          <w:tcPr/>
          <w:p>
            <w:pPr>
              <w:pStyle w:val="Compact"/>
            </w:pPr>
            <w:r>
              <w:rPr>
                <w:rFonts w:ascii="Segoe UI" w:hAnsi="Segoe UI"/>
                <w:sz w:val="22"/>
              </w:rPr>
              <w:t xml:space="preserve">SIRIM user</w:t>
            </w:r>
          </w:p>
        </w:tc>
        <w:tc>
          <w:tcPr/>
          <w:p>
            <w:pPr>
              <w:pStyle w:val="Compact"/>
            </w:pPr>
            <w:r>
              <w:rPr>
                <w:rFonts w:ascii="Segoe UI" w:hAnsi="Segoe UI"/>
                <w:sz w:val="22"/>
              </w:rPr>
              <w:t xml:space="preserve">External user</w:t>
            </w:r>
          </w:p>
        </w:tc>
      </w:tr>
      <w:tr>
        <w:tc>
          <w:tcPr/>
          <w:p>
            <w:pPr>
              <w:pStyle w:val="Compact"/>
            </w:pPr>
            <w:r>
              <w:rPr>
                <w:rFonts w:ascii="Segoe UI" w:hAnsi="Segoe UI"/>
                <w:sz w:val="22"/>
              </w:rPr>
              <w:t xml:space="preserve">1</w:t>
            </w:r>
          </w:p>
        </w:tc>
        <w:tc>
          <w:tcPr/>
          <w:p>
            <w:pPr>
              <w:pStyle w:val="Compact"/>
            </w:pPr>
            <w:r>
              <w:rPr>
                <w:rFonts w:ascii="Segoe UI" w:hAnsi="Segoe UI"/>
                <w:sz w:val="22"/>
              </w:rPr>
              <w:t xml:space="preserve">Direct Access to Fabric</w:t>
            </w:r>
          </w:p>
        </w:tc>
        <w:tc>
          <w:tcPr/>
          <w:p>
            <w:pPr>
              <w:pStyle w:val="Compact"/>
            </w:pPr>
            <w:r>
              <w:rPr>
                <w:rFonts w:ascii="Segoe UI" w:hAnsi="Segoe UI"/>
                <w:sz w:val="22"/>
              </w:rPr>
              <w:t xml:space="preserve">Indirect access via Windows Virtual Desktop (WVD)</w:t>
            </w:r>
          </w:p>
        </w:tc>
      </w:tr>
      <w:tr>
        <w:tc>
          <w:tcPr/>
          <w:p>
            <w:pPr>
              <w:pStyle w:val="Compact"/>
            </w:pPr>
            <w:r>
              <w:rPr>
                <w:rFonts w:ascii="Segoe UI" w:hAnsi="Segoe UI"/>
                <w:sz w:val="22"/>
              </w:rPr>
              <w:t xml:space="preserve">2</w:t>
            </w:r>
          </w:p>
        </w:tc>
        <w:tc>
          <w:tcPr/>
          <w:p>
            <w:pPr>
              <w:pStyle w:val="Compact"/>
            </w:pPr>
            <w:r>
              <w:rPr>
                <w:rFonts w:ascii="Segoe UI" w:hAnsi="Segoe UI"/>
                <w:sz w:val="22"/>
              </w:rPr>
              <w:t xml:space="preserve">Managed using Conditional Access</w:t>
            </w:r>
          </w:p>
        </w:tc>
        <w:tc>
          <w:tcPr/>
          <w:p>
            <w:pPr>
              <w:pStyle w:val="Compact"/>
            </w:pPr>
            <w:r>
              <w:rPr>
                <w:rFonts w:ascii="Segoe UI" w:hAnsi="Segoe UI"/>
                <w:sz w:val="22"/>
              </w:rPr>
              <w:t xml:space="preserve">WVD access managed using Network Security Group (NSG)</w:t>
            </w:r>
          </w:p>
        </w:tc>
      </w:tr>
      <w:tr>
        <w:tc>
          <w:tcPr/>
          <w:p>
            <w:pPr>
              <w:pStyle w:val="Compact"/>
            </w:pPr>
            <w:r>
              <w:rPr>
                <w:rFonts w:ascii="Segoe UI" w:hAnsi="Segoe UI"/>
                <w:sz w:val="22"/>
              </w:rPr>
              <w:t xml:space="preserve">3</w:t>
            </w:r>
          </w:p>
        </w:tc>
        <w:tc>
          <w:tcPr/>
          <w:p>
            <w:pPr>
              <w:pStyle w:val="Compact"/>
            </w:pPr>
            <w:r>
              <w:rPr>
                <w:rFonts w:ascii="Segoe UI" w:hAnsi="Segoe UI"/>
                <w:sz w:val="22"/>
              </w:rPr>
              <w:t xml:space="preserve">User go through extra checks like secure login, MFA, etc.</w:t>
            </w:r>
          </w:p>
        </w:tc>
        <w:tc>
          <w:tcPr/>
          <w:p>
            <w:pPr>
              <w:pStyle w:val="Compact"/>
            </w:pPr>
            <w:r>
              <w:rPr>
                <w:rFonts w:ascii="Segoe UI" w:hAnsi="Segoe UI"/>
                <w:sz w:val="22"/>
              </w:rPr>
              <w:t xml:space="preserve">User separated from the actual system using the virtual computer</w:t>
            </w:r>
          </w:p>
        </w:tc>
      </w:tr>
      <w:tr>
        <w:tc>
          <w:tcPr/>
          <w:p>
            <w:pPr>
              <w:pStyle w:val="Compact"/>
            </w:pPr>
            <w:r>
              <w:rPr>
                <w:rFonts w:ascii="Segoe UI" w:hAnsi="Segoe UI"/>
                <w:sz w:val="22"/>
              </w:rPr>
              <w:t xml:space="preserve">4</w:t>
            </w:r>
          </w:p>
        </w:tc>
        <w:tc>
          <w:tcPr/>
          <w:p>
            <w:pPr>
              <w:pStyle w:val="Compact"/>
            </w:pPr>
            <w:r>
              <w:rPr>
                <w:rFonts w:ascii="Segoe UI" w:hAnsi="Segoe UI"/>
                <w:sz w:val="22"/>
              </w:rPr>
              <w:t xml:space="preserve">Conditional Access policy that includes Power BI Service, Azure Data Explorer, Azure SQL Database, and Azure Storage</w:t>
            </w:r>
          </w:p>
        </w:tc>
        <w:tc>
          <w:tcPr/>
          <w:p>
            <w:pPr>
              <w:pStyle w:val="Compact"/>
            </w:pPr>
            <w:r>
              <w:rPr>
                <w:rFonts w:ascii="Segoe UI" w:hAnsi="Segoe UI"/>
                <w:sz w:val="22"/>
              </w:rPr>
              <w:t xml:space="preserve">NSG rule that allow Fabric inbound and outbound</w:t>
            </w:r>
          </w:p>
        </w:tc>
      </w:tr>
    </w:tbl>
    <w:p>
      <w:pPr>
        <w:pStyle w:val="BodyText"/>
        <w:jc w:val="both"/>
      </w:pPr>
      <w:r>
        <w:rPr>
          <w:rFonts w:ascii="Segoe UI" w:hAnsi="Segoe UI"/>
          <w:sz w:val="22"/>
        </w:rPr>
        <w:t xml:space="preserve">This ensures internal users have direct, policy-controlled access, while external users are isolated and managed through secure desktops.</w:t>
      </w:r>
    </w:p>
    <w:p>
      <w:pPr>
        <w:pStyle w:val="BodyText"/>
      </w:pPr>
      <w:r>
        <w:rPr>
          <w:rFonts w:ascii="Segoe UI" w:hAnsi="Segoe UI"/>
          <w:sz w:val="22"/>
        </w:rPr>
        <w:drawing>
          <wp:inline>
            <wp:extent cx="5727700" cy="2488840"/>
            <wp:effectExtent b="0" l="0" r="0" t="0"/>
            <wp:docPr descr="" title="" id="52" name="Picture"/>
            <a:graphic>
              <a:graphicData uri="http://schemas.openxmlformats.org/drawingml/2006/picture">
                <pic:pic>
                  <pic:nvPicPr>
                    <pic:cNvPr descr="C:\Users\MuhammadIdzhansKhair\OneDrive%20-%20ENFRASYS\Documents\project-internal\design-document-converter\extraction-output\images\slide_006_img_001.png" id="53" name="Picture"/>
                    <pic:cNvPicPr>
                      <a:picLocks noChangeArrowheads="1" noChangeAspect="1"/>
                    </pic:cNvPicPr>
                  </pic:nvPicPr>
                  <pic:blipFill>
                    <a:blip r:embed="rId51"/>
                    <a:stretch>
                      <a:fillRect/>
                    </a:stretch>
                  </pic:blipFill>
                  <pic:spPr bwMode="auto">
                    <a:xfrm>
                      <a:off x="0" y="0"/>
                      <a:ext cx="5727700" cy="2488840"/>
                    </a:xfrm>
                    <a:prstGeom prst="rect">
                      <a:avLst/>
                    </a:prstGeom>
                    <a:noFill/>
                    <a:ln w="9525">
                      <a:noFill/>
                      <a:headEnd/>
                      <a:tailEnd/>
                    </a:ln>
                  </pic:spPr>
                </pic:pic>
              </a:graphicData>
            </a:graphic>
          </wp:inline>
        </w:drawing>
      </w:r>
    </w:p>
    <w:bookmarkEnd w:id="54"/>
    <w:bookmarkStart w:id="57" w:name="private-endpoint-consideration"/>
    <w:p>
      <w:pPr>
        <w:pStyle w:val="Heading3"/>
      </w:pPr>
      <w:r>
        <w:rPr>
          <w:rFonts w:ascii="Segoe UI" w:hAnsi="Segoe UI"/>
          <w:b w:val="0"/>
          <w:sz w:val="26"/>
        </w:rPr>
        <w:t xml:space="preserve">Private Endpoint Consideration</w:t>
      </w:r>
    </w:p>
    <w:p>
      <w:pPr>
        <w:pStyle w:val="FirstParagraph"/>
        <w:jc w:val="both"/>
      </w:pPr>
      <w:r>
        <w:rPr>
          <w:rFonts w:ascii="Segoe UI" w:hAnsi="Segoe UI"/>
          <w:sz w:val="22"/>
        </w:rPr>
        <w:t xml:space="preserve">Private Endpoint restricts access to Fabric resources to internal networks only. Users must be connected to the Azure Virtual Network to access Fabric, with public endpoints disabled.</w:t>
      </w:r>
    </w:p>
    <w:p>
      <w:pPr>
        <w:pStyle w:val="BodyText"/>
      </w:pPr>
      <w:r>
        <w:rPr>
          <w:rFonts w:ascii="Segoe UI" w:hAnsi="Segoe UI"/>
          <w:sz w:val="22"/>
        </w:rPr>
        <w:drawing>
          <wp:inline>
            <wp:extent cx="5727700" cy="3608782"/>
            <wp:effectExtent b="0" l="0" r="0" t="0"/>
            <wp:docPr descr="" title="" id="55" name="Picture"/>
            <a:graphic>
              <a:graphicData uri="http://schemas.openxmlformats.org/drawingml/2006/picture">
                <pic:pic>
                  <pic:nvPicPr>
                    <pic:cNvPr descr="C:\Users\MuhammadIdzhansKhair\OneDrive%20-%20ENFRASYS\Documents\project-internal\design-document-converter\extraction-output\images\slide_012_img_003.png" id="56" name="Picture"/>
                    <pic:cNvPicPr>
                      <a:picLocks noChangeArrowheads="1" noChangeAspect="1"/>
                    </pic:cNvPicPr>
                  </pic:nvPicPr>
                  <pic:blipFill>
                    <a:blip r:embed="rId27"/>
                    <a:stretch>
                      <a:fillRect/>
                    </a:stretch>
                  </pic:blipFill>
                  <pic:spPr bwMode="auto">
                    <a:xfrm>
                      <a:off x="0" y="0"/>
                      <a:ext cx="5727700" cy="3608782"/>
                    </a:xfrm>
                    <a:prstGeom prst="rect">
                      <a:avLst/>
                    </a:prstGeom>
                    <a:noFill/>
                    <a:ln w="9525">
                      <a:noFill/>
                      <a:headEnd/>
                      <a:tailEnd/>
                    </a:ln>
                  </pic:spPr>
                </pic:pic>
              </a:graphicData>
            </a:graphic>
          </wp:inline>
        </w:drawing>
      </w:r>
    </w:p>
    <w:p>
      <w:pPr>
        <w:pStyle w:val="BodyText"/>
        <w:jc w:val="both"/>
      </w:pPr>
      <w:r>
        <w:rPr>
          <w:rFonts w:ascii="Segoe UI" w:hAnsi="Segoe UI"/>
          <w:sz w:val="22"/>
        </w:rPr>
        <w:t xml:space="preserve">Design limitations include:</w:t>
      </w:r>
      <w:r>
        <w:rPr>
          <w:rFonts w:ascii="Segoe UI" w:hAnsi="Segoe UI"/>
          <w:sz w:val="22"/>
        </w:rPr>
        <w:t xml:space="preserve"> </w:t>
      </w:r>
      <w:r>
        <w:rPr>
          <w:rFonts w:ascii="Segoe UI" w:hAnsi="Segoe UI"/>
          <w:sz w:val="22"/>
        </w:rPr>
        <w:t xml:space="preserve">- Visual query in Warehouse is not supported.</w:t>
      </w:r>
      <w:r>
        <w:rPr>
          <w:rFonts w:ascii="Segoe UI" w:hAnsi="Segoe UI"/>
          <w:sz w:val="22"/>
        </w:rPr>
        <w:t xml:space="preserve"> </w:t>
      </w:r>
      <w:r>
        <w:rPr>
          <w:rFonts w:ascii="Segoe UI" w:hAnsi="Segoe UI"/>
          <w:sz w:val="22"/>
        </w:rPr>
        <w:t xml:space="preserve">- Data copying via Pipeline from and into Data Warehouse is currently not possible.</w:t>
      </w:r>
      <w:r>
        <w:rPr>
          <w:rFonts w:ascii="Segoe UI" w:hAnsi="Segoe UI"/>
          <w:sz w:val="22"/>
        </w:rPr>
        <w:t xml:space="preserve"> </w:t>
      </w:r>
      <w:r>
        <w:rPr>
          <w:rFonts w:ascii="Segoe UI" w:hAnsi="Segoe UI"/>
          <w:sz w:val="22"/>
        </w:rPr>
        <w:t xml:space="preserve">- Power BI does not support Private Link for Fabric datasets (public endpoint required).</w:t>
      </w:r>
      <w:r>
        <w:rPr>
          <w:rFonts w:ascii="Segoe UI" w:hAnsi="Segoe UI"/>
          <w:sz w:val="22"/>
        </w:rPr>
        <w:t xml:space="preserve"> </w:t>
      </w:r>
      <w:r>
        <w:rPr>
          <w:rFonts w:ascii="Segoe UI" w:hAnsi="Segoe UI"/>
          <w:sz w:val="22"/>
        </w:rPr>
        <w:t xml:space="preserve">- Copilot is not supported for Private Endpoint.</w:t>
      </w:r>
    </w:p>
    <w:bookmarkEnd w:id="57"/>
    <w:bookmarkStart w:id="58" w:name="multi-factor-authentication-mfa"/>
    <w:p>
      <w:pPr>
        <w:pStyle w:val="Heading3"/>
      </w:pPr>
      <w:r>
        <w:rPr>
          <w:rFonts w:ascii="Segoe UI" w:hAnsi="Segoe UI"/>
          <w:b w:val="0"/>
          <w:sz w:val="26"/>
        </w:rPr>
        <w:t xml:space="preserve">Multi-Factor Authentication (MFA)</w:t>
      </w:r>
    </w:p>
    <w:p>
      <w:pPr>
        <w:pStyle w:val="FirstParagraph"/>
        <w:jc w:val="both"/>
      </w:pPr>
      <w:r>
        <w:rPr>
          <w:rFonts w:ascii="Segoe UI" w:hAnsi="Segoe UI"/>
          <w:sz w:val="22"/>
        </w:rPr>
        <w:t xml:space="preserve">MFA is enforced for all users accessing SIRIM Fabric. This includes secure login and additional verification steps, ensuring only authenticated users gain access.</w:t>
      </w:r>
    </w:p>
    <w:bookmarkEnd w:id="58"/>
    <w:bookmarkEnd w:id="59"/>
    <w:bookmarkStart w:id="60" w:name="access-design-decisions"/>
    <w:p>
      <w:pPr>
        <w:pStyle w:val="Heading2"/>
      </w:pPr>
      <w:r>
        <w:rPr>
          <w:rFonts w:ascii="Segoe UI" w:hAnsi="Segoe UI"/>
          <w:b w:val="0"/>
          <w:sz w:val="28"/>
        </w:rPr>
        <w:t xml:space="preserve">5.4 Access Design Decisions</w:t>
      </w:r>
    </w:p>
    <w:p>
      <w:pPr>
        <w:pStyle w:val="FirstParagraph"/>
        <w:jc w:val="both"/>
      </w:pPr>
      <w:r>
        <w:rPr>
          <w:rFonts w:ascii="Segoe UI" w:hAnsi="Segoe UI"/>
          <w:sz w:val="22"/>
        </w:rPr>
        <w:t xml:space="preserve">SIRIM Berhad shall implement the following access policies, balancing security and operational requirements. The table below summarizes each policy, its description, final decision, and applicable users.</w:t>
      </w:r>
    </w:p>
    <w:tbl>
      <w:tblPr>
        <w:tblStyle w:val="GridTable4-Accent11"/>
        <w:tblW w:type="pct" w:w="5000"/>
        <w:tblLayout w:type="autofit"/>
        <w:tblLook w:firstRow="1" w:lastRow="0" w:firstColumn="1" w:lastColumn="0" w:noHBand="0" w:noVBand="1" w:val="04A0"/>
      </w:tblPr>
      <w:tblGrid>
        <w:gridCol w:w="1073"/>
        <w:gridCol w:w="4608"/>
        <w:gridCol w:w="1297"/>
        <w:gridCol w:w="939"/>
      </w:tblGrid>
      <w:tr>
        <w:trPr>
          <w:tblHeader w:val="on"/>
        </w:trPr>
        <w:tc>
          <w:tcPr/>
          <w:p>
            <w:pPr>
              <w:pStyle w:val="Compact"/>
            </w:pPr>
            <w:r>
              <w:rPr>
                <w:rFonts w:ascii="Segoe UI" w:hAnsi="Segoe UI"/>
                <w:sz w:val="22"/>
              </w:rPr>
              <w:t xml:space="preserve">Policy Name</w:t>
            </w:r>
          </w:p>
        </w:tc>
        <w:tc>
          <w:tcPr/>
          <w:p>
            <w:pPr>
              <w:pStyle w:val="Compact"/>
            </w:pPr>
            <w:r>
              <w:rPr>
                <w:rFonts w:ascii="Segoe UI" w:hAnsi="Segoe UI"/>
                <w:sz w:val="22"/>
              </w:rPr>
              <w:t xml:space="preserve">Description</w:t>
            </w:r>
          </w:p>
        </w:tc>
        <w:tc>
          <w:tcPr/>
          <w:p>
            <w:pPr>
              <w:pStyle w:val="Compact"/>
            </w:pPr>
            <w:r>
              <w:rPr>
                <w:rFonts w:ascii="Segoe UI" w:hAnsi="Segoe UI"/>
                <w:sz w:val="22"/>
              </w:rPr>
              <w:t xml:space="preserve">Final Decision</w:t>
            </w:r>
          </w:p>
        </w:tc>
        <w:tc>
          <w:tcPr/>
          <w:p>
            <w:pPr>
              <w:pStyle w:val="Compact"/>
            </w:pPr>
            <w:r>
              <w:rPr>
                <w:rFonts w:ascii="Segoe UI" w:hAnsi="Segoe UI"/>
                <w:sz w:val="22"/>
              </w:rPr>
              <w:t xml:space="preserve">Applies To</w:t>
            </w:r>
          </w:p>
        </w:tc>
      </w:tr>
      <w:tr>
        <w:tc>
          <w:tcPr/>
          <w:p>
            <w:pPr>
              <w:pStyle w:val="Compact"/>
            </w:pPr>
            <w:r>
              <w:rPr>
                <w:rFonts w:ascii="Segoe UI" w:hAnsi="Segoe UI"/>
                <w:sz w:val="22"/>
              </w:rPr>
              <w:t xml:space="preserve">Conditional Access</w:t>
            </w:r>
          </w:p>
        </w:tc>
        <w:tc>
          <w:tcPr/>
          <w:p>
            <w:pPr>
              <w:pStyle w:val="Compact"/>
            </w:pPr>
            <w:r>
              <w:rPr>
                <w:rFonts w:ascii="Segoe UI" w:hAnsi="Segoe UI"/>
                <w:sz w:val="22"/>
              </w:rPr>
              <w:t xml:space="preserve">Enforce access to Power BI, Azure Data Explorer, Azure SQL Database, Azure Storage via policy</w:t>
            </w:r>
          </w:p>
        </w:tc>
        <w:tc>
          <w:tcPr/>
          <w:p>
            <w:pPr>
              <w:pStyle w:val="Compact"/>
            </w:pPr>
            <w:r>
              <w:rPr>
                <w:rFonts w:ascii="Segoe UI" w:hAnsi="Segoe UI"/>
                <w:sz w:val="22"/>
              </w:rPr>
              <w:t xml:space="preserve">Implemented</w:t>
            </w:r>
          </w:p>
        </w:tc>
        <w:tc>
          <w:tcPr/>
          <w:p>
            <w:pPr>
              <w:pStyle w:val="Compact"/>
            </w:pPr>
            <w:r>
              <w:rPr>
                <w:rFonts w:ascii="Segoe UI" w:hAnsi="Segoe UI"/>
                <w:sz w:val="22"/>
              </w:rPr>
              <w:t xml:space="preserve">SIRIM user, External user</w:t>
            </w:r>
          </w:p>
        </w:tc>
      </w:tr>
      <w:tr>
        <w:tc>
          <w:tcPr/>
          <w:p>
            <w:pPr>
              <w:pStyle w:val="Compact"/>
            </w:pPr>
            <w:r>
              <w:rPr>
                <w:rFonts w:ascii="Segoe UI" w:hAnsi="Segoe UI"/>
                <w:sz w:val="22"/>
              </w:rPr>
              <w:t xml:space="preserve">Private Endpoint</w:t>
            </w:r>
          </w:p>
        </w:tc>
        <w:tc>
          <w:tcPr/>
          <w:p>
            <w:pPr>
              <w:pStyle w:val="Compact"/>
            </w:pPr>
            <w:r>
              <w:rPr>
                <w:rFonts w:ascii="Segoe UI" w:hAnsi="Segoe UI"/>
                <w:sz w:val="22"/>
              </w:rPr>
              <w:t xml:space="preserve">Restrict Fabric access to internal network, disable public endpoint</w:t>
            </w:r>
          </w:p>
        </w:tc>
        <w:tc>
          <w:tcPr/>
          <w:p>
            <w:pPr>
              <w:pStyle w:val="Compact"/>
            </w:pPr>
            <w:r>
              <w:rPr>
                <w:rFonts w:ascii="Segoe UI" w:hAnsi="Segoe UI"/>
                <w:sz w:val="22"/>
              </w:rPr>
              <w:t xml:space="preserve">Implemented (with limitations)</w:t>
            </w:r>
          </w:p>
        </w:tc>
        <w:tc>
          <w:tcPr/>
          <w:p>
            <w:pPr>
              <w:pStyle w:val="Compact"/>
            </w:pPr>
            <w:r>
              <w:rPr>
                <w:rFonts w:ascii="Segoe UI" w:hAnsi="Segoe UI"/>
                <w:sz w:val="22"/>
              </w:rPr>
              <w:t xml:space="preserve">Internal users</w:t>
            </w:r>
          </w:p>
        </w:tc>
      </w:tr>
      <w:tr>
        <w:tc>
          <w:tcPr/>
          <w:p>
            <w:pPr>
              <w:pStyle w:val="Compact"/>
            </w:pPr>
            <w:r>
              <w:rPr>
                <w:rFonts w:ascii="Segoe UI" w:hAnsi="Segoe UI"/>
                <w:sz w:val="22"/>
              </w:rPr>
              <w:t xml:space="preserve">Multi-Factor Authentication</w:t>
            </w:r>
          </w:p>
        </w:tc>
        <w:tc>
          <w:tcPr/>
          <w:p>
            <w:pPr>
              <w:pStyle w:val="Compact"/>
            </w:pPr>
            <w:r>
              <w:rPr>
                <w:rFonts w:ascii="Segoe UI" w:hAnsi="Segoe UI"/>
                <w:sz w:val="22"/>
              </w:rPr>
              <w:t xml:space="preserve">Require MFA for all Fabric access</w:t>
            </w:r>
          </w:p>
        </w:tc>
        <w:tc>
          <w:tcPr/>
          <w:p>
            <w:pPr>
              <w:pStyle w:val="Compact"/>
            </w:pPr>
            <w:r>
              <w:rPr>
                <w:rFonts w:ascii="Segoe UI" w:hAnsi="Segoe UI"/>
                <w:sz w:val="22"/>
              </w:rPr>
              <w:t xml:space="preserve">Enforced</w:t>
            </w:r>
          </w:p>
        </w:tc>
        <w:tc>
          <w:tcPr/>
          <w:p>
            <w:pPr>
              <w:pStyle w:val="Compact"/>
            </w:pPr>
            <w:r>
              <w:rPr>
                <w:rFonts w:ascii="Segoe UI" w:hAnsi="Segoe UI"/>
                <w:sz w:val="22"/>
              </w:rPr>
              <w:t xml:space="preserve">All users</w:t>
            </w:r>
          </w:p>
        </w:tc>
      </w:tr>
    </w:tbl>
    <w:p>
      <w:pPr>
        <w:pStyle w:val="BodyText"/>
        <w:jc w:val="both"/>
      </w:pPr>
      <w:r>
        <w:rPr>
          <w:rFonts w:ascii="Segoe UI" w:hAnsi="Segoe UI"/>
          <w:sz w:val="22"/>
        </w:rPr>
        <w:t xml:space="preserve">These policies ensure SIRIM Berhad’s analytics environment is secure, compliant, and accessible only to authorized personnel.</w:t>
      </w:r>
    </w:p>
    <w:bookmarkEnd w:id="60"/>
    <w:bookmarkStart w:id="61" w:name="identity-and-access-management"/>
    <w:p>
      <w:pPr>
        <w:pStyle w:val="Heading2"/>
      </w:pPr>
      <w:r>
        <w:rPr>
          <w:rFonts w:ascii="Segoe UI" w:hAnsi="Segoe UI"/>
          <w:b w:val="0"/>
          <w:sz w:val="28"/>
        </w:rPr>
        <w:t xml:space="preserve">5.5 Identity and Access Management</w:t>
      </w:r>
    </w:p>
    <w:p>
      <w:pPr>
        <w:pStyle w:val="FirstParagraph"/>
        <w:jc w:val="both"/>
      </w:pPr>
      <w:r>
        <w:rPr>
          <w:rFonts w:ascii="Segoe UI" w:hAnsi="Segoe UI"/>
          <w:sz w:val="22"/>
        </w:rPr>
        <w:t xml:space="preserve">SIRIM Berhad shall integrate Azure Active Directory (Azure AD) for centralized identity management. All user authentication flows are routed through Azure AD, enabling seamless Conditional Access and MFA enforcement.</w:t>
      </w:r>
    </w:p>
    <w:p>
      <w:pPr>
        <w:pStyle w:val="BodyText"/>
        <w:jc w:val="both"/>
      </w:pPr>
      <w:r>
        <w:rPr>
          <w:rFonts w:ascii="Segoe UI" w:hAnsi="Segoe UI"/>
          <w:sz w:val="22"/>
        </w:rPr>
        <w:t xml:space="preserve">Azure AD provides:</w:t>
      </w:r>
      <w:r>
        <w:rPr>
          <w:rFonts w:ascii="Segoe UI" w:hAnsi="Segoe UI"/>
          <w:sz w:val="22"/>
        </w:rPr>
        <w:t xml:space="preserve"> </w:t>
      </w:r>
      <w:r>
        <w:rPr>
          <w:rFonts w:ascii="Segoe UI" w:hAnsi="Segoe UI"/>
          <w:sz w:val="22"/>
        </w:rPr>
        <w:t xml:space="preserve">- Single sign-on for all Fabric and related Azure services.</w:t>
      </w:r>
      <w:r>
        <w:rPr>
          <w:rFonts w:ascii="Segoe UI" w:hAnsi="Segoe UI"/>
          <w:sz w:val="22"/>
        </w:rPr>
        <w:t xml:space="preserve"> </w:t>
      </w:r>
      <w:r>
        <w:rPr>
          <w:rFonts w:ascii="Segoe UI" w:hAnsi="Segoe UI"/>
          <w:sz w:val="22"/>
        </w:rPr>
        <w:t xml:space="preserve">- Conditional Access policies, ensuring device compliance and user authentication.</w:t>
      </w:r>
      <w:r>
        <w:rPr>
          <w:rFonts w:ascii="Segoe UI" w:hAnsi="Segoe UI"/>
          <w:sz w:val="22"/>
        </w:rPr>
        <w:t xml:space="preserve"> </w:t>
      </w:r>
      <w:r>
        <w:rPr>
          <w:rFonts w:ascii="Segoe UI" w:hAnsi="Segoe UI"/>
          <w:sz w:val="22"/>
        </w:rPr>
        <w:t xml:space="preserve">- MFA integration, requiring users to verify identity with a second factor.</w:t>
      </w:r>
      <w:r>
        <w:rPr>
          <w:rFonts w:ascii="Segoe UI" w:hAnsi="Segoe UI"/>
          <w:sz w:val="22"/>
        </w:rPr>
        <w:t xml:space="preserve"> </w:t>
      </w:r>
      <w:r>
        <w:rPr>
          <w:rFonts w:ascii="Segoe UI" w:hAnsi="Segoe UI"/>
          <w:sz w:val="22"/>
        </w:rPr>
        <w:t xml:space="preserve">- Role-based access control (RBAC), mapping users to appropriate workspace and item-level roles.</w:t>
      </w:r>
    </w:p>
    <w:p>
      <w:pPr>
        <w:pStyle w:val="BodyText"/>
        <w:jc w:val="both"/>
      </w:pPr>
      <w:r>
        <w:rPr>
          <w:rFonts w:ascii="Segoe UI" w:hAnsi="Segoe UI"/>
          <w:sz w:val="22"/>
        </w:rPr>
        <w:t xml:space="preserve">Operationally, this ensures secure, auditable access to all analytics resources, with granular control over user permissions.</w:t>
      </w:r>
    </w:p>
    <w:bookmarkEnd w:id="61"/>
    <w:bookmarkStart w:id="64" w:name="virtual-machine-size"/>
    <w:p>
      <w:pPr>
        <w:pStyle w:val="Heading2"/>
      </w:pPr>
      <w:r>
        <w:rPr>
          <w:rFonts w:ascii="Segoe UI" w:hAnsi="Segoe UI"/>
          <w:b w:val="0"/>
          <w:sz w:val="28"/>
        </w:rPr>
        <w:t xml:space="preserve">5.6 Virtual Machine Size</w:t>
      </w:r>
    </w:p>
    <w:p>
      <w:pPr>
        <w:pStyle w:val="FirstParagraph"/>
        <w:jc w:val="both"/>
      </w:pPr>
      <w:r>
        <w:rPr>
          <w:rFonts w:ascii="Segoe UI" w:hAnsi="Segoe UI"/>
          <w:sz w:val="22"/>
        </w:rPr>
        <w:t xml:space="preserve">The Data Gateway agent is installed on a dedicated Virtual Machine (VM), acting as a secure bridge between TOPAZ (PostgreSQL) and SIRIM Fabric. The VM is provisioned with the following specifications:</w:t>
      </w:r>
    </w:p>
    <w:tbl>
      <w:tblPr>
        <w:tblStyle w:val="GridTable4-Accent11"/>
        <w:tblW w:type="pct" w:w="5000"/>
        <w:tblLayout w:type="autofit"/>
        <w:tblLook w:firstRow="1" w:lastRow="0" w:firstColumn="1" w:lastColumn="0" w:noHBand="0" w:noVBand="1" w:val="04A0"/>
      </w:tblPr>
      <w:tblGrid>
        <w:gridCol w:w="1203"/>
        <w:gridCol w:w="1203"/>
        <w:gridCol w:w="1403"/>
        <w:gridCol w:w="601"/>
        <w:gridCol w:w="501"/>
        <w:gridCol w:w="1102"/>
        <w:gridCol w:w="1904"/>
      </w:tblGrid>
      <w:tr>
        <w:trPr>
          <w:tblHeader w:val="on"/>
        </w:trPr>
        <w:tc>
          <w:tcPr/>
          <w:p>
            <w:pPr>
              <w:pStyle w:val="Compact"/>
            </w:pPr>
            <w:r>
              <w:rPr>
                <w:rFonts w:ascii="Segoe UI" w:hAnsi="Segoe UI"/>
                <w:sz w:val="22"/>
              </w:rPr>
              <w:t xml:space="preserve">VM Name</w:t>
            </w:r>
          </w:p>
        </w:tc>
        <w:tc>
          <w:tcPr/>
          <w:p>
            <w:pPr>
              <w:pStyle w:val="Compact"/>
            </w:pPr>
            <w:r>
              <w:rPr>
                <w:rFonts w:ascii="Segoe UI" w:hAnsi="Segoe UI"/>
                <w:sz w:val="22"/>
              </w:rPr>
              <w:t xml:space="preserve">OS</w:t>
            </w:r>
          </w:p>
        </w:tc>
        <w:tc>
          <w:tcPr/>
          <w:p>
            <w:pPr>
              <w:pStyle w:val="Compact"/>
            </w:pPr>
            <w:r>
              <w:rPr>
                <w:rFonts w:ascii="Segoe UI" w:hAnsi="Segoe UI"/>
                <w:sz w:val="22"/>
              </w:rPr>
              <w:t xml:space="preserve">.NET Version</w:t>
            </w:r>
          </w:p>
        </w:tc>
        <w:tc>
          <w:tcPr/>
          <w:p>
            <w:pPr>
              <w:pStyle w:val="Compact"/>
            </w:pPr>
            <w:r>
              <w:rPr>
                <w:rFonts w:ascii="Segoe UI" w:hAnsi="Segoe UI"/>
                <w:sz w:val="22"/>
              </w:rPr>
              <w:t xml:space="preserve">vCPU</w:t>
            </w:r>
          </w:p>
        </w:tc>
        <w:tc>
          <w:tcPr/>
          <w:p>
            <w:pPr>
              <w:pStyle w:val="Compact"/>
            </w:pPr>
            <w:r>
              <w:rPr>
                <w:rFonts w:ascii="Segoe UI" w:hAnsi="Segoe UI"/>
                <w:sz w:val="22"/>
              </w:rPr>
              <w:t xml:space="preserve">RAM</w:t>
            </w:r>
          </w:p>
        </w:tc>
        <w:tc>
          <w:tcPr/>
          <w:p>
            <w:pPr>
              <w:pStyle w:val="Compact"/>
            </w:pPr>
            <w:r>
              <w:rPr>
                <w:rFonts w:ascii="Segoe UI" w:hAnsi="Segoe UI"/>
                <w:sz w:val="22"/>
              </w:rPr>
              <w:t xml:space="preserve">Disk Size</w:t>
            </w:r>
          </w:p>
        </w:tc>
        <w:tc>
          <w:tcPr/>
          <w:p>
            <w:pPr>
              <w:pStyle w:val="Compact"/>
            </w:pPr>
            <w:r>
              <w:rPr>
                <w:rFonts w:ascii="Segoe UI" w:hAnsi="Segoe UI"/>
                <w:sz w:val="22"/>
              </w:rPr>
              <w:t xml:space="preserve">Network Interface</w:t>
            </w:r>
          </w:p>
        </w:tc>
      </w:tr>
      <w:tr>
        <w:tc>
          <w:tcPr/>
          <w:p>
            <w:pPr>
              <w:pStyle w:val="Compact"/>
            </w:pPr>
            <w:r>
              <w:rPr>
                <w:rFonts w:ascii="Segoe UI" w:hAnsi="Segoe UI"/>
                <w:sz w:val="22"/>
              </w:rPr>
              <w:t xml:space="preserve">GASPRA</w:t>
            </w:r>
          </w:p>
        </w:tc>
        <w:tc>
          <w:tcPr/>
          <w:p>
            <w:pPr>
              <w:pStyle w:val="Compact"/>
            </w:pPr>
            <w:r>
              <w:rPr>
                <w:rFonts w:ascii="Segoe UI" w:hAnsi="Segoe UI"/>
                <w:sz w:val="22"/>
              </w:rPr>
              <w:t xml:space="preserve">Windows</w:t>
            </w:r>
          </w:p>
        </w:tc>
        <w:tc>
          <w:tcPr/>
          <w:p>
            <w:pPr>
              <w:pStyle w:val="Compact"/>
            </w:pPr>
            <w:r>
              <w:rPr>
                <w:rFonts w:ascii="Segoe UI" w:hAnsi="Segoe UI"/>
                <w:sz w:val="22"/>
              </w:rPr>
              <w:t xml:space="preserve">4.8</w:t>
            </w:r>
          </w:p>
        </w:tc>
        <w:tc>
          <w:tcPr/>
          <w:p>
            <w:pPr>
              <w:pStyle w:val="Compact"/>
            </w:pPr>
            <w:r>
              <w:rPr>
                <w:rFonts w:ascii="Segoe UI" w:hAnsi="Segoe UI"/>
                <w:sz w:val="22"/>
              </w:rPr>
              <w:t xml:space="preserve">4</w:t>
            </w:r>
          </w:p>
        </w:tc>
        <w:tc>
          <w:tcPr/>
          <w:p>
            <w:pPr>
              <w:pStyle w:val="Compact"/>
            </w:pPr>
            <w:r>
              <w:rPr>
                <w:rFonts w:ascii="Segoe UI" w:hAnsi="Segoe UI"/>
                <w:sz w:val="22"/>
              </w:rPr>
              <w:t xml:space="preserve">16GB</w:t>
            </w:r>
          </w:p>
        </w:tc>
        <w:tc>
          <w:tcPr/>
          <w:p>
            <w:pPr>
              <w:pStyle w:val="Compact"/>
            </w:pPr>
            <w:r>
              <w:rPr>
                <w:rFonts w:ascii="Segoe UI" w:hAnsi="Segoe UI"/>
                <w:sz w:val="22"/>
              </w:rPr>
              <w:t xml:space="preserve">128GB</w:t>
            </w:r>
          </w:p>
        </w:tc>
        <w:tc>
          <w:tcPr/>
          <w:p>
            <w:pPr>
              <w:pStyle w:val="Compact"/>
            </w:pPr>
            <w:r>
              <w:rPr>
                <w:rFonts w:ascii="Segoe UI" w:hAnsi="Segoe UI"/>
                <w:sz w:val="22"/>
              </w:rPr>
              <w:t xml:space="preserve">1Gbps</w:t>
            </w:r>
          </w:p>
        </w:tc>
      </w:tr>
    </w:tbl>
    <w:p>
      <w:pPr>
        <w:pStyle w:val="BodyText"/>
      </w:pPr>
      <w:r>
        <w:rPr>
          <w:rFonts w:ascii="Segoe UI" w:hAnsi="Segoe UI"/>
          <w:sz w:val="22"/>
        </w:rPr>
        <w:drawing>
          <wp:inline>
            <wp:extent cx="5727700" cy="1876125"/>
            <wp:effectExtent b="0" l="0" r="0" t="0"/>
            <wp:docPr descr="" title="" id="62" name="Picture"/>
            <a:graphic>
              <a:graphicData uri="http://schemas.openxmlformats.org/drawingml/2006/picture">
                <pic:pic>
                  <pic:nvPicPr>
                    <pic:cNvPr descr="C:\Users\MuhammadIdzhansKhair\OneDrive%20-%20ENFRASYS\Documents\project-internal\design-document-converter\extraction-output\images\slide_018_img_005.png" id="63" name="Picture"/>
                    <pic:cNvPicPr>
                      <a:picLocks noChangeArrowheads="1" noChangeAspect="1"/>
                    </pic:cNvPicPr>
                  </pic:nvPicPr>
                  <pic:blipFill>
                    <a:blip r:embed="rId31"/>
                    <a:stretch>
                      <a:fillRect/>
                    </a:stretch>
                  </pic:blipFill>
                  <pic:spPr bwMode="auto">
                    <a:xfrm>
                      <a:off x="0" y="0"/>
                      <a:ext cx="5727700" cy="1876125"/>
                    </a:xfrm>
                    <a:prstGeom prst="rect">
                      <a:avLst/>
                    </a:prstGeom>
                    <a:noFill/>
                    <a:ln w="9525">
                      <a:noFill/>
                      <a:headEnd/>
                      <a:tailEnd/>
                    </a:ln>
                  </pic:spPr>
                </pic:pic>
              </a:graphicData>
            </a:graphic>
          </wp:inline>
        </w:drawing>
      </w:r>
    </w:p>
    <w:p>
      <w:pPr>
        <w:pStyle w:val="BodyText"/>
        <w:jc w:val="both"/>
      </w:pPr>
      <w:r>
        <w:rPr>
          <w:rFonts w:ascii="Segoe UI" w:hAnsi="Segoe UI"/>
          <w:sz w:val="22"/>
        </w:rPr>
        <w:t xml:space="preserve">This configuration ensures reliable, high-throughput data transfer and secure connectivity.</w:t>
      </w:r>
    </w:p>
    <w:bookmarkEnd w:id="64"/>
    <w:bookmarkStart w:id="71" w:name="resource-organization-design"/>
    <w:p>
      <w:pPr>
        <w:pStyle w:val="Heading2"/>
      </w:pPr>
      <w:r>
        <w:rPr>
          <w:rFonts w:ascii="Segoe UI" w:hAnsi="Segoe UI"/>
          <w:b w:val="0"/>
          <w:sz w:val="28"/>
        </w:rPr>
        <w:t xml:space="preserve">5.7 Resource Organization Design</w:t>
      </w:r>
    </w:p>
    <w:p>
      <w:pPr>
        <w:pStyle w:val="FirstParagraph"/>
        <w:jc w:val="both"/>
      </w:pPr>
      <w:r>
        <w:rPr>
          <w:rFonts w:ascii="Segoe UI" w:hAnsi="Segoe UI"/>
          <w:sz w:val="22"/>
        </w:rPr>
        <w:t xml:space="preserve">SIRIM Berhad shall implement a structured resource organization, leveraging Azure Management Groups, consistent naming conventions, and tagging for governance and operational clarity.</w:t>
      </w:r>
    </w:p>
    <w:bookmarkStart w:id="65" w:name="azure-management-groups"/>
    <w:p>
      <w:pPr>
        <w:pStyle w:val="Heading3"/>
      </w:pPr>
      <w:r>
        <w:rPr>
          <w:rFonts w:ascii="Segoe UI" w:hAnsi="Segoe UI"/>
          <w:b w:val="0"/>
          <w:sz w:val="26"/>
        </w:rPr>
        <w:t xml:space="preserve">Azure Management Groups</w:t>
      </w:r>
    </w:p>
    <w:p>
      <w:pPr>
        <w:pStyle w:val="FirstParagraph"/>
        <w:jc w:val="both"/>
      </w:pPr>
      <w:r>
        <w:rPr>
          <w:rFonts w:ascii="Segoe UI" w:hAnsi="Segoe UI"/>
          <w:sz w:val="22"/>
        </w:rPr>
        <w:t xml:space="preserve">Management Groups are used to organize subscriptions and resources hierarchically. SIRIM Berhad’s hierarchy will be:</w:t>
      </w:r>
    </w:p>
    <w:p>
      <w:pPr>
        <w:pStyle w:val="Compact"/>
        <w:numPr>
          <w:ilvl w:val="0"/>
          <w:numId w:val="1004"/>
        </w:numPr>
        <w:jc w:val="both"/>
      </w:pPr>
      <w:r>
        <w:rPr>
          <w:rFonts w:ascii="Segoe UI" w:hAnsi="Segoe UI"/>
          <w:sz w:val="22"/>
        </w:rPr>
        <w:t xml:space="preserve">Root Management Group</w:t>
      </w:r>
    </w:p>
    <w:p>
      <w:pPr>
        <w:pStyle w:val="Compact"/>
        <w:numPr>
          <w:ilvl w:val="1"/>
          <w:numId w:val="1005"/>
        </w:numPr>
        <w:jc w:val="both"/>
      </w:pPr>
      <w:r>
        <w:rPr>
          <w:rFonts w:ascii="Segoe UI" w:hAnsi="Segoe UI"/>
          <w:sz w:val="22"/>
        </w:rPr>
        <w:t xml:space="preserve">SIRIM Production</w:t>
      </w:r>
    </w:p>
    <w:p>
      <w:pPr>
        <w:pStyle w:val="Compact"/>
        <w:numPr>
          <w:ilvl w:val="2"/>
          <w:numId w:val="1006"/>
        </w:numPr>
        <w:jc w:val="both"/>
      </w:pPr>
      <w:r>
        <w:rPr>
          <w:rFonts w:ascii="Segoe UI" w:hAnsi="Segoe UI"/>
          <w:sz w:val="22"/>
        </w:rPr>
        <w:t xml:space="preserve">SIRIM Analytics</w:t>
      </w:r>
    </w:p>
    <w:p>
      <w:pPr>
        <w:pStyle w:val="Compact"/>
        <w:numPr>
          <w:ilvl w:val="3"/>
          <w:numId w:val="1007"/>
        </w:numPr>
        <w:jc w:val="both"/>
      </w:pPr>
      <w:r>
        <w:rPr>
          <w:rFonts w:ascii="Segoe UI" w:hAnsi="Segoe UI"/>
          <w:sz w:val="22"/>
        </w:rPr>
        <w:t xml:space="preserve">Fabric Resource Group (Fabric-RG)</w:t>
      </w:r>
    </w:p>
    <w:p>
      <w:pPr>
        <w:pStyle w:val="Compact"/>
        <w:numPr>
          <w:ilvl w:val="3"/>
          <w:numId w:val="1007"/>
        </w:numPr>
        <w:jc w:val="both"/>
      </w:pPr>
      <w:r>
        <w:rPr>
          <w:rFonts w:ascii="Segoe UI" w:hAnsi="Segoe UI"/>
          <w:sz w:val="22"/>
        </w:rPr>
        <w:t xml:space="preserve">Data Gateway Resource Group</w:t>
      </w:r>
    </w:p>
    <w:p>
      <w:pPr>
        <w:pStyle w:val="FirstParagraph"/>
        <w:jc w:val="both"/>
      </w:pPr>
      <w:r>
        <w:rPr>
          <w:rFonts w:ascii="Segoe UI" w:hAnsi="Segoe UI"/>
          <w:sz w:val="22"/>
        </w:rPr>
        <w:t xml:space="preserve">This structure enables granular policy assignment, cost tracking, and compliance enforcement.</w:t>
      </w:r>
    </w:p>
    <w:bookmarkEnd w:id="65"/>
    <w:bookmarkStart w:id="70" w:name="naming-and-tagging"/>
    <w:p>
      <w:pPr>
        <w:pStyle w:val="Heading3"/>
      </w:pPr>
      <w:r>
        <w:rPr>
          <w:rFonts w:ascii="Segoe UI" w:hAnsi="Segoe UI"/>
          <w:b w:val="0"/>
          <w:sz w:val="26"/>
        </w:rPr>
        <w:t xml:space="preserve">Naming and Tagging</w:t>
      </w:r>
    </w:p>
    <w:bookmarkStart w:id="66" w:name="azure-naming-convention"/>
    <w:p>
      <w:pPr>
        <w:pStyle w:val="Heading4"/>
      </w:pPr>
      <w:r>
        <w:rPr>
          <w:rFonts w:ascii="Segoe UI" w:hAnsi="Segoe UI"/>
          <w:b w:val="0"/>
          <w:sz w:val="24"/>
        </w:rPr>
        <w:t xml:space="preserve">Azure Naming Convention</w:t>
      </w:r>
    </w:p>
    <w:p>
      <w:pPr>
        <w:pStyle w:val="FirstParagraph"/>
        <w:jc w:val="both"/>
      </w:pPr>
      <w:r>
        <w:rPr>
          <w:rFonts w:ascii="Segoe UI" w:hAnsi="Segoe UI"/>
          <w:sz w:val="22"/>
        </w:rPr>
        <w:t xml:space="preserve">The table below defines naming conventions for Azure resources:</w:t>
      </w:r>
    </w:p>
    <w:tbl>
      <w:tblPr>
        <w:tblStyle w:val="GridTable4-Accent11"/>
        <w:tblW w:type="auto" w:w="0"/>
        <w:tblLayout w:type="autofit"/>
        <w:tblLook w:firstRow="1" w:lastRow="0" w:firstColumn="1" w:lastColumn="0" w:noHBand="0" w:noVBand="1" w:val="04A0"/>
      </w:tblPr>
      <w:tblGrid>
        <w:gridCol w:w="2640"/>
        <w:gridCol w:w="2640"/>
        <w:gridCol w:w="2640"/>
      </w:tblGrid>
      <w:tr>
        <w:trPr>
          <w:tblHeader w:val="on"/>
        </w:trPr>
        <w:tc>
          <w:tcPr/>
          <w:p>
            <w:pPr>
              <w:pStyle w:val="Compact"/>
            </w:pPr>
            <w:r>
              <w:rPr>
                <w:rFonts w:ascii="Segoe UI" w:hAnsi="Segoe UI"/>
                <w:sz w:val="22"/>
              </w:rPr>
              <w:t xml:space="preserve">Resource</w:t>
            </w:r>
          </w:p>
        </w:tc>
        <w:tc>
          <w:tcPr/>
          <w:p>
            <w:pPr>
              <w:pStyle w:val="Compact"/>
            </w:pPr>
            <w:r>
              <w:rPr>
                <w:rFonts w:ascii="Segoe UI" w:hAnsi="Segoe UI"/>
                <w:sz w:val="22"/>
              </w:rPr>
              <w:t xml:space="preserve">Abbreviation</w:t>
            </w:r>
          </w:p>
        </w:tc>
        <w:tc>
          <w:tcPr/>
          <w:p>
            <w:pPr>
              <w:pStyle w:val="Compact"/>
            </w:pPr>
            <w:r>
              <w:rPr>
                <w:rFonts w:ascii="Segoe UI" w:hAnsi="Segoe UI"/>
                <w:sz w:val="22"/>
              </w:rPr>
              <w:t xml:space="preserve">Example</w:t>
            </w:r>
          </w:p>
        </w:tc>
      </w:tr>
      <w:tr>
        <w:tc>
          <w:tcPr/>
          <w:p>
            <w:pPr>
              <w:pStyle w:val="Compact"/>
            </w:pPr>
            <w:r>
              <w:rPr>
                <w:rFonts w:ascii="Segoe UI" w:hAnsi="Segoe UI"/>
                <w:sz w:val="22"/>
              </w:rPr>
              <w:t xml:space="preserve">Resource Group</w:t>
            </w:r>
          </w:p>
        </w:tc>
        <w:tc>
          <w:tcPr/>
          <w:p>
            <w:pPr>
              <w:pStyle w:val="Compact"/>
            </w:pPr>
            <w:r>
              <w:rPr>
                <w:rFonts w:ascii="Segoe UI" w:hAnsi="Segoe UI"/>
                <w:sz w:val="22"/>
              </w:rPr>
              <w:t xml:space="preserve">RG</w:t>
            </w:r>
          </w:p>
        </w:tc>
        <w:tc>
          <w:tcPr/>
          <w:p>
            <w:pPr>
              <w:pStyle w:val="Compact"/>
            </w:pPr>
            <w:r>
              <w:rPr>
                <w:rFonts w:ascii="Segoe UI" w:hAnsi="Segoe UI"/>
                <w:sz w:val="22"/>
              </w:rPr>
              <w:t xml:space="preserve">Fabric-RG</w:t>
            </w:r>
          </w:p>
        </w:tc>
      </w:tr>
      <w:tr>
        <w:tc>
          <w:tcPr/>
          <w:p>
            <w:pPr>
              <w:pStyle w:val="Compact"/>
            </w:pPr>
            <w:r>
              <w:rPr>
                <w:rFonts w:ascii="Segoe UI" w:hAnsi="Segoe UI"/>
                <w:sz w:val="22"/>
              </w:rPr>
              <w:t xml:space="preserve">Virtual Network</w:t>
            </w:r>
          </w:p>
        </w:tc>
        <w:tc>
          <w:tcPr/>
          <w:p>
            <w:pPr>
              <w:pStyle w:val="Compact"/>
            </w:pPr>
            <w:r>
              <w:rPr>
                <w:rFonts w:ascii="Segoe UI" w:hAnsi="Segoe UI"/>
                <w:sz w:val="22"/>
              </w:rPr>
              <w:t xml:space="preserve">VNET</w:t>
            </w:r>
          </w:p>
        </w:tc>
        <w:tc>
          <w:tcPr/>
          <w:p>
            <w:pPr>
              <w:pStyle w:val="Compact"/>
            </w:pPr>
            <w:r>
              <w:rPr>
                <w:rFonts w:ascii="Segoe UI" w:hAnsi="Segoe UI"/>
                <w:sz w:val="22"/>
              </w:rPr>
              <w:t xml:space="preserve">Fabric-VNET</w:t>
            </w:r>
          </w:p>
        </w:tc>
      </w:tr>
      <w:tr>
        <w:tc>
          <w:tcPr/>
          <w:p>
            <w:pPr>
              <w:pStyle w:val="Compact"/>
            </w:pPr>
            <w:r>
              <w:rPr>
                <w:rFonts w:ascii="Segoe UI" w:hAnsi="Segoe UI"/>
                <w:sz w:val="22"/>
              </w:rPr>
              <w:t xml:space="preserve">Subnet</w:t>
            </w:r>
          </w:p>
        </w:tc>
        <w:tc>
          <w:tcPr/>
          <w:p>
            <w:pPr>
              <w:pStyle w:val="Compact"/>
            </w:pPr>
            <w:r>
              <w:rPr>
                <w:rFonts w:ascii="Segoe UI" w:hAnsi="Segoe UI"/>
                <w:sz w:val="22"/>
              </w:rPr>
              <w:t xml:space="preserve">SN</w:t>
            </w:r>
          </w:p>
        </w:tc>
        <w:tc>
          <w:tcPr/>
          <w:p>
            <w:pPr>
              <w:pStyle w:val="Compact"/>
            </w:pPr>
            <w:r>
              <w:rPr>
                <w:rFonts w:ascii="Segoe UI" w:hAnsi="Segoe UI"/>
                <w:sz w:val="22"/>
              </w:rPr>
              <w:t xml:space="preserve">Fabric-Subnet</w:t>
            </w:r>
          </w:p>
        </w:tc>
      </w:tr>
      <w:tr>
        <w:tc>
          <w:tcPr/>
          <w:p>
            <w:pPr>
              <w:pStyle w:val="Compact"/>
            </w:pPr>
            <w:r>
              <w:rPr>
                <w:rFonts w:ascii="Segoe UI" w:hAnsi="Segoe UI"/>
                <w:sz w:val="22"/>
              </w:rPr>
              <w:t xml:space="preserve">VM</w:t>
            </w:r>
          </w:p>
        </w:tc>
        <w:tc>
          <w:tcPr/>
          <w:p>
            <w:pPr>
              <w:pStyle w:val="Compact"/>
            </w:pPr>
            <w:r>
              <w:rPr>
                <w:rFonts w:ascii="Segoe UI" w:hAnsi="Segoe UI"/>
                <w:sz w:val="22"/>
              </w:rPr>
              <w:t xml:space="preserve">VM</w:t>
            </w:r>
          </w:p>
        </w:tc>
        <w:tc>
          <w:tcPr/>
          <w:p>
            <w:pPr>
              <w:pStyle w:val="Compact"/>
            </w:pPr>
            <w:r>
              <w:rPr>
                <w:rFonts w:ascii="Segoe UI" w:hAnsi="Segoe UI"/>
                <w:sz w:val="22"/>
              </w:rPr>
              <w:t xml:space="preserve">GASPRA-VM</w:t>
            </w:r>
          </w:p>
        </w:tc>
      </w:tr>
      <w:tr>
        <w:tc>
          <w:tcPr/>
          <w:p>
            <w:pPr>
              <w:pStyle w:val="Compact"/>
            </w:pPr>
            <w:r>
              <w:rPr>
                <w:rFonts w:ascii="Segoe UI" w:hAnsi="Segoe UI"/>
                <w:sz w:val="22"/>
              </w:rPr>
              <w:t xml:space="preserve">Storage Account</w:t>
            </w:r>
          </w:p>
        </w:tc>
        <w:tc>
          <w:tcPr/>
          <w:p>
            <w:pPr>
              <w:pStyle w:val="Compact"/>
            </w:pPr>
            <w:r>
              <w:rPr>
                <w:rFonts w:ascii="Segoe UI" w:hAnsi="Segoe UI"/>
                <w:sz w:val="22"/>
              </w:rPr>
              <w:t xml:space="preserve">SA</w:t>
            </w:r>
          </w:p>
        </w:tc>
        <w:tc>
          <w:tcPr/>
          <w:p>
            <w:pPr>
              <w:pStyle w:val="Compact"/>
            </w:pPr>
            <w:r>
              <w:rPr>
                <w:rFonts w:ascii="Segoe UI" w:hAnsi="Segoe UI"/>
                <w:sz w:val="22"/>
              </w:rPr>
              <w:t xml:space="preserve">FabricSA</w:t>
            </w:r>
          </w:p>
        </w:tc>
      </w:tr>
    </w:tbl>
    <w:bookmarkEnd w:id="66"/>
    <w:bookmarkStart w:id="67" w:name="fabric-naming-convention"/>
    <w:p>
      <w:pPr>
        <w:pStyle w:val="Heading4"/>
      </w:pPr>
      <w:r>
        <w:rPr>
          <w:rFonts w:ascii="Segoe UI" w:hAnsi="Segoe UI"/>
          <w:b w:val="0"/>
          <w:sz w:val="24"/>
        </w:rPr>
        <w:t xml:space="preserve">Fabric Naming Convention</w:t>
      </w:r>
    </w:p>
    <w:tbl>
      <w:tblPr>
        <w:tblStyle w:val="GridTable4-Accent11"/>
        <w:tblW w:type="pct" w:w="5000"/>
        <w:tblLayout w:type="autofit"/>
        <w:tblLook w:firstRow="1" w:lastRow="0" w:firstColumn="1" w:lastColumn="0" w:noHBand="0" w:noVBand="1" w:val="04A0"/>
      </w:tblPr>
      <w:tblGrid>
        <w:gridCol w:w="450"/>
        <w:gridCol w:w="1800"/>
        <w:gridCol w:w="5670"/>
      </w:tblGrid>
      <w:tr>
        <w:trPr>
          <w:tblHeader w:val="on"/>
        </w:trPr>
        <w:tc>
          <w:tcPr/>
          <w:p>
            <w:pPr>
              <w:pStyle w:val="Compact"/>
            </w:pPr>
            <w:r>
              <w:rPr>
                <w:rFonts w:ascii="Segoe UI" w:hAnsi="Segoe UI"/>
                <w:sz w:val="22"/>
              </w:rPr>
              <w:t xml:space="preserve">No.</w:t>
            </w:r>
          </w:p>
        </w:tc>
        <w:tc>
          <w:tcPr/>
          <w:p>
            <w:pPr>
              <w:pStyle w:val="Compact"/>
            </w:pPr>
            <w:r>
              <w:rPr>
                <w:rFonts w:ascii="Segoe UI" w:hAnsi="Segoe UI"/>
                <w:sz w:val="22"/>
              </w:rPr>
              <w:t xml:space="preserve">Item in Fabric</w:t>
            </w:r>
          </w:p>
        </w:tc>
        <w:tc>
          <w:tcPr/>
          <w:p>
            <w:pPr>
              <w:pStyle w:val="Compact"/>
            </w:pPr>
            <w:r>
              <w:rPr>
                <w:rFonts w:ascii="Segoe UI" w:hAnsi="Segoe UI"/>
                <w:sz w:val="22"/>
              </w:rPr>
              <w:t xml:space="preserve">Naming</w:t>
            </w:r>
            <w:r>
              <w:rPr>
                <w:rFonts w:ascii="Segoe UI" w:hAnsi="Segoe UI"/>
                <w:sz w:val="22"/>
              </w:rPr>
              <w:t xml:space="preserve"> </w:t>
            </w:r>
            <w:r>
              <w:rPr>
                <w:rFonts w:ascii="Segoe UI" w:hAnsi="Segoe UI"/>
                <w:sz w:val="22"/>
              </w:rPr>
              <w:t xml:space="preserve">-</w:t>
            </w:r>
            <w:r>
              <w:rPr>
                <w:rFonts w:ascii="Segoe UI" w:hAnsi="Segoe UI"/>
                <w:sz w:val="22"/>
              </w:rPr>
              <w:t xml:space="preserve">-</w:t>
            </w:r>
          </w:p>
        </w:tc>
      </w:tr>
      <w:tr>
        <w:tc>
          <w:tcPr/>
          <w:p>
            <w:pPr>
              <w:pStyle w:val="Compact"/>
            </w:pPr>
            <w:r>
              <w:rPr>
                <w:rFonts w:ascii="Segoe UI" w:hAnsi="Segoe UI"/>
                <w:sz w:val="22"/>
              </w:rPr>
              <w:t xml:space="preserve">1</w:t>
            </w:r>
          </w:p>
        </w:tc>
        <w:tc>
          <w:tcPr/>
          <w:p>
            <w:pPr>
              <w:pStyle w:val="Compact"/>
            </w:pPr>
            <w:r>
              <w:rPr>
                <w:rFonts w:ascii="Segoe UI" w:hAnsi="Segoe UI"/>
                <w:sz w:val="22"/>
              </w:rPr>
              <w:t xml:space="preserve">Fabric Capacity</w:t>
            </w:r>
          </w:p>
        </w:tc>
        <w:tc>
          <w:tcPr/>
          <w:p>
            <w:pPr>
              <w:pStyle w:val="Compact"/>
            </w:pPr>
            <w:r>
              <w:rPr>
                <w:rFonts w:ascii="Segoe UI" w:hAnsi="Segoe UI"/>
                <w:sz w:val="22"/>
              </w:rPr>
              <w:t xml:space="preserve">hrdevcapacity01</w:t>
            </w:r>
          </w:p>
        </w:tc>
      </w:tr>
      <w:tr>
        <w:tc>
          <w:tcPr/>
          <w:p>
            <w:pPr>
              <w:pStyle w:val="Compact"/>
            </w:pPr>
            <w:r>
              <w:rPr>
                <w:rFonts w:ascii="Segoe UI" w:hAnsi="Segoe UI"/>
                <w:sz w:val="22"/>
              </w:rPr>
              <w:t xml:space="preserve">2</w:t>
            </w:r>
          </w:p>
        </w:tc>
        <w:tc>
          <w:tcPr/>
          <w:p>
            <w:pPr>
              <w:pStyle w:val="Compact"/>
            </w:pPr>
            <w:r>
              <w:rPr>
                <w:rFonts w:ascii="Segoe UI" w:hAnsi="Segoe UI"/>
                <w:sz w:val="22"/>
              </w:rPr>
              <w:t xml:space="preserve">Workspace</w:t>
            </w:r>
          </w:p>
        </w:tc>
        <w:tc>
          <w:tcPr/>
          <w:p>
            <w:pPr>
              <w:pStyle w:val="Compact"/>
            </w:pPr>
            <w:r>
              <w:rPr>
                <w:rFonts w:ascii="Segoe UI" w:hAnsi="Segoe UI"/>
                <w:sz w:val="22"/>
              </w:rPr>
              <w:t xml:space="preserve">HR_dev_WS</w:t>
            </w:r>
          </w:p>
        </w:tc>
      </w:tr>
      <w:tr>
        <w:tc>
          <w:tcPr/>
          <w:p>
            <w:pPr>
              <w:pStyle w:val="Compact"/>
            </w:pPr>
            <w:r>
              <w:rPr>
                <w:rFonts w:ascii="Segoe UI" w:hAnsi="Segoe UI"/>
                <w:sz w:val="22"/>
              </w:rPr>
              <w:t xml:space="preserve">3</w:t>
            </w:r>
          </w:p>
        </w:tc>
        <w:tc>
          <w:tcPr/>
          <w:p>
            <w:pPr>
              <w:pStyle w:val="Compact"/>
            </w:pPr>
            <w:r>
              <w:rPr>
                <w:rFonts w:ascii="Segoe UI" w:hAnsi="Segoe UI"/>
                <w:sz w:val="22"/>
              </w:rPr>
              <w:t xml:space="preserve">Lakehouse</w:t>
            </w:r>
          </w:p>
        </w:tc>
        <w:tc>
          <w:tcPr/>
          <w:p>
            <w:pPr>
              <w:pStyle w:val="Compact"/>
            </w:pPr>
            <w:r>
              <w:rPr>
                <w:rFonts w:ascii="Segoe UI" w:hAnsi="Segoe UI"/>
                <w:sz w:val="22"/>
              </w:rPr>
              <w:t xml:space="preserve">HR_Bronze_LK</w:t>
            </w:r>
            <w:r>
              <w:rPr>
                <w:rFonts w:ascii="Segoe UI" w:hAnsi="Segoe UI"/>
                <w:sz w:val="22"/>
              </w:rPr>
              <w:t xml:space="preserve">HR_Silver_LK</w:t>
            </w:r>
            <w:r>
              <w:rPr>
                <w:rFonts w:ascii="Segoe UI" w:hAnsi="Segoe UI"/>
                <w:sz w:val="22"/>
              </w:rPr>
              <w:t xml:space="preserve">Etc..</w:t>
            </w:r>
          </w:p>
        </w:tc>
      </w:tr>
      <w:tr>
        <w:tc>
          <w:tcPr/>
          <w:p>
            <w:pPr>
              <w:pStyle w:val="Compact"/>
            </w:pPr>
            <w:r>
              <w:rPr>
                <w:rFonts w:ascii="Segoe UI" w:hAnsi="Segoe UI"/>
                <w:sz w:val="22"/>
              </w:rPr>
              <w:t xml:space="preserve">4</w:t>
            </w:r>
          </w:p>
        </w:tc>
        <w:tc>
          <w:tcPr/>
          <w:p>
            <w:pPr>
              <w:pStyle w:val="Compact"/>
            </w:pPr>
            <w:r>
              <w:rPr>
                <w:rFonts w:ascii="Segoe UI" w:hAnsi="Segoe UI"/>
                <w:sz w:val="22"/>
              </w:rPr>
              <w:t xml:space="preserve">Dataflow</w:t>
            </w:r>
          </w:p>
        </w:tc>
        <w:tc>
          <w:tcPr/>
          <w:p>
            <w:pPr>
              <w:pStyle w:val="Compact"/>
            </w:pPr>
            <w:r>
              <w:rPr>
                <w:rFonts w:ascii="Segoe UI" w:hAnsi="Segoe UI"/>
                <w:sz w:val="22"/>
              </w:rPr>
              <w:t xml:space="preserve">HR_Bronze_to_Silver_DF</w:t>
            </w:r>
            <w:r>
              <w:rPr>
                <w:rFonts w:ascii="Segoe UI" w:hAnsi="Segoe UI"/>
                <w:sz w:val="22"/>
              </w:rPr>
              <w:t xml:space="preserve">HR_Silver_to_Gold_DF</w:t>
            </w:r>
            <w:r>
              <w:rPr>
                <w:rFonts w:ascii="Segoe UI" w:hAnsi="Segoe UI"/>
                <w:sz w:val="22"/>
              </w:rPr>
              <w:t xml:space="preserve">Etc..</w:t>
            </w:r>
          </w:p>
        </w:tc>
      </w:tr>
      <w:tr>
        <w:tc>
          <w:tcPr/>
          <w:p>
            <w:pPr>
              <w:pStyle w:val="Compact"/>
            </w:pPr>
            <w:r>
              <w:rPr>
                <w:rFonts w:ascii="Segoe UI" w:hAnsi="Segoe UI"/>
                <w:sz w:val="22"/>
              </w:rPr>
              <w:t xml:space="preserve">5</w:t>
            </w:r>
          </w:p>
        </w:tc>
        <w:tc>
          <w:tcPr/>
          <w:p>
            <w:pPr>
              <w:pStyle w:val="Compact"/>
            </w:pPr>
            <w:r>
              <w:rPr>
                <w:rFonts w:ascii="Segoe UI" w:hAnsi="Segoe UI"/>
                <w:sz w:val="22"/>
              </w:rPr>
              <w:t xml:space="preserve">Semantic Model</w:t>
            </w:r>
          </w:p>
        </w:tc>
        <w:tc>
          <w:tcPr/>
          <w:p>
            <w:pPr>
              <w:pStyle w:val="Compact"/>
            </w:pPr>
            <w:r>
              <w:rPr>
                <w:rFonts w:ascii="Segoe UI" w:hAnsi="Segoe UI"/>
                <w:sz w:val="22"/>
              </w:rPr>
              <w:t xml:space="preserve">HR_HeadcountWorkforce_SM</w:t>
            </w:r>
            <w:r>
              <w:rPr>
                <w:rFonts w:ascii="Segoe UI" w:hAnsi="Segoe UI"/>
                <w:sz w:val="22"/>
              </w:rPr>
              <w:t xml:space="preserve">HR_EmployTurnAttrit_SM</w:t>
            </w:r>
            <w:r>
              <w:rPr>
                <w:rFonts w:ascii="Segoe UI" w:hAnsi="Segoe UI"/>
                <w:sz w:val="22"/>
              </w:rPr>
              <w:t xml:space="preserve">Etc..</w:t>
            </w:r>
          </w:p>
        </w:tc>
      </w:tr>
      <w:tr>
        <w:tc>
          <w:tcPr/>
          <w:p>
            <w:pPr>
              <w:pStyle w:val="Compact"/>
            </w:pPr>
            <w:r>
              <w:rPr>
                <w:rFonts w:ascii="Segoe UI" w:hAnsi="Segoe UI"/>
                <w:sz w:val="22"/>
              </w:rPr>
              <w:t xml:space="preserve">6</w:t>
            </w:r>
          </w:p>
        </w:tc>
        <w:tc>
          <w:tcPr/>
          <w:p>
            <w:pPr>
              <w:pStyle w:val="Compact"/>
            </w:pPr>
            <w:r>
              <w:rPr>
                <w:rFonts w:ascii="Segoe UI" w:hAnsi="Segoe UI"/>
                <w:sz w:val="22"/>
              </w:rPr>
              <w:t xml:space="preserve">Pipeline</w:t>
            </w:r>
          </w:p>
        </w:tc>
        <w:tc>
          <w:tcPr/>
          <w:p>
            <w:pPr>
              <w:pStyle w:val="Compact"/>
            </w:pPr>
            <w:r>
              <w:rPr>
                <w:rFonts w:ascii="Segoe UI" w:hAnsi="Segoe UI"/>
                <w:sz w:val="22"/>
              </w:rPr>
              <w:t xml:space="preserve">HR_Ingest_Data_PL</w:t>
            </w:r>
            <w:r>
              <w:rPr>
                <w:rFonts w:ascii="Segoe UI" w:hAnsi="Segoe UI"/>
                <w:sz w:val="22"/>
              </w:rPr>
              <w:t xml:space="preserve">Etc..</w:t>
            </w:r>
          </w:p>
        </w:tc>
      </w:tr>
      <w:tr>
        <w:tc>
          <w:tcPr/>
          <w:p>
            <w:pPr>
              <w:pStyle w:val="Compact"/>
            </w:pPr>
            <w:r>
              <w:rPr>
                <w:rFonts w:ascii="Segoe UI" w:hAnsi="Segoe UI"/>
                <w:sz w:val="22"/>
              </w:rPr>
              <w:t xml:space="preserve">7</w:t>
            </w:r>
          </w:p>
        </w:tc>
        <w:tc>
          <w:tcPr/>
          <w:p>
            <w:pPr>
              <w:pStyle w:val="Compact"/>
            </w:pPr>
            <w:r>
              <w:rPr>
                <w:rFonts w:ascii="Segoe UI" w:hAnsi="Segoe UI"/>
                <w:sz w:val="22"/>
              </w:rPr>
              <w:t xml:space="preserve">Report</w:t>
            </w:r>
          </w:p>
        </w:tc>
        <w:tc>
          <w:tcPr/>
          <w:p>
            <w:pPr>
              <w:pStyle w:val="Compact"/>
            </w:pPr>
            <w:r>
              <w:rPr>
                <w:rFonts w:ascii="Segoe UI" w:hAnsi="Segoe UI"/>
                <w:sz w:val="22"/>
              </w:rPr>
              <w:t xml:space="preserve">HR_HeadCountWorkForce_Report</w:t>
            </w:r>
          </w:p>
        </w:tc>
      </w:tr>
    </w:tbl>
    <w:bookmarkEnd w:id="67"/>
    <w:bookmarkStart w:id="68" w:name="application-acronyms"/>
    <w:p>
      <w:pPr>
        <w:pStyle w:val="Heading4"/>
      </w:pPr>
      <w:r>
        <w:rPr>
          <w:rFonts w:ascii="Segoe UI" w:hAnsi="Segoe UI"/>
          <w:b w:val="0"/>
          <w:sz w:val="24"/>
        </w:rPr>
        <w:t xml:space="preserve">Application Acronyms</w:t>
      </w:r>
    </w:p>
    <w:tbl>
      <w:tblPr>
        <w:tblStyle w:val="GridTable4-Accent11"/>
        <w:tblW w:type="auto" w:w="0"/>
        <w:tblLayout w:type="autofit"/>
        <w:tblLook w:firstRow="1" w:lastRow="0" w:firstColumn="1" w:lastColumn="0" w:noHBand="0" w:noVBand="1" w:val="04A0"/>
      </w:tblPr>
      <w:tblGrid>
        <w:gridCol w:w="3960"/>
        <w:gridCol w:w="3960"/>
      </w:tblGrid>
      <w:tr>
        <w:trPr>
          <w:tblHeader w:val="on"/>
        </w:trPr>
        <w:tc>
          <w:tcPr/>
          <w:p>
            <w:pPr>
              <w:pStyle w:val="Compact"/>
            </w:pPr>
            <w:r>
              <w:rPr>
                <w:rFonts w:ascii="Segoe UI" w:hAnsi="Segoe UI"/>
                <w:sz w:val="22"/>
              </w:rPr>
              <w:t xml:space="preserve">Acronym</w:t>
            </w:r>
          </w:p>
        </w:tc>
        <w:tc>
          <w:tcPr/>
          <w:p>
            <w:pPr>
              <w:pStyle w:val="Compact"/>
            </w:pPr>
            <w:r>
              <w:rPr>
                <w:rFonts w:ascii="Segoe UI" w:hAnsi="Segoe UI"/>
                <w:sz w:val="22"/>
              </w:rPr>
              <w:t xml:space="preserve">Full Name</w:t>
            </w:r>
          </w:p>
        </w:tc>
      </w:tr>
      <w:tr>
        <w:tc>
          <w:tcPr/>
          <w:p>
            <w:pPr>
              <w:pStyle w:val="Compact"/>
            </w:pPr>
            <w:r>
              <w:rPr>
                <w:rFonts w:ascii="Segoe UI" w:hAnsi="Segoe UI"/>
                <w:sz w:val="22"/>
              </w:rPr>
              <w:t xml:space="preserve">HR</w:t>
            </w:r>
          </w:p>
        </w:tc>
        <w:tc>
          <w:tcPr/>
          <w:p>
            <w:pPr>
              <w:pStyle w:val="Compact"/>
            </w:pPr>
            <w:r>
              <w:rPr>
                <w:rFonts w:ascii="Segoe UI" w:hAnsi="Segoe UI"/>
                <w:sz w:val="22"/>
              </w:rPr>
              <w:t xml:space="preserve">Human Resources</w:t>
            </w:r>
          </w:p>
        </w:tc>
      </w:tr>
      <w:tr>
        <w:tc>
          <w:tcPr/>
          <w:p>
            <w:pPr>
              <w:pStyle w:val="Compact"/>
            </w:pPr>
            <w:r>
              <w:rPr>
                <w:rFonts w:ascii="Segoe UI" w:hAnsi="Segoe UI"/>
                <w:sz w:val="22"/>
              </w:rPr>
              <w:t xml:space="preserve">LK</w:t>
            </w:r>
          </w:p>
        </w:tc>
        <w:tc>
          <w:tcPr/>
          <w:p>
            <w:pPr>
              <w:pStyle w:val="Compact"/>
            </w:pPr>
            <w:r>
              <w:rPr>
                <w:rFonts w:ascii="Segoe UI" w:hAnsi="Segoe UI"/>
                <w:sz w:val="22"/>
              </w:rPr>
              <w:t xml:space="preserve">Lakehouse</w:t>
            </w:r>
          </w:p>
        </w:tc>
      </w:tr>
      <w:tr>
        <w:tc>
          <w:tcPr/>
          <w:p>
            <w:pPr>
              <w:pStyle w:val="Compact"/>
            </w:pPr>
            <w:r>
              <w:rPr>
                <w:rFonts w:ascii="Segoe UI" w:hAnsi="Segoe UI"/>
                <w:sz w:val="22"/>
              </w:rPr>
              <w:t xml:space="preserve">DF</w:t>
            </w:r>
          </w:p>
        </w:tc>
        <w:tc>
          <w:tcPr/>
          <w:p>
            <w:pPr>
              <w:pStyle w:val="Compact"/>
            </w:pPr>
            <w:r>
              <w:rPr>
                <w:rFonts w:ascii="Segoe UI" w:hAnsi="Segoe UI"/>
                <w:sz w:val="22"/>
              </w:rPr>
              <w:t xml:space="preserve">Dataflow</w:t>
            </w:r>
          </w:p>
        </w:tc>
      </w:tr>
      <w:tr>
        <w:tc>
          <w:tcPr/>
          <w:p>
            <w:pPr>
              <w:pStyle w:val="Compact"/>
            </w:pPr>
            <w:r>
              <w:rPr>
                <w:rFonts w:ascii="Segoe UI" w:hAnsi="Segoe UI"/>
                <w:sz w:val="22"/>
              </w:rPr>
              <w:t xml:space="preserve">SM</w:t>
            </w:r>
          </w:p>
        </w:tc>
        <w:tc>
          <w:tcPr/>
          <w:p>
            <w:pPr>
              <w:pStyle w:val="Compact"/>
            </w:pPr>
            <w:r>
              <w:rPr>
                <w:rFonts w:ascii="Segoe UI" w:hAnsi="Segoe UI"/>
                <w:sz w:val="22"/>
              </w:rPr>
              <w:t xml:space="preserve">Semantic Model</w:t>
            </w:r>
          </w:p>
        </w:tc>
      </w:tr>
      <w:tr>
        <w:tc>
          <w:tcPr/>
          <w:p>
            <w:pPr>
              <w:pStyle w:val="Compact"/>
            </w:pPr>
            <w:r>
              <w:rPr>
                <w:rFonts w:ascii="Segoe UI" w:hAnsi="Segoe UI"/>
                <w:sz w:val="22"/>
              </w:rPr>
              <w:t xml:space="preserve">PL</w:t>
            </w:r>
          </w:p>
        </w:tc>
        <w:tc>
          <w:tcPr/>
          <w:p>
            <w:pPr>
              <w:pStyle w:val="Compact"/>
            </w:pPr>
            <w:r>
              <w:rPr>
                <w:rFonts w:ascii="Segoe UI" w:hAnsi="Segoe UI"/>
                <w:sz w:val="22"/>
              </w:rPr>
              <w:t xml:space="preserve">Pipeline</w:t>
            </w:r>
          </w:p>
        </w:tc>
      </w:tr>
    </w:tbl>
    <w:bookmarkEnd w:id="68"/>
    <w:bookmarkStart w:id="69" w:name="suggested-tags"/>
    <w:p>
      <w:pPr>
        <w:pStyle w:val="Heading4"/>
      </w:pPr>
      <w:r>
        <w:rPr>
          <w:rFonts w:ascii="Segoe UI" w:hAnsi="Segoe UI"/>
          <w:b w:val="0"/>
          <w:sz w:val="24"/>
        </w:rPr>
        <w:t xml:space="preserve">Suggested Tags</w:t>
      </w:r>
    </w:p>
    <w:tbl>
      <w:tblPr>
        <w:tblStyle w:val="GridTable4-Accent11"/>
        <w:tblW w:type="auto" w:w="0"/>
        <w:tblLayout w:type="autofit"/>
        <w:tblLook w:firstRow="1" w:lastRow="0" w:firstColumn="1" w:lastColumn="0" w:noHBand="0" w:noVBand="1" w:val="04A0"/>
      </w:tblPr>
      <w:tblGrid>
        <w:gridCol w:w="2640"/>
        <w:gridCol w:w="2640"/>
        <w:gridCol w:w="2640"/>
      </w:tblGrid>
      <w:tr>
        <w:trPr>
          <w:tblHeader w:val="on"/>
        </w:trPr>
        <w:tc>
          <w:tcPr/>
          <w:p>
            <w:pPr>
              <w:pStyle w:val="Compact"/>
            </w:pPr>
            <w:r>
              <w:rPr>
                <w:rFonts w:ascii="Segoe UI" w:hAnsi="Segoe UI"/>
                <w:sz w:val="22"/>
              </w:rPr>
              <w:t xml:space="preserve">Tag Key</w:t>
            </w:r>
          </w:p>
        </w:tc>
        <w:tc>
          <w:tcPr/>
          <w:p>
            <w:pPr>
              <w:pStyle w:val="Compact"/>
            </w:pPr>
            <w:r>
              <w:rPr>
                <w:rFonts w:ascii="Segoe UI" w:hAnsi="Segoe UI"/>
                <w:sz w:val="22"/>
              </w:rPr>
              <w:t xml:space="preserve">Description</w:t>
            </w:r>
          </w:p>
        </w:tc>
        <w:tc>
          <w:tcPr/>
          <w:p>
            <w:pPr>
              <w:pStyle w:val="Compact"/>
            </w:pPr>
            <w:r>
              <w:rPr>
                <w:rFonts w:ascii="Segoe UI" w:hAnsi="Segoe UI"/>
                <w:sz w:val="22"/>
              </w:rPr>
              <w:t xml:space="preserve">Example Value</w:t>
            </w:r>
          </w:p>
        </w:tc>
      </w:tr>
      <w:tr>
        <w:tc>
          <w:tcPr/>
          <w:p>
            <w:pPr>
              <w:pStyle w:val="Compact"/>
            </w:pPr>
            <w:r>
              <w:rPr>
                <w:rFonts w:ascii="Segoe UI" w:hAnsi="Segoe UI"/>
                <w:sz w:val="22"/>
              </w:rPr>
              <w:t xml:space="preserve">Owner</w:t>
            </w:r>
          </w:p>
        </w:tc>
        <w:tc>
          <w:tcPr/>
          <w:p>
            <w:pPr>
              <w:pStyle w:val="Compact"/>
            </w:pPr>
            <w:r>
              <w:rPr>
                <w:rFonts w:ascii="Segoe UI" w:hAnsi="Segoe UI"/>
                <w:sz w:val="22"/>
              </w:rPr>
              <w:t xml:space="preserve">Resource owner</w:t>
            </w:r>
          </w:p>
        </w:tc>
        <w:tc>
          <w:tcPr/>
          <w:p>
            <w:pPr>
              <w:pStyle w:val="Compact"/>
            </w:pPr>
            <w:r>
              <w:rPr>
                <w:rFonts w:ascii="Segoe UI" w:hAnsi="Segoe UI"/>
                <w:sz w:val="22"/>
              </w:rPr>
              <w:t xml:space="preserve">Data Analytics Team</w:t>
            </w:r>
          </w:p>
        </w:tc>
      </w:tr>
      <w:tr>
        <w:tc>
          <w:tcPr/>
          <w:p>
            <w:pPr>
              <w:pStyle w:val="Compact"/>
            </w:pPr>
            <w:r>
              <w:rPr>
                <w:rFonts w:ascii="Segoe UI" w:hAnsi="Segoe UI"/>
                <w:sz w:val="22"/>
              </w:rPr>
              <w:t xml:space="preserve">Environment</w:t>
            </w:r>
          </w:p>
        </w:tc>
        <w:tc>
          <w:tcPr/>
          <w:p>
            <w:pPr>
              <w:pStyle w:val="Compact"/>
            </w:pPr>
            <w:r>
              <w:rPr>
                <w:rFonts w:ascii="Segoe UI" w:hAnsi="Segoe UI"/>
                <w:sz w:val="22"/>
              </w:rPr>
              <w:t xml:space="preserve">Deployment environment</w:t>
            </w:r>
          </w:p>
        </w:tc>
        <w:tc>
          <w:tcPr/>
          <w:p>
            <w:pPr>
              <w:pStyle w:val="Compact"/>
            </w:pPr>
            <w:r>
              <w:rPr>
                <w:rFonts w:ascii="Segoe UI" w:hAnsi="Segoe UI"/>
                <w:sz w:val="22"/>
              </w:rPr>
              <w:t xml:space="preserve">Production</w:t>
            </w:r>
          </w:p>
        </w:tc>
      </w:tr>
      <w:tr>
        <w:tc>
          <w:tcPr/>
          <w:p>
            <w:pPr>
              <w:pStyle w:val="Compact"/>
            </w:pPr>
            <w:r>
              <w:rPr>
                <w:rFonts w:ascii="Segoe UI" w:hAnsi="Segoe UI"/>
                <w:sz w:val="22"/>
              </w:rPr>
              <w:t xml:space="preserve">CostCenter</w:t>
            </w:r>
          </w:p>
        </w:tc>
        <w:tc>
          <w:tcPr/>
          <w:p>
            <w:pPr>
              <w:pStyle w:val="Compact"/>
            </w:pPr>
            <w:r>
              <w:rPr>
                <w:rFonts w:ascii="Segoe UI" w:hAnsi="Segoe UI"/>
                <w:sz w:val="22"/>
              </w:rPr>
              <w:t xml:space="preserve">Cost tracking</w:t>
            </w:r>
          </w:p>
        </w:tc>
        <w:tc>
          <w:tcPr/>
          <w:p>
            <w:pPr>
              <w:pStyle w:val="Compact"/>
            </w:pPr>
            <w:r>
              <w:rPr>
                <w:rFonts w:ascii="Segoe UI" w:hAnsi="Segoe UI"/>
                <w:sz w:val="22"/>
              </w:rPr>
              <w:t xml:space="preserve">FIN-2024</w:t>
            </w:r>
          </w:p>
        </w:tc>
      </w:tr>
      <w:tr>
        <w:tc>
          <w:tcPr/>
          <w:p>
            <w:pPr>
              <w:pStyle w:val="Compact"/>
            </w:pPr>
            <w:r>
              <w:rPr>
                <w:rFonts w:ascii="Segoe UI" w:hAnsi="Segoe UI"/>
                <w:sz w:val="22"/>
              </w:rPr>
              <w:t xml:space="preserve">Project</w:t>
            </w:r>
          </w:p>
        </w:tc>
        <w:tc>
          <w:tcPr/>
          <w:p>
            <w:pPr>
              <w:pStyle w:val="Compact"/>
            </w:pPr>
            <w:r>
              <w:rPr>
                <w:rFonts w:ascii="Segoe UI" w:hAnsi="Segoe UI"/>
                <w:sz w:val="22"/>
              </w:rPr>
              <w:t xml:space="preserve">Project name</w:t>
            </w:r>
          </w:p>
        </w:tc>
        <w:tc>
          <w:tcPr/>
          <w:p>
            <w:pPr>
              <w:pStyle w:val="Compact"/>
            </w:pPr>
            <w:r>
              <w:rPr>
                <w:rFonts w:ascii="Segoe UI" w:hAnsi="Segoe UI"/>
                <w:sz w:val="22"/>
              </w:rPr>
              <w:t xml:space="preserve">SIRIM-Fabric</w:t>
            </w:r>
          </w:p>
        </w:tc>
      </w:tr>
    </w:tbl>
    <w:p>
      <w:pPr>
        <w:pStyle w:val="BodyText"/>
        <w:jc w:val="both"/>
      </w:pPr>
      <w:r>
        <w:rPr>
          <w:rFonts w:ascii="Segoe UI" w:hAnsi="Segoe UI"/>
          <w:sz w:val="22"/>
        </w:rPr>
        <w:t xml:space="preserve">These conventions and tags streamline resource management, cost tracking, and operational clarity.</w:t>
      </w:r>
    </w:p>
    <w:bookmarkEnd w:id="69"/>
    <w:bookmarkEnd w:id="70"/>
    <w:bookmarkEnd w:id="71"/>
    <w:bookmarkStart w:id="74" w:name="governance-consideration"/>
    <w:p>
      <w:pPr>
        <w:pStyle w:val="Heading2"/>
      </w:pPr>
      <w:r>
        <w:rPr>
          <w:rFonts w:ascii="Segoe UI" w:hAnsi="Segoe UI"/>
          <w:b w:val="0"/>
          <w:sz w:val="28"/>
        </w:rPr>
        <w:t xml:space="preserve">5.8 Governance Consideration</w:t>
      </w:r>
    </w:p>
    <w:p>
      <w:pPr>
        <w:pStyle w:val="FirstParagraph"/>
        <w:jc w:val="both"/>
      </w:pPr>
      <w:r>
        <w:rPr>
          <w:rFonts w:ascii="Segoe UI" w:hAnsi="Segoe UI"/>
          <w:sz w:val="22"/>
        </w:rPr>
        <w:t xml:space="preserve">SIRIM Berhad shall enforce governance disciplines for cost management and resource compliance, leveraging Azure-native tools and automated triggers.</w:t>
      </w:r>
    </w:p>
    <w:bookmarkStart w:id="72" w:name="governance-disciplines"/>
    <w:p>
      <w:pPr>
        <w:pStyle w:val="Heading3"/>
      </w:pPr>
      <w:r>
        <w:rPr>
          <w:rFonts w:ascii="Segoe UI" w:hAnsi="Segoe UI"/>
          <w:b w:val="0"/>
          <w:sz w:val="26"/>
        </w:rPr>
        <w:t xml:space="preserve">Governance Disciplines</w:t>
      </w:r>
    </w:p>
    <w:p>
      <w:pPr>
        <w:pStyle w:val="FirstParagraph"/>
        <w:jc w:val="both"/>
      </w:pPr>
      <w:r>
        <w:rPr>
          <w:rFonts w:ascii="Segoe UI" w:hAnsi="Segoe UI"/>
          <w:sz w:val="22"/>
        </w:rPr>
        <w:t xml:space="preserve">Cost management and resource compliance are managed via Azure tools, with clear ownership and operational responsibilities.</w:t>
      </w:r>
    </w:p>
    <w:tbl>
      <w:tblPr>
        <w:tblStyle w:val="GridTable4-Accent11"/>
        <w:tblW w:type="pct" w:w="5000"/>
        <w:tblLayout w:type="autofit"/>
        <w:tblLook w:firstRow="1" w:lastRow="0" w:firstColumn="1" w:lastColumn="0" w:noHBand="0" w:noVBand="1" w:val="04A0"/>
      </w:tblPr>
      <w:tblGrid>
        <w:gridCol w:w="2534"/>
        <w:gridCol w:w="3273"/>
        <w:gridCol w:w="2112"/>
      </w:tblGrid>
      <w:tr>
        <w:trPr>
          <w:tblHeader w:val="on"/>
        </w:trPr>
        <w:tc>
          <w:tcPr/>
          <w:p>
            <w:pPr>
              <w:pStyle w:val="Compact"/>
            </w:pPr>
            <w:r>
              <w:rPr>
                <w:rFonts w:ascii="Segoe UI" w:hAnsi="Segoe UI"/>
                <w:sz w:val="22"/>
              </w:rPr>
              <w:t xml:space="preserve">Tool</w:t>
            </w:r>
          </w:p>
        </w:tc>
        <w:tc>
          <w:tcPr/>
          <w:p>
            <w:pPr>
              <w:pStyle w:val="Compact"/>
            </w:pPr>
            <w:r>
              <w:rPr>
                <w:rFonts w:ascii="Segoe UI" w:hAnsi="Segoe UI"/>
                <w:sz w:val="22"/>
              </w:rPr>
              <w:t xml:space="preserve">Purpose</w:t>
            </w:r>
          </w:p>
        </w:tc>
        <w:tc>
          <w:tcPr/>
          <w:p>
            <w:pPr>
              <w:pStyle w:val="Compact"/>
            </w:pPr>
            <w:r>
              <w:rPr>
                <w:rFonts w:ascii="Segoe UI" w:hAnsi="Segoe UI"/>
                <w:sz w:val="22"/>
              </w:rPr>
              <w:t xml:space="preserve">Owner</w:t>
            </w:r>
          </w:p>
        </w:tc>
      </w:tr>
      <w:tr>
        <w:tc>
          <w:tcPr/>
          <w:p>
            <w:pPr>
              <w:pStyle w:val="Compact"/>
            </w:pPr>
            <w:r>
              <w:rPr>
                <w:rFonts w:ascii="Segoe UI" w:hAnsi="Segoe UI"/>
                <w:sz w:val="22"/>
              </w:rPr>
              <w:t xml:space="preserve">Azure Cost Management</w:t>
            </w:r>
          </w:p>
        </w:tc>
        <w:tc>
          <w:tcPr/>
          <w:p>
            <w:pPr>
              <w:pStyle w:val="Compact"/>
            </w:pPr>
            <w:r>
              <w:rPr>
                <w:rFonts w:ascii="Segoe UI" w:hAnsi="Segoe UI"/>
                <w:sz w:val="22"/>
              </w:rPr>
              <w:t xml:space="preserve">Track and optimize spending</w:t>
            </w:r>
          </w:p>
        </w:tc>
        <w:tc>
          <w:tcPr/>
          <w:p>
            <w:pPr>
              <w:pStyle w:val="Compact"/>
            </w:pPr>
            <w:r>
              <w:rPr>
                <w:rFonts w:ascii="Segoe UI" w:hAnsi="Segoe UI"/>
                <w:sz w:val="22"/>
              </w:rPr>
              <w:t xml:space="preserve">Finance/IT</w:t>
            </w:r>
          </w:p>
        </w:tc>
      </w:tr>
      <w:tr>
        <w:tc>
          <w:tcPr/>
          <w:p>
            <w:pPr>
              <w:pStyle w:val="Compact"/>
            </w:pPr>
            <w:r>
              <w:rPr>
                <w:rFonts w:ascii="Segoe UI" w:hAnsi="Segoe UI"/>
                <w:sz w:val="22"/>
              </w:rPr>
              <w:t xml:space="preserve">Azure Policy</w:t>
            </w:r>
          </w:p>
        </w:tc>
        <w:tc>
          <w:tcPr/>
          <w:p>
            <w:pPr>
              <w:pStyle w:val="Compact"/>
            </w:pPr>
            <w:r>
              <w:rPr>
                <w:rFonts w:ascii="Segoe UI" w:hAnsi="Segoe UI"/>
                <w:sz w:val="22"/>
              </w:rPr>
              <w:t xml:space="preserve">Enforce resource compliance</w:t>
            </w:r>
          </w:p>
        </w:tc>
        <w:tc>
          <w:tcPr/>
          <w:p>
            <w:pPr>
              <w:pStyle w:val="Compact"/>
            </w:pPr>
            <w:r>
              <w:rPr>
                <w:rFonts w:ascii="Segoe UI" w:hAnsi="Segoe UI"/>
                <w:sz w:val="22"/>
              </w:rPr>
              <w:t xml:space="preserve">IT Security</w:t>
            </w:r>
          </w:p>
        </w:tc>
      </w:tr>
      <w:tr>
        <w:tc>
          <w:tcPr/>
          <w:p>
            <w:pPr>
              <w:pStyle w:val="Compact"/>
            </w:pPr>
            <w:r>
              <w:rPr>
                <w:rFonts w:ascii="Segoe UI" w:hAnsi="Segoe UI"/>
                <w:sz w:val="22"/>
              </w:rPr>
              <w:t xml:space="preserve">Azure Monitor</w:t>
            </w:r>
          </w:p>
        </w:tc>
        <w:tc>
          <w:tcPr/>
          <w:p>
            <w:pPr>
              <w:pStyle w:val="Compact"/>
            </w:pPr>
            <w:r>
              <w:rPr>
                <w:rFonts w:ascii="Segoe UI" w:hAnsi="Segoe UI"/>
                <w:sz w:val="22"/>
              </w:rPr>
              <w:t xml:space="preserve">Monitor usage and performance</w:t>
            </w:r>
          </w:p>
        </w:tc>
        <w:tc>
          <w:tcPr/>
          <w:p>
            <w:pPr>
              <w:pStyle w:val="Compact"/>
            </w:pPr>
            <w:r>
              <w:rPr>
                <w:rFonts w:ascii="Segoe UI" w:hAnsi="Segoe UI"/>
                <w:sz w:val="22"/>
              </w:rPr>
              <w:t xml:space="preserve">Analytics Team</w:t>
            </w:r>
          </w:p>
        </w:tc>
      </w:tr>
      <w:tr>
        <w:tc>
          <w:tcPr/>
          <w:p>
            <w:pPr>
              <w:pStyle w:val="Compact"/>
            </w:pPr>
            <w:r>
              <w:rPr>
                <w:rFonts w:ascii="Segoe UI" w:hAnsi="Segoe UI"/>
                <w:sz w:val="22"/>
              </w:rPr>
              <w:t xml:space="preserve">Azure Advisor</w:t>
            </w:r>
          </w:p>
        </w:tc>
        <w:tc>
          <w:tcPr/>
          <w:p>
            <w:pPr>
              <w:pStyle w:val="Compact"/>
            </w:pPr>
            <w:r>
              <w:rPr>
                <w:rFonts w:ascii="Segoe UI" w:hAnsi="Segoe UI"/>
                <w:sz w:val="22"/>
              </w:rPr>
              <w:t xml:space="preserve">Recommend optimizations</w:t>
            </w:r>
          </w:p>
        </w:tc>
        <w:tc>
          <w:tcPr/>
          <w:p>
            <w:pPr>
              <w:pStyle w:val="Compact"/>
            </w:pPr>
            <w:r>
              <w:rPr>
                <w:rFonts w:ascii="Segoe UI" w:hAnsi="Segoe UI"/>
                <w:sz w:val="22"/>
              </w:rPr>
              <w:t xml:space="preserve">IT Operations</w:t>
            </w:r>
          </w:p>
        </w:tc>
      </w:tr>
    </w:tbl>
    <w:p>
      <w:pPr>
        <w:pStyle w:val="BodyText"/>
        <w:jc w:val="both"/>
      </w:pPr>
      <w:r>
        <w:rPr>
          <w:rFonts w:ascii="Segoe UI" w:hAnsi="Segoe UI"/>
          <w:sz w:val="22"/>
        </w:rPr>
        <w:t xml:space="preserve">These tools ensure SIRIM Berhad’s deployment remains cost-effective and compliant.</w:t>
      </w:r>
    </w:p>
    <w:bookmarkEnd w:id="72"/>
    <w:bookmarkStart w:id="73" w:name="violation-triggers-and-actions"/>
    <w:p>
      <w:pPr>
        <w:pStyle w:val="Heading3"/>
      </w:pPr>
      <w:r>
        <w:rPr>
          <w:rFonts w:ascii="Segoe UI" w:hAnsi="Segoe UI"/>
          <w:b w:val="0"/>
          <w:sz w:val="26"/>
        </w:rPr>
        <w:t xml:space="preserve">Violation Triggers and Actions</w:t>
      </w:r>
    </w:p>
    <w:p>
      <w:pPr>
        <w:pStyle w:val="FirstParagraph"/>
        <w:jc w:val="both"/>
      </w:pPr>
      <w:r>
        <w:rPr>
          <w:rFonts w:ascii="Segoe UI" w:hAnsi="Segoe UI"/>
          <w:sz w:val="22"/>
        </w:rPr>
        <w:t xml:space="preserve">Automated triggers and actions are defined for governance violations.</w:t>
      </w:r>
    </w:p>
    <w:tbl>
      <w:tblPr>
        <w:tblStyle w:val="GridTable4-Accent11"/>
        <w:tblW w:type="pct" w:w="5000"/>
        <w:tblLayout w:type="autofit"/>
        <w:tblLook w:firstRow="1" w:lastRow="0" w:firstColumn="1" w:lastColumn="0" w:noHBand="0" w:noVBand="1" w:val="04A0"/>
      </w:tblPr>
      <w:tblGrid>
        <w:gridCol w:w="3247"/>
        <w:gridCol w:w="3168"/>
        <w:gridCol w:w="1504"/>
      </w:tblGrid>
      <w:tr>
        <w:trPr>
          <w:tblHeader w:val="on"/>
        </w:trPr>
        <w:tc>
          <w:tcPr/>
          <w:p>
            <w:pPr>
              <w:pStyle w:val="Compact"/>
            </w:pPr>
            <w:r>
              <w:rPr>
                <w:rFonts w:ascii="Segoe UI" w:hAnsi="Segoe UI"/>
                <w:sz w:val="22"/>
              </w:rPr>
              <w:t xml:space="preserve">Trigger</w:t>
            </w:r>
          </w:p>
        </w:tc>
        <w:tc>
          <w:tcPr/>
          <w:p>
            <w:pPr>
              <w:pStyle w:val="Compact"/>
            </w:pPr>
            <w:r>
              <w:rPr>
                <w:rFonts w:ascii="Segoe UI" w:hAnsi="Segoe UI"/>
                <w:sz w:val="22"/>
              </w:rPr>
              <w:t xml:space="preserve">Action</w:t>
            </w:r>
          </w:p>
        </w:tc>
        <w:tc>
          <w:tcPr/>
          <w:p>
            <w:pPr>
              <w:pStyle w:val="Compact"/>
            </w:pPr>
            <w:r>
              <w:rPr>
                <w:rFonts w:ascii="Segoe UI" w:hAnsi="Segoe UI"/>
                <w:sz w:val="22"/>
              </w:rPr>
              <w:t xml:space="preserve">Responsible Party</w:t>
            </w:r>
          </w:p>
        </w:tc>
      </w:tr>
      <w:tr>
        <w:tc>
          <w:tcPr/>
          <w:p>
            <w:pPr>
              <w:pStyle w:val="Compact"/>
            </w:pPr>
            <w:r>
              <w:rPr>
                <w:rFonts w:ascii="Segoe UI" w:hAnsi="Segoe UI"/>
                <w:sz w:val="22"/>
              </w:rPr>
              <w:t xml:space="preserve">Resource exceeds cost threshold</w:t>
            </w:r>
          </w:p>
        </w:tc>
        <w:tc>
          <w:tcPr/>
          <w:p>
            <w:pPr>
              <w:pStyle w:val="Compact"/>
            </w:pPr>
            <w:r>
              <w:rPr>
                <w:rFonts w:ascii="Segoe UI" w:hAnsi="Segoe UI"/>
                <w:sz w:val="22"/>
              </w:rPr>
              <w:t xml:space="preserve">Notify owner, initiate review</w:t>
            </w:r>
          </w:p>
        </w:tc>
        <w:tc>
          <w:tcPr/>
          <w:p>
            <w:pPr>
              <w:pStyle w:val="Compact"/>
            </w:pPr>
            <w:r>
              <w:rPr>
                <w:rFonts w:ascii="Segoe UI" w:hAnsi="Segoe UI"/>
                <w:sz w:val="22"/>
              </w:rPr>
              <w:t xml:space="preserve">Finance/IT</w:t>
            </w:r>
          </w:p>
        </w:tc>
      </w:tr>
      <w:tr>
        <w:tc>
          <w:tcPr/>
          <w:p>
            <w:pPr>
              <w:pStyle w:val="Compact"/>
            </w:pPr>
            <w:r>
              <w:rPr>
                <w:rFonts w:ascii="Segoe UI" w:hAnsi="Segoe UI"/>
                <w:sz w:val="22"/>
              </w:rPr>
              <w:t xml:space="preserve">Non-compliant resource detected</w:t>
            </w:r>
          </w:p>
        </w:tc>
        <w:tc>
          <w:tcPr/>
          <w:p>
            <w:pPr>
              <w:pStyle w:val="Compact"/>
            </w:pPr>
            <w:r>
              <w:rPr>
                <w:rFonts w:ascii="Segoe UI" w:hAnsi="Segoe UI"/>
                <w:sz w:val="22"/>
              </w:rPr>
              <w:t xml:space="preserve">Remediate or quarantine resource</w:t>
            </w:r>
          </w:p>
        </w:tc>
        <w:tc>
          <w:tcPr/>
          <w:p>
            <w:pPr>
              <w:pStyle w:val="Compact"/>
            </w:pPr>
            <w:r>
              <w:rPr>
                <w:rFonts w:ascii="Segoe UI" w:hAnsi="Segoe UI"/>
                <w:sz w:val="22"/>
              </w:rPr>
              <w:t xml:space="preserve">IT Security</w:t>
            </w:r>
          </w:p>
        </w:tc>
      </w:tr>
      <w:tr>
        <w:tc>
          <w:tcPr/>
          <w:p>
            <w:pPr>
              <w:pStyle w:val="Compact"/>
            </w:pPr>
            <w:r>
              <w:rPr>
                <w:rFonts w:ascii="Segoe UI" w:hAnsi="Segoe UI"/>
                <w:sz w:val="22"/>
              </w:rPr>
              <w:t xml:space="preserve">Unauthorized access attempt</w:t>
            </w:r>
          </w:p>
        </w:tc>
        <w:tc>
          <w:tcPr/>
          <w:p>
            <w:pPr>
              <w:pStyle w:val="Compact"/>
            </w:pPr>
            <w:r>
              <w:rPr>
                <w:rFonts w:ascii="Segoe UI" w:hAnsi="Segoe UI"/>
                <w:sz w:val="22"/>
              </w:rPr>
              <w:t xml:space="preserve">Block access, alert administrator</w:t>
            </w:r>
          </w:p>
        </w:tc>
        <w:tc>
          <w:tcPr/>
          <w:p>
            <w:pPr>
              <w:pStyle w:val="Compact"/>
            </w:pPr>
            <w:r>
              <w:rPr>
                <w:rFonts w:ascii="Segoe UI" w:hAnsi="Segoe UI"/>
                <w:sz w:val="22"/>
              </w:rPr>
              <w:t xml:space="preserve">IT Security</w:t>
            </w:r>
          </w:p>
        </w:tc>
      </w:tr>
      <w:tr>
        <w:tc>
          <w:tcPr/>
          <w:p>
            <w:pPr>
              <w:pStyle w:val="Compact"/>
            </w:pPr>
            <w:r>
              <w:rPr>
                <w:rFonts w:ascii="Segoe UI" w:hAnsi="Segoe UI"/>
                <w:sz w:val="22"/>
              </w:rPr>
              <w:t xml:space="preserve">Policy violation (e.g., naming, tagging)</w:t>
            </w:r>
          </w:p>
        </w:tc>
        <w:tc>
          <w:tcPr/>
          <w:p>
            <w:pPr>
              <w:pStyle w:val="Compact"/>
            </w:pPr>
            <w:r>
              <w:rPr>
                <w:rFonts w:ascii="Segoe UI" w:hAnsi="Segoe UI"/>
                <w:sz w:val="22"/>
              </w:rPr>
              <w:t xml:space="preserve">Enforce correction, log incident</w:t>
            </w:r>
          </w:p>
        </w:tc>
        <w:tc>
          <w:tcPr/>
          <w:p>
            <w:pPr>
              <w:pStyle w:val="Compact"/>
            </w:pPr>
            <w:r>
              <w:rPr>
                <w:rFonts w:ascii="Segoe UI" w:hAnsi="Segoe UI"/>
                <w:sz w:val="22"/>
              </w:rPr>
              <w:t xml:space="preserve">IT Operations</w:t>
            </w:r>
          </w:p>
        </w:tc>
      </w:tr>
    </w:tbl>
    <w:p>
      <w:pPr>
        <w:pStyle w:val="BodyText"/>
        <w:jc w:val="both"/>
      </w:pPr>
      <w:r>
        <w:rPr>
          <w:rFonts w:ascii="Segoe UI" w:hAnsi="Segoe UI"/>
          <w:sz w:val="22"/>
        </w:rPr>
        <w:t xml:space="preserve">This ensures rapid response and accountability for governance breaches.</w:t>
      </w:r>
    </w:p>
    <w:bookmarkEnd w:id="73"/>
    <w:bookmarkEnd w:id="74"/>
    <w:bookmarkStart w:id="75" w:name="multi-factor-authentication"/>
    <w:p>
      <w:pPr>
        <w:pStyle w:val="Heading2"/>
      </w:pPr>
      <w:r>
        <w:rPr>
          <w:rFonts w:ascii="Segoe UI" w:hAnsi="Segoe UI"/>
          <w:b w:val="0"/>
          <w:sz w:val="28"/>
        </w:rPr>
        <w:t xml:space="preserve">5.9 Multi-Factor Authentication</w:t>
      </w:r>
    </w:p>
    <w:p>
      <w:pPr>
        <w:pStyle w:val="FirstParagraph"/>
        <w:jc w:val="both"/>
      </w:pPr>
      <w:r>
        <w:rPr>
          <w:rFonts w:ascii="Segoe UI" w:hAnsi="Segoe UI"/>
          <w:sz w:val="22"/>
        </w:rPr>
        <w:t xml:space="preserve">Multi-Factor Authentication (MFA) is integrated and enforced for all users accessing SIRIM Fabric. Azure AD Conditional Access policies mandate MFA, requiring users to verify their identity via secondary factors (e.g., mobile app, SMS code) before access is granted.</w:t>
      </w:r>
    </w:p>
    <w:p>
      <w:pPr>
        <w:pStyle w:val="BodyText"/>
        <w:jc w:val="both"/>
      </w:pPr>
      <w:r>
        <w:rPr>
          <w:rFonts w:ascii="Segoe UI" w:hAnsi="Segoe UI"/>
          <w:sz w:val="22"/>
        </w:rPr>
        <w:t xml:space="preserve">MFA reduces risk of unauthorized access, aligns with regulatory requirements, and protects sensitive analytics data. SIRIM Berhad shall ensure MFA is enabled for all user accounts, with periodic reviews to maintain compliance.</w:t>
      </w:r>
    </w:p>
    <w:p>
      <w:r>
        <w:rPr>
          <w:rFonts w:ascii="Segoe UI" w:hAnsi="Segoe UI"/>
          <w:sz w:val="22"/>
        </w:rPr>
        <w:pict>
          <v:rect style="width:0;height:1.5pt" o:hralign="center" o:hrstd="t" o:hr="t"/>
        </w:pict>
      </w:r>
    </w:p>
    <w:p>
      <w:pPr>
        <w:pStyle w:val="FirstParagraph"/>
        <w:jc w:val="both"/>
      </w:pPr>
      <w:r>
        <w:rPr>
          <w:rFonts w:ascii="Segoe UI" w:hAnsi="Segoe UI"/>
          <w:sz w:val="22"/>
        </w:rPr>
        <w:t xml:space="preserve">This section provides SIRIM Berhad with a detailed, actionable blueprint for Microsoft Fabric deployment, ensuring secure, scalable, and compliant analytics operations.</w:t>
      </w:r>
    </w:p>
    <w:bookmarkEnd w:id="75"/>
    <w:bookmarkEnd w:id="76"/>
    <w:bookmarkStart w:id="81" w:name="security-design-and-decision"/>
    <w:p>
      <w:pPr>
        <w:pStyle w:val="Heading1"/>
        <w:pageBreakBefore/>
      </w:pPr>
      <w:r>
        <w:rPr>
          <w:rFonts w:ascii="Segoe UI" w:hAnsi="Segoe UI"/>
          <w:b w:val="0"/>
          <w:sz w:val="30"/>
        </w:rPr>
        <w:t xml:space="preserve">6.0 Security Design and Decision</w:t>
      </w:r>
    </w:p>
    <w:p>
      <w:pPr>
        <w:pStyle w:val="FirstParagraph"/>
        <w:jc w:val="both"/>
      </w:pPr>
      <w:r>
        <w:rPr>
          <w:rFonts w:ascii="Segoe UI" w:hAnsi="Segoe UI"/>
          <w:sz w:val="22"/>
        </w:rPr>
        <w:t xml:space="preserve">This section details the security architecture for SIRIM Berhad’s Azure deployment, focusing on Network Security Group (NSG) configuration and encryption mechanisms. All security controls are tailored to SIRIM Berhad’s workload and compliance requirements.</w:t>
      </w:r>
    </w:p>
    <w:bookmarkStart w:id="79" w:name="azure-nsg-overview"/>
    <w:p>
      <w:pPr>
        <w:pStyle w:val="Heading2"/>
      </w:pPr>
      <w:r>
        <w:rPr>
          <w:rFonts w:ascii="Segoe UI" w:hAnsi="Segoe UI"/>
          <w:b w:val="0"/>
          <w:sz w:val="28"/>
        </w:rPr>
        <w:t xml:space="preserve">6.1 Azure NSG Overview</w:t>
      </w:r>
    </w:p>
    <w:p>
      <w:pPr>
        <w:pStyle w:val="FirstParagraph"/>
        <w:jc w:val="both"/>
      </w:pPr>
      <w:r>
        <w:rPr>
          <w:rFonts w:ascii="Segoe UI" w:hAnsi="Segoe UI"/>
          <w:sz w:val="22"/>
        </w:rPr>
        <w:t xml:space="preserve">We recommend that SIRIM Berhad implement Azure Network Security Groups (NSGs) as the primary mechanism for controlling network traffic to and from Azure resources. NSGs are strategically placed at the subnet level within the WVD (Windows Virtual Desktop) environment to enforce granular inbound and outbound traffic rules, ensuring only authorized access paths are permitted.</w:t>
      </w:r>
    </w:p>
    <w:p>
      <w:pPr>
        <w:pStyle w:val="BodyText"/>
        <w:jc w:val="both"/>
      </w:pPr>
      <w:r>
        <w:rPr>
          <w:rFonts w:ascii="Segoe UI" w:hAnsi="Segoe UI"/>
          <w:sz w:val="22"/>
        </w:rPr>
        <w:t xml:space="preserve">NSGs serve as a critical layer of defense in the Azure ecosystem, allowing SIRIM Berhad to define explicit rules for traffic filtering based on source, destination, port, and protocol. By restricting access to only required endpoints and services, NSGs mitigate risks associated with unauthorized access, lateral movement, and exposure to external threats. Placement of NSGs on the WVD subnet ensures that both user sessions and backend services are protected in accordance with SIRIM Berhad’s operational security policies.</w:t>
      </w:r>
    </w:p>
    <w:p>
      <w:pPr>
        <w:pStyle w:val="BodyText"/>
        <w:jc w:val="both"/>
      </w:pPr>
      <w:r>
        <w:rPr>
          <w:rFonts w:ascii="Segoe UI" w:hAnsi="Segoe UI"/>
          <w:sz w:val="22"/>
        </w:rPr>
        <w:t xml:space="preserve">The following subsections provide detailed documentation of the inbound and outbound NSG rules implemented for the Fabric solution.</w:t>
      </w:r>
    </w:p>
    <w:bookmarkStart w:id="77" w:name="inbound-rules-table"/>
    <w:p>
      <w:pPr>
        <w:pStyle w:val="Heading3"/>
      </w:pPr>
      <w:r>
        <w:rPr>
          <w:rFonts w:ascii="Segoe UI" w:hAnsi="Segoe UI"/>
          <w:b w:val="0"/>
          <w:sz w:val="26"/>
        </w:rPr>
        <w:t xml:space="preserve">Inbound Rules Table</w:t>
      </w:r>
    </w:p>
    <w:p>
      <w:pPr>
        <w:pStyle w:val="FirstParagraph"/>
        <w:jc w:val="both"/>
      </w:pPr>
      <w:r>
        <w:rPr>
          <w:rFonts w:ascii="Segoe UI" w:hAnsi="Segoe UI"/>
          <w:sz w:val="22"/>
        </w:rPr>
        <w:t xml:space="preserve">The table below outlines the inbound NSG rules applied to the WVD subnet. These rules are designed to allow secure access from Azure service tags to the virtual machines, specifically over HTTPS (port 443), while denying all other traffic by default.</w:t>
      </w:r>
    </w:p>
    <w:tbl>
      <w:tblPr>
        <w:tblStyle w:val="GridTable4-Accent11"/>
        <w:tblW w:type="pct" w:w="5000"/>
        <w:tblLayout w:type="autofit"/>
        <w:tblLook w:firstRow="1" w:lastRow="0" w:firstColumn="1" w:lastColumn="0" w:noHBand="0" w:noVBand="1" w:val="04A0"/>
      </w:tblPr>
      <w:tblGrid>
        <w:gridCol w:w="1421"/>
        <w:gridCol w:w="676"/>
        <w:gridCol w:w="947"/>
        <w:gridCol w:w="947"/>
        <w:gridCol w:w="1421"/>
        <w:gridCol w:w="1286"/>
        <w:gridCol w:w="676"/>
        <w:gridCol w:w="541"/>
      </w:tblGrid>
      <w:tr>
        <w:trPr>
          <w:tblHeader w:val="on"/>
        </w:trPr>
        <w:tc>
          <w:tcPr/>
          <w:p>
            <w:pPr>
              <w:pStyle w:val="Compact"/>
            </w:pPr>
            <w:r>
              <w:rPr>
                <w:rFonts w:ascii="Segoe UI" w:hAnsi="Segoe UI"/>
                <w:sz w:val="22"/>
              </w:rPr>
              <w:t xml:space="preserve">Name</w:t>
            </w:r>
          </w:p>
        </w:tc>
        <w:tc>
          <w:tcPr/>
          <w:p>
            <w:pPr>
              <w:pStyle w:val="Compact"/>
            </w:pPr>
            <w:r>
              <w:rPr>
                <w:rFonts w:ascii="Segoe UI" w:hAnsi="Segoe UI"/>
                <w:sz w:val="22"/>
              </w:rPr>
              <w:t xml:space="preserve">Priority</w:t>
            </w:r>
          </w:p>
        </w:tc>
        <w:tc>
          <w:tcPr/>
          <w:p>
            <w:pPr>
              <w:pStyle w:val="Compact"/>
            </w:pPr>
            <w:r>
              <w:rPr>
                <w:rFonts w:ascii="Segoe UI" w:hAnsi="Segoe UI"/>
                <w:sz w:val="22"/>
              </w:rPr>
              <w:t xml:space="preserve">Source</w:t>
            </w:r>
          </w:p>
        </w:tc>
        <w:tc>
          <w:tcPr/>
          <w:p>
            <w:pPr>
              <w:pStyle w:val="Compact"/>
            </w:pPr>
            <w:r>
              <w:rPr>
                <w:rFonts w:ascii="Segoe UI" w:hAnsi="Segoe UI"/>
                <w:sz w:val="22"/>
              </w:rPr>
              <w:t xml:space="preserve">Source Ports</w:t>
            </w:r>
          </w:p>
        </w:tc>
        <w:tc>
          <w:tcPr/>
          <w:p>
            <w:pPr>
              <w:pStyle w:val="Compact"/>
            </w:pPr>
            <w:r>
              <w:rPr>
                <w:rFonts w:ascii="Segoe UI" w:hAnsi="Segoe UI"/>
                <w:sz w:val="22"/>
              </w:rPr>
              <w:t xml:space="preserve">Destination</w:t>
            </w:r>
          </w:p>
        </w:tc>
        <w:tc>
          <w:tcPr/>
          <w:p>
            <w:pPr>
              <w:pStyle w:val="Compact"/>
            </w:pPr>
            <w:r>
              <w:rPr>
                <w:rFonts w:ascii="Segoe UI" w:hAnsi="Segoe UI"/>
                <w:sz w:val="22"/>
              </w:rPr>
              <w:t xml:space="preserve">Destination Ports</w:t>
            </w:r>
          </w:p>
        </w:tc>
        <w:tc>
          <w:tcPr/>
          <w:p>
            <w:pPr>
              <w:pStyle w:val="Compact"/>
            </w:pPr>
            <w:r>
              <w:rPr>
                <w:rFonts w:ascii="Segoe UI" w:hAnsi="Segoe UI"/>
                <w:sz w:val="22"/>
              </w:rPr>
              <w:t xml:space="preserve">Protocol</w:t>
            </w:r>
          </w:p>
        </w:tc>
        <w:tc>
          <w:tcPr/>
          <w:p>
            <w:pPr>
              <w:pStyle w:val="Compact"/>
            </w:pPr>
            <w:r>
              <w:rPr>
                <w:rFonts w:ascii="Segoe UI" w:hAnsi="Segoe UI"/>
                <w:sz w:val="22"/>
              </w:rPr>
              <w:t xml:space="preserve">Access</w:t>
            </w:r>
          </w:p>
        </w:tc>
      </w:tr>
      <w:tr>
        <w:tc>
          <w:tcPr/>
          <w:p>
            <w:pPr>
              <w:pStyle w:val="Compact"/>
            </w:pPr>
            <w:r>
              <w:rPr>
                <w:rFonts w:ascii="Segoe UI" w:hAnsi="Segoe UI"/>
                <w:sz w:val="22"/>
              </w:rPr>
              <w:t xml:space="preserve">Allow_Fabric_Inbound</w:t>
            </w:r>
          </w:p>
        </w:tc>
        <w:tc>
          <w:tcPr/>
          <w:p>
            <w:pPr>
              <w:pStyle w:val="Compact"/>
            </w:pPr>
            <w:r>
              <w:rPr>
                <w:rFonts w:ascii="Segoe UI" w:hAnsi="Segoe UI"/>
                <w:sz w:val="22"/>
              </w:rPr>
              <w:t xml:space="preserve">110</w:t>
            </w:r>
          </w:p>
        </w:tc>
        <w:tc>
          <w:tcPr/>
          <w:p>
            <w:pPr>
              <w:pStyle w:val="Compact"/>
            </w:pPr>
            <w:r>
              <w:rPr>
                <w:rFonts w:ascii="Segoe UI" w:hAnsi="Segoe UI"/>
                <w:sz w:val="22"/>
              </w:rPr>
              <w:t xml:space="preserve">Service Tag</w:t>
            </w:r>
          </w:p>
        </w:tc>
        <w:tc>
          <w:tcPr/>
          <w:p>
            <w:pPr>
              <w:pStyle w:val="Compact"/>
            </w:pPr>
            <w:r>
              <w:rPr>
                <w:rFonts w:ascii="Segoe UI" w:hAnsi="Segoe UI"/>
                <w:sz w:val="22"/>
              </w:rPr>
              <w:t xml:space="preserve">443</w:t>
            </w:r>
          </w:p>
        </w:tc>
        <w:tc>
          <w:tcPr/>
          <w:p>
            <w:pPr>
              <w:pStyle w:val="Compact"/>
            </w:pPr>
            <w:r>
              <w:rPr>
                <w:rFonts w:ascii="Segoe UI" w:hAnsi="Segoe UI"/>
                <w:sz w:val="22"/>
              </w:rPr>
              <w:t xml:space="preserve">Vm Private IP Addresses</w:t>
            </w:r>
          </w:p>
        </w:tc>
        <w:tc>
          <w:tcPr/>
          <w:p>
            <w:pPr>
              <w:pStyle w:val="Compact"/>
            </w:pPr>
            <w:r>
              <w:rPr>
                <w:rFonts w:ascii="Segoe UI" w:hAnsi="Segoe UI"/>
                <w:sz w:val="22"/>
              </w:rPr>
              <w:t xml:space="preserve">*</w:t>
            </w:r>
          </w:p>
        </w:tc>
        <w:tc>
          <w:tcPr/>
          <w:p>
            <w:pPr>
              <w:pStyle w:val="Compact"/>
            </w:pPr>
            <w:r>
              <w:rPr>
                <w:rFonts w:ascii="Segoe UI" w:hAnsi="Segoe UI"/>
                <w:sz w:val="22"/>
              </w:rPr>
              <w:t xml:space="preserve">TCP</w:t>
            </w:r>
          </w:p>
        </w:tc>
        <w:tc>
          <w:tcPr/>
          <w:p>
            <w:pPr>
              <w:pStyle w:val="Compact"/>
            </w:pPr>
            <w:r>
              <w:rPr>
                <w:rFonts w:ascii="Segoe UI" w:hAnsi="Segoe UI"/>
                <w:sz w:val="22"/>
              </w:rPr>
              <w:t xml:space="preserve">Allow</w:t>
            </w:r>
          </w:p>
        </w:tc>
      </w:tr>
    </w:tbl>
    <w:p>
      <w:pPr>
        <w:pStyle w:val="BodyText"/>
        <w:jc w:val="both"/>
      </w:pPr>
      <w:r>
        <w:rPr>
          <w:rFonts w:ascii="Segoe UI" w:hAnsi="Segoe UI"/>
          <w:sz w:val="22"/>
        </w:rPr>
        <w:t xml:space="preserve">This configuration ensures that only traffic originating from Azure service tags on port 443 is permitted to reach the virtual machines. All other inbound connections are implicitly denied, aligning with zero-trust principles and minimizing exposure to external threats.</w:t>
      </w:r>
    </w:p>
    <w:bookmarkEnd w:id="77"/>
    <w:bookmarkStart w:id="78" w:name="outbound-rules-table"/>
    <w:p>
      <w:pPr>
        <w:pStyle w:val="Heading3"/>
      </w:pPr>
      <w:r>
        <w:rPr>
          <w:rFonts w:ascii="Segoe UI" w:hAnsi="Segoe UI"/>
          <w:b w:val="0"/>
          <w:sz w:val="26"/>
        </w:rPr>
        <w:t xml:space="preserve">Outbound Rules Table</w:t>
      </w:r>
    </w:p>
    <w:p>
      <w:pPr>
        <w:pStyle w:val="FirstParagraph"/>
        <w:jc w:val="both"/>
      </w:pPr>
      <w:r>
        <w:rPr>
          <w:rFonts w:ascii="Segoe UI" w:hAnsi="Segoe UI"/>
          <w:sz w:val="22"/>
        </w:rPr>
        <w:t xml:space="preserve">The table below documents the outbound NSG rules configured for the WVD subnet. Outbound traffic from the virtual machines is permitted to Azure service tags over HTTPS, enabling secure communication with Azure services while restricting unnecessary outbound flows.</w:t>
      </w:r>
    </w:p>
    <w:tbl>
      <w:tblPr>
        <w:tblStyle w:val="GridTable4-Accent11"/>
        <w:tblW w:type="pct" w:w="5000"/>
        <w:tblLayout w:type="autofit"/>
        <w:tblLook w:firstRow="1" w:lastRow="0" w:firstColumn="1" w:lastColumn="0" w:noHBand="0" w:noVBand="1" w:val="04A0"/>
      </w:tblPr>
      <w:tblGrid>
        <w:gridCol w:w="1409"/>
        <w:gridCol w:w="671"/>
        <w:gridCol w:w="1476"/>
        <w:gridCol w:w="939"/>
        <w:gridCol w:w="939"/>
        <w:gridCol w:w="1275"/>
        <w:gridCol w:w="671"/>
        <w:gridCol w:w="536"/>
      </w:tblGrid>
      <w:tr>
        <w:trPr>
          <w:tblHeader w:val="on"/>
        </w:trPr>
        <w:tc>
          <w:tcPr/>
          <w:p>
            <w:pPr>
              <w:pStyle w:val="Compact"/>
            </w:pPr>
            <w:r>
              <w:rPr>
                <w:rFonts w:ascii="Segoe UI" w:hAnsi="Segoe UI"/>
                <w:sz w:val="22"/>
              </w:rPr>
              <w:t xml:space="preserve">Name</w:t>
            </w:r>
          </w:p>
        </w:tc>
        <w:tc>
          <w:tcPr/>
          <w:p>
            <w:pPr>
              <w:pStyle w:val="Compact"/>
            </w:pPr>
            <w:r>
              <w:rPr>
                <w:rFonts w:ascii="Segoe UI" w:hAnsi="Segoe UI"/>
                <w:sz w:val="22"/>
              </w:rPr>
              <w:t xml:space="preserve">Priority</w:t>
            </w:r>
          </w:p>
        </w:tc>
        <w:tc>
          <w:tcPr/>
          <w:p>
            <w:pPr>
              <w:pStyle w:val="Compact"/>
            </w:pPr>
            <w:r>
              <w:rPr>
                <w:rFonts w:ascii="Segoe UI" w:hAnsi="Segoe UI"/>
                <w:sz w:val="22"/>
              </w:rPr>
              <w:t xml:space="preserve">Source</w:t>
            </w:r>
          </w:p>
        </w:tc>
        <w:tc>
          <w:tcPr/>
          <w:p>
            <w:pPr>
              <w:pStyle w:val="Compact"/>
            </w:pPr>
            <w:r>
              <w:rPr>
                <w:rFonts w:ascii="Segoe UI" w:hAnsi="Segoe UI"/>
                <w:sz w:val="22"/>
              </w:rPr>
              <w:t xml:space="preserve">Source Ports</w:t>
            </w:r>
          </w:p>
        </w:tc>
        <w:tc>
          <w:tcPr/>
          <w:p>
            <w:pPr>
              <w:pStyle w:val="Compact"/>
            </w:pPr>
            <w:r>
              <w:rPr>
                <w:rFonts w:ascii="Segoe UI" w:hAnsi="Segoe UI"/>
                <w:sz w:val="22"/>
              </w:rPr>
              <w:t xml:space="preserve">Destination</w:t>
            </w:r>
          </w:p>
        </w:tc>
        <w:tc>
          <w:tcPr/>
          <w:p>
            <w:pPr>
              <w:pStyle w:val="Compact"/>
            </w:pPr>
            <w:r>
              <w:rPr>
                <w:rFonts w:ascii="Segoe UI" w:hAnsi="Segoe UI"/>
                <w:sz w:val="22"/>
              </w:rPr>
              <w:t xml:space="preserve">Destination Ports</w:t>
            </w:r>
          </w:p>
        </w:tc>
        <w:tc>
          <w:tcPr/>
          <w:p>
            <w:pPr>
              <w:pStyle w:val="Compact"/>
            </w:pPr>
            <w:r>
              <w:rPr>
                <w:rFonts w:ascii="Segoe UI" w:hAnsi="Segoe UI"/>
                <w:sz w:val="22"/>
              </w:rPr>
              <w:t xml:space="preserve">Protocol</w:t>
            </w:r>
          </w:p>
        </w:tc>
        <w:tc>
          <w:tcPr/>
          <w:p>
            <w:pPr>
              <w:pStyle w:val="Compact"/>
            </w:pPr>
            <w:r>
              <w:rPr>
                <w:rFonts w:ascii="Segoe UI" w:hAnsi="Segoe UI"/>
                <w:sz w:val="22"/>
              </w:rPr>
              <w:t xml:space="preserve">Access</w:t>
            </w:r>
          </w:p>
        </w:tc>
      </w:tr>
      <w:tr>
        <w:tc>
          <w:tcPr/>
          <w:p>
            <w:pPr>
              <w:pStyle w:val="Compact"/>
            </w:pPr>
            <w:r>
              <w:rPr>
                <w:rFonts w:ascii="Segoe UI" w:hAnsi="Segoe UI"/>
                <w:sz w:val="22"/>
              </w:rPr>
              <w:t xml:space="preserve">Allow_Fabric_Outbound</w:t>
            </w:r>
          </w:p>
        </w:tc>
        <w:tc>
          <w:tcPr/>
          <w:p>
            <w:pPr>
              <w:pStyle w:val="Compact"/>
            </w:pPr>
            <w:r>
              <w:rPr>
                <w:rFonts w:ascii="Segoe UI" w:hAnsi="Segoe UI"/>
                <w:sz w:val="22"/>
              </w:rPr>
              <w:t xml:space="preserve">110</w:t>
            </w:r>
          </w:p>
        </w:tc>
        <w:tc>
          <w:tcPr/>
          <w:p>
            <w:pPr>
              <w:pStyle w:val="Compact"/>
            </w:pPr>
            <w:r>
              <w:rPr>
                <w:rFonts w:ascii="Segoe UI" w:hAnsi="Segoe UI"/>
                <w:sz w:val="22"/>
              </w:rPr>
              <w:t xml:space="preserve">Vm Private IP Addresses</w:t>
            </w:r>
          </w:p>
        </w:tc>
        <w:tc>
          <w:tcPr/>
          <w:p>
            <w:pPr>
              <w:pStyle w:val="Compact"/>
            </w:pPr>
            <w:r>
              <w:rPr>
                <w:rFonts w:ascii="Segoe UI" w:hAnsi="Segoe UI"/>
                <w:sz w:val="22"/>
              </w:rPr>
              <w:t xml:space="preserve">*</w:t>
            </w:r>
          </w:p>
        </w:tc>
        <w:tc>
          <w:tcPr/>
          <w:p>
            <w:pPr>
              <w:pStyle w:val="Compact"/>
            </w:pPr>
            <w:r>
              <w:rPr>
                <w:rFonts w:ascii="Segoe UI" w:hAnsi="Segoe UI"/>
                <w:sz w:val="22"/>
              </w:rPr>
              <w:t xml:space="preserve">Service Tag</w:t>
            </w:r>
          </w:p>
        </w:tc>
        <w:tc>
          <w:tcPr/>
          <w:p>
            <w:pPr>
              <w:pStyle w:val="Compact"/>
            </w:pPr>
            <w:r>
              <w:rPr>
                <w:rFonts w:ascii="Segoe UI" w:hAnsi="Segoe UI"/>
                <w:sz w:val="22"/>
              </w:rPr>
              <w:t xml:space="preserve">443</w:t>
            </w:r>
          </w:p>
        </w:tc>
        <w:tc>
          <w:tcPr/>
          <w:p>
            <w:pPr>
              <w:pStyle w:val="Compact"/>
            </w:pPr>
            <w:r>
              <w:rPr>
                <w:rFonts w:ascii="Segoe UI" w:hAnsi="Segoe UI"/>
                <w:sz w:val="22"/>
              </w:rPr>
              <w:t xml:space="preserve">TCP</w:t>
            </w:r>
          </w:p>
        </w:tc>
        <w:tc>
          <w:tcPr/>
          <w:p>
            <w:pPr>
              <w:pStyle w:val="Compact"/>
            </w:pPr>
            <w:r>
              <w:rPr>
                <w:rFonts w:ascii="Segoe UI" w:hAnsi="Segoe UI"/>
                <w:sz w:val="22"/>
              </w:rPr>
              <w:t xml:space="preserve">Allow</w:t>
            </w:r>
          </w:p>
        </w:tc>
      </w:tr>
    </w:tbl>
    <w:p>
      <w:pPr>
        <w:pStyle w:val="BodyText"/>
        <w:jc w:val="both"/>
      </w:pPr>
      <w:r>
        <w:rPr>
          <w:rFonts w:ascii="Segoe UI" w:hAnsi="Segoe UI"/>
          <w:sz w:val="22"/>
        </w:rPr>
        <w:t xml:space="preserve">By allowing outbound traffic only to Azure service tags on port 443, SIRIM Berhad ensures that virtual machines can interact securely with Azure resources, while preventing unauthorized outbound connections that could lead to data exfiltration or compromise.</w:t>
      </w:r>
    </w:p>
    <w:bookmarkEnd w:id="78"/>
    <w:bookmarkEnd w:id="79"/>
    <w:bookmarkStart w:id="80" w:name="encryption-design"/>
    <w:p>
      <w:pPr>
        <w:pStyle w:val="Heading2"/>
      </w:pPr>
      <w:r>
        <w:rPr>
          <w:rFonts w:ascii="Segoe UI" w:hAnsi="Segoe UI"/>
          <w:b w:val="0"/>
          <w:sz w:val="28"/>
        </w:rPr>
        <w:t xml:space="preserve">6.2 Encryption Design</w:t>
      </w:r>
    </w:p>
    <w:p>
      <w:pPr>
        <w:pStyle w:val="FirstParagraph"/>
        <w:jc w:val="both"/>
      </w:pPr>
      <w:r>
        <w:rPr>
          <w:rFonts w:ascii="Segoe UI" w:hAnsi="Segoe UI"/>
          <w:sz w:val="22"/>
        </w:rPr>
        <w:t xml:space="preserve">SIRIM Berhad shall implement encryption mechanisms in accordance with Azure best practices for protecting data at rest and in transit. Although the slide data does not reference specific encryption technologies, we recommend the following design decisions based on the Fabric solution’s requirements:</w:t>
      </w:r>
    </w:p>
    <w:p>
      <w:pPr>
        <w:pStyle w:val="Compact"/>
        <w:numPr>
          <w:ilvl w:val="0"/>
          <w:numId w:val="1008"/>
        </w:numPr>
        <w:jc w:val="both"/>
      </w:pPr>
      <w:r>
        <w:rPr>
          <w:rFonts w:ascii="Segoe UI" w:hAnsi="Segoe UI"/>
          <w:b/>
          <w:bCs/>
          <w:sz w:val="22"/>
        </w:rPr>
        <w:t xml:space="preserve">Data at Rest</w:t>
      </w:r>
      <w:r>
        <w:rPr>
          <w:rFonts w:ascii="Segoe UI" w:hAnsi="Segoe UI"/>
          <w:sz w:val="22"/>
        </w:rPr>
        <w:t xml:space="preserve">: All storage accounts, virtual disks, and databases associated with the Fabric deployment shall be encrypted using Azure Storage Service Encryption (SSE) and Azure Disk Encryption. This leverages Microsoft-managed keys by default, with the option to use customer-managed keys for enhanced control and regulatory compliance.</w:t>
      </w:r>
    </w:p>
    <w:p>
      <w:pPr>
        <w:pStyle w:val="Compact"/>
        <w:numPr>
          <w:ilvl w:val="0"/>
          <w:numId w:val="1008"/>
        </w:numPr>
        <w:jc w:val="both"/>
      </w:pPr>
      <w:r>
        <w:rPr>
          <w:rFonts w:ascii="Segoe UI" w:hAnsi="Segoe UI"/>
          <w:b/>
          <w:bCs/>
          <w:sz w:val="22"/>
        </w:rPr>
        <w:t xml:space="preserve">Data in Transit</w:t>
      </w:r>
      <w:r>
        <w:rPr>
          <w:rFonts w:ascii="Segoe UI" w:hAnsi="Segoe UI"/>
          <w:sz w:val="22"/>
        </w:rPr>
        <w:t xml:space="preserve">: All communications between users, services, and Azure resources shall be encrypted using TLS 1.2 or higher. The NSG configuration enforces HTTPS (port 443) for inbound and outbound traffic, ensuring that all data exchanges are protected from interception and tampering.</w:t>
      </w:r>
    </w:p>
    <w:p>
      <w:pPr>
        <w:pStyle w:val="Compact"/>
        <w:numPr>
          <w:ilvl w:val="0"/>
          <w:numId w:val="1008"/>
        </w:numPr>
        <w:jc w:val="both"/>
      </w:pPr>
      <w:r>
        <w:rPr>
          <w:rFonts w:ascii="Segoe UI" w:hAnsi="Segoe UI"/>
          <w:b/>
          <w:bCs/>
          <w:sz w:val="22"/>
        </w:rPr>
        <w:t xml:space="preserve">Key Management</w:t>
      </w:r>
      <w:r>
        <w:rPr>
          <w:rFonts w:ascii="Segoe UI" w:hAnsi="Segoe UI"/>
          <w:sz w:val="22"/>
        </w:rPr>
        <w:t xml:space="preserve">: SIRIM Berhad shall utilize Azure Key Vault for secure storage and management of encryption keys and secrets. Access to Key Vault will be tightly controlled through role-based access and monitored via Azure Security Center.</w:t>
      </w:r>
    </w:p>
    <w:p>
      <w:pPr>
        <w:pStyle w:val="FirstParagraph"/>
        <w:jc w:val="both"/>
      </w:pPr>
      <w:r>
        <w:rPr>
          <w:rFonts w:ascii="Segoe UI" w:hAnsi="Segoe UI"/>
          <w:sz w:val="22"/>
        </w:rPr>
        <w:t xml:space="preserve">Implementing these encryption mechanisms provides robust protection against unauthorized access and data breaches, supporting SIRIM Berhad’s compliance with industry standards and regulatory requirements. The operational impact includes enhanced data confidentiality, integrity, and resilience against evolving cyber threats.</w:t>
      </w:r>
    </w:p>
    <w:p>
      <w:pPr>
        <w:pStyle w:val="BlockText"/>
        <w:jc w:val="both"/>
      </w:pPr>
      <w:r>
        <w:rPr>
          <w:rFonts w:ascii="Segoe UI" w:hAnsi="Segoe UI"/>
          <w:b/>
          <w:bCs/>
          <w:sz w:val="22"/>
        </w:rPr>
        <w:t xml:space="preserve">Note:</w:t>
      </w:r>
      <w:r>
        <w:rPr>
          <w:rFonts w:ascii="Segoe UI" w:hAnsi="Segoe UI"/>
          <w:sz w:val="22"/>
        </w:rPr>
        <w:t xml:space="preserve"> </w:t>
      </w:r>
      <w:r>
        <w:rPr>
          <w:rFonts w:ascii="Segoe UI" w:hAnsi="Segoe UI"/>
          <w:sz w:val="22"/>
        </w:rPr>
        <w:t xml:space="preserve">Conditional Access and Multi-Factor Authentication (MFA) are addressed in the Platform Design section. Refer to Section 5.2 for detailed access control and authentication design decisions.</w:t>
      </w:r>
    </w:p>
    <w:bookmarkEnd w:id="80"/>
    <w:bookmarkEnd w:id="81"/>
    <w:bookmarkStart w:id="96" w:name="microsoft-fabric-data-workflow"/>
    <w:p>
      <w:pPr>
        <w:pStyle w:val="Heading1"/>
        <w:pageBreakBefore/>
      </w:pPr>
      <w:r>
        <w:rPr>
          <w:rFonts w:ascii="Segoe UI" w:hAnsi="Segoe UI"/>
          <w:b w:val="0"/>
          <w:sz w:val="30"/>
        </w:rPr>
        <w:t xml:space="preserve">7.0 Microsoft Fabric Data Workflow</w:t>
      </w:r>
    </w:p>
    <w:p>
      <w:pPr>
        <w:pStyle w:val="FirstParagraph"/>
        <w:jc w:val="both"/>
      </w:pPr>
      <w:r>
        <w:rPr>
          <w:rFonts w:ascii="Segoe UI" w:hAnsi="Segoe UI"/>
          <w:sz w:val="22"/>
        </w:rPr>
        <w:t xml:space="preserve">This section details the end-to-end data workflow architecture designed for SIRIM Berhad, including ingestion, transformation, and visualization paths, as well as the process flow across Lakehouse layers. All design decisions are documented with technical rationale and business impact.</w:t>
      </w:r>
    </w:p>
    <w:bookmarkStart w:id="84" w:name="technical-overview"/>
    <w:p>
      <w:pPr>
        <w:pStyle w:val="Heading2"/>
      </w:pPr>
      <w:r>
        <w:rPr>
          <w:rFonts w:ascii="Segoe UI" w:hAnsi="Segoe UI"/>
          <w:b w:val="0"/>
          <w:sz w:val="28"/>
        </w:rPr>
        <w:t xml:space="preserve">7.1 Technical Overview</w:t>
      </w:r>
    </w:p>
    <w:p>
      <w:pPr>
        <w:pStyle w:val="FirstParagraph"/>
        <w:jc w:val="both"/>
      </w:pPr>
      <w:r>
        <w:rPr>
          <w:rFonts w:ascii="Segoe UI" w:hAnsi="Segoe UI"/>
          <w:sz w:val="22"/>
        </w:rPr>
        <w:t xml:space="preserve">SIRIM Berhad shall implement a structured, scalable, and secure data workflow leveraging Microsoft Fabric and Azure components. The workflow orchestrates data ingestion from the TOPAZ PostgreSQL source, transformation through Azure Synapse, and visualization via Power BI, all governed within the SIRIM Fabric framework.</w:t>
      </w:r>
    </w:p>
    <w:p>
      <w:pPr>
        <w:pStyle w:val="BodyText"/>
      </w:pPr>
      <w:r>
        <w:rPr>
          <w:rFonts w:ascii="Segoe UI" w:hAnsi="Segoe UI"/>
          <w:sz w:val="22"/>
        </w:rPr>
        <w:drawing>
          <wp:inline>
            <wp:extent cx="5727700" cy="2131190"/>
            <wp:effectExtent b="0" l="0" r="0" t="0"/>
            <wp:docPr descr="" title="" id="82" name="Picture"/>
            <a:graphic>
              <a:graphicData uri="http://schemas.openxmlformats.org/drawingml/2006/picture">
                <pic:pic>
                  <pic:nvPicPr>
                    <pic:cNvPr descr="C:\Users\MuhammadIdzhansKhair\OneDrive%20-%20ENFRASYS\Documents\project-internal\design-document-converter\extraction-output\images\slide_016_img_004.png" id="83" name="Picture"/>
                    <pic:cNvPicPr>
                      <a:picLocks noChangeArrowheads="1" noChangeAspect="1"/>
                    </pic:cNvPicPr>
                  </pic:nvPicPr>
                  <pic:blipFill>
                    <a:blip r:embed="rId46"/>
                    <a:stretch>
                      <a:fillRect/>
                    </a:stretch>
                  </pic:blipFill>
                  <pic:spPr bwMode="auto">
                    <a:xfrm>
                      <a:off x="0" y="0"/>
                      <a:ext cx="5727700" cy="2131190"/>
                    </a:xfrm>
                    <a:prstGeom prst="rect">
                      <a:avLst/>
                    </a:prstGeom>
                    <a:noFill/>
                    <a:ln w="9525">
                      <a:noFill/>
                      <a:headEnd/>
                      <a:tailEnd/>
                    </a:ln>
                  </pic:spPr>
                </pic:pic>
              </a:graphicData>
            </a:graphic>
          </wp:inline>
        </w:drawing>
      </w:r>
    </w:p>
    <w:p>
      <w:pPr>
        <w:pStyle w:val="BodyText"/>
        <w:jc w:val="both"/>
      </w:pPr>
      <w:r>
        <w:rPr>
          <w:rFonts w:ascii="Segoe UI" w:hAnsi="Segoe UI"/>
          <w:sz w:val="22"/>
        </w:rPr>
        <w:t xml:space="preserve">The above diagram illustrates the integrated data pipeline, which consists of the following stages:</w:t>
      </w:r>
    </w:p>
    <w:p>
      <w:pPr>
        <w:pStyle w:val="Compact"/>
        <w:numPr>
          <w:ilvl w:val="0"/>
          <w:numId w:val="1009"/>
        </w:numPr>
        <w:jc w:val="both"/>
      </w:pPr>
      <w:r>
        <w:rPr>
          <w:rFonts w:ascii="Segoe UI" w:hAnsi="Segoe UI"/>
          <w:sz w:val="22"/>
        </w:rPr>
        <w:t xml:space="preserve">Data is ingested from the TOPAZ PostgreSQL system using Azure Data Factory.</w:t>
      </w:r>
    </w:p>
    <w:p>
      <w:pPr>
        <w:pStyle w:val="Compact"/>
        <w:numPr>
          <w:ilvl w:val="0"/>
          <w:numId w:val="1009"/>
        </w:numPr>
        <w:jc w:val="both"/>
      </w:pPr>
      <w:r>
        <w:rPr>
          <w:rFonts w:ascii="Segoe UI" w:hAnsi="Segoe UI"/>
          <w:sz w:val="22"/>
        </w:rPr>
        <w:t xml:space="preserve">Ingested data is stored in the Bronze Lakehouse layer as raw/original data.</w:t>
      </w:r>
    </w:p>
    <w:p>
      <w:pPr>
        <w:pStyle w:val="Compact"/>
        <w:numPr>
          <w:ilvl w:val="0"/>
          <w:numId w:val="1009"/>
        </w:numPr>
        <w:jc w:val="both"/>
      </w:pPr>
      <w:r>
        <w:rPr>
          <w:rFonts w:ascii="Segoe UI" w:hAnsi="Segoe UI"/>
          <w:sz w:val="22"/>
        </w:rPr>
        <w:t xml:space="preserve">Data transformation and cleansing occur in the Silver Lakehouse, leveraging Azure Synapse Engineering and Visual Query in SQL Analytics Endpoint.</w:t>
      </w:r>
    </w:p>
    <w:p>
      <w:pPr>
        <w:pStyle w:val="Compact"/>
        <w:numPr>
          <w:ilvl w:val="0"/>
          <w:numId w:val="1009"/>
        </w:numPr>
        <w:jc w:val="both"/>
      </w:pPr>
      <w:r>
        <w:rPr>
          <w:rFonts w:ascii="Segoe UI" w:hAnsi="Segoe UI"/>
          <w:sz w:val="22"/>
        </w:rPr>
        <w:t xml:space="preserve">Curated, aggregated data is stored in the Gold Lakehouse, optimized for analytics and reporting.</w:t>
      </w:r>
    </w:p>
    <w:p>
      <w:pPr>
        <w:pStyle w:val="Compact"/>
        <w:numPr>
          <w:ilvl w:val="0"/>
          <w:numId w:val="1009"/>
        </w:numPr>
        <w:jc w:val="both"/>
      </w:pPr>
      <w:r>
        <w:rPr>
          <w:rFonts w:ascii="Segoe UI" w:hAnsi="Segoe UI"/>
          <w:sz w:val="22"/>
        </w:rPr>
        <w:t xml:space="preserve">OneLake provides unified storage and seamless access across the pipeline.</w:t>
      </w:r>
    </w:p>
    <w:p>
      <w:pPr>
        <w:pStyle w:val="Compact"/>
        <w:numPr>
          <w:ilvl w:val="0"/>
          <w:numId w:val="1009"/>
        </w:numPr>
        <w:jc w:val="both"/>
      </w:pPr>
      <w:r>
        <w:rPr>
          <w:rFonts w:ascii="Segoe UI" w:hAnsi="Segoe UI"/>
          <w:sz w:val="22"/>
        </w:rPr>
        <w:t xml:space="preserve">Power BI connects to the Gold Lakehouse via OneLake for business intelligence and visualization.</w:t>
      </w:r>
    </w:p>
    <w:p>
      <w:pPr>
        <w:pStyle w:val="Compact"/>
        <w:numPr>
          <w:ilvl w:val="0"/>
          <w:numId w:val="1009"/>
        </w:numPr>
        <w:jc w:val="both"/>
      </w:pPr>
      <w:r>
        <w:rPr>
          <w:rFonts w:ascii="Segoe UI" w:hAnsi="Segoe UI"/>
          <w:sz w:val="22"/>
        </w:rPr>
        <w:t xml:space="preserve">The entire workflow is governed and integrated by SIRIM Fabric, ensuring security and compliance.</w:t>
      </w:r>
    </w:p>
    <w:p>
      <w:pPr>
        <w:pStyle w:val="FirstParagraph"/>
        <w:jc w:val="both"/>
      </w:pPr>
      <w:r>
        <w:rPr>
          <w:rFonts w:ascii="Segoe UI" w:hAnsi="Segoe UI"/>
          <w:sz w:val="22"/>
        </w:rPr>
        <w:t xml:space="preserve">This architecture enables SIRIM Berhad to achieve robust data management, advanced analytics, and secure access for business users.</w:t>
      </w:r>
    </w:p>
    <w:bookmarkEnd w:id="84"/>
    <w:bookmarkStart w:id="90" w:name="approachpaths"/>
    <w:p>
      <w:pPr>
        <w:pStyle w:val="Heading2"/>
      </w:pPr>
      <w:r>
        <w:rPr>
          <w:rFonts w:ascii="Segoe UI" w:hAnsi="Segoe UI"/>
          <w:b w:val="0"/>
          <w:sz w:val="28"/>
        </w:rPr>
        <w:t xml:space="preserve">7.2 Approach/Paths</w:t>
      </w:r>
    </w:p>
    <w:p>
      <w:pPr>
        <w:pStyle w:val="FirstParagraph"/>
        <w:jc w:val="both"/>
      </w:pPr>
      <w:r>
        <w:rPr>
          <w:rFonts w:ascii="Segoe UI" w:hAnsi="Segoe UI"/>
          <w:sz w:val="22"/>
        </w:rPr>
        <w:t xml:space="preserve">The data workflow is divided into three distinct paths: Data Ingestion, Transformation, and Visualization. Each path utilizes specific Azure and Fabric-native tools to ensure efficiency, integrity, and scalability.</w:t>
      </w:r>
    </w:p>
    <w:bookmarkStart w:id="87" w:name="data-ingestion"/>
    <w:p>
      <w:pPr>
        <w:pStyle w:val="Heading3"/>
      </w:pPr>
      <w:r>
        <w:rPr>
          <w:rFonts w:ascii="Segoe UI" w:hAnsi="Segoe UI"/>
          <w:b w:val="0"/>
          <w:sz w:val="26"/>
        </w:rPr>
        <w:t xml:space="preserve">Data Ingestion</w:t>
      </w:r>
    </w:p>
    <w:p>
      <w:pPr>
        <w:pStyle w:val="FirstParagraph"/>
        <w:jc w:val="both"/>
      </w:pPr>
      <w:r>
        <w:rPr>
          <w:rFonts w:ascii="Segoe UI" w:hAnsi="Segoe UI"/>
          <w:sz w:val="22"/>
        </w:rPr>
        <w:t xml:space="preserve">SIRIM Berhad shall use Azure Data Factory to orchestrate and automate the ingestion of data from the TOPAZ PostgreSQL source system. Data Gateway VM acts as a secure bridge, enabling seamless transfer between on-premises or cloud-based sources and SIRIM Fabric.</w:t>
      </w:r>
    </w:p>
    <w:p>
      <w:pPr>
        <w:pStyle w:val="BodyText"/>
      </w:pPr>
      <w:r>
        <w:rPr>
          <w:rFonts w:ascii="Segoe UI" w:hAnsi="Segoe UI"/>
          <w:sz w:val="22"/>
        </w:rPr>
        <w:drawing>
          <wp:inline>
            <wp:extent cx="5727700" cy="1876125"/>
            <wp:effectExtent b="0" l="0" r="0" t="0"/>
            <wp:docPr descr="" title="" id="85" name="Picture"/>
            <a:graphic>
              <a:graphicData uri="http://schemas.openxmlformats.org/drawingml/2006/picture">
                <pic:pic>
                  <pic:nvPicPr>
                    <pic:cNvPr descr="C:\Users\MuhammadIdzhansKhair\OneDrive%20-%20ENFRASYS\Documents\project-internal\design-document-converter\extraction-output\images\slide_018_img_005.png" id="86" name="Picture"/>
                    <pic:cNvPicPr>
                      <a:picLocks noChangeArrowheads="1" noChangeAspect="1"/>
                    </pic:cNvPicPr>
                  </pic:nvPicPr>
                  <pic:blipFill>
                    <a:blip r:embed="rId31"/>
                    <a:stretch>
                      <a:fillRect/>
                    </a:stretch>
                  </pic:blipFill>
                  <pic:spPr bwMode="auto">
                    <a:xfrm>
                      <a:off x="0" y="0"/>
                      <a:ext cx="5727700" cy="1876125"/>
                    </a:xfrm>
                    <a:prstGeom prst="rect">
                      <a:avLst/>
                    </a:prstGeom>
                    <a:noFill/>
                    <a:ln w="9525">
                      <a:noFill/>
                      <a:headEnd/>
                      <a:tailEnd/>
                    </a:ln>
                  </pic:spPr>
                </pic:pic>
              </a:graphicData>
            </a:graphic>
          </wp:inline>
        </w:drawing>
      </w:r>
    </w:p>
    <w:p>
      <w:pPr>
        <w:pStyle w:val="BodyText"/>
        <w:jc w:val="both"/>
      </w:pPr>
      <w:r>
        <w:rPr>
          <w:rFonts w:ascii="Segoe UI" w:hAnsi="Segoe UI"/>
          <w:sz w:val="22"/>
        </w:rPr>
        <w:t xml:space="preserve">Azure Data Factory pipelines are configured to extract data on a scheduled or event-driven basis, ensuring timely and reliable ingestion. The Data Gateway VM, installed within the GASPRA virtual machine, is responsible for secure connectivity and protocol translation, minimizing latency and maximizing throughput. This approach ensures compliance with SIRIM Berhad’s security requirements and supports hybrid deployment scenarios.</w:t>
      </w:r>
    </w:p>
    <w:bookmarkEnd w:id="87"/>
    <w:bookmarkStart w:id="88" w:name="transformation"/>
    <w:p>
      <w:pPr>
        <w:pStyle w:val="Heading3"/>
      </w:pPr>
      <w:r>
        <w:rPr>
          <w:rFonts w:ascii="Segoe UI" w:hAnsi="Segoe UI"/>
          <w:b w:val="0"/>
          <w:sz w:val="26"/>
        </w:rPr>
        <w:t xml:space="preserve">Transformation</w:t>
      </w:r>
    </w:p>
    <w:p>
      <w:pPr>
        <w:pStyle w:val="FirstParagraph"/>
        <w:jc w:val="both"/>
      </w:pPr>
      <w:r>
        <w:rPr>
          <w:rFonts w:ascii="Segoe UI" w:hAnsi="Segoe UI"/>
          <w:sz w:val="22"/>
        </w:rPr>
        <w:t xml:space="preserve">Data transformation is performed using Azure Synapse Engineering, which processes data from the Bronze layer to the Silver layer, and subsequently from Silver to Gold. Visual Query in the SQL Analytics Endpoint is utilized for cleansing and enrichment tasks, supporting both batch and interactive workloads.</w:t>
      </w:r>
    </w:p>
    <w:p>
      <w:pPr>
        <w:pStyle w:val="BodyText"/>
        <w:jc w:val="both"/>
      </w:pPr>
      <w:r>
        <w:rPr>
          <w:rFonts w:ascii="Segoe UI" w:hAnsi="Segoe UI"/>
          <w:sz w:val="22"/>
        </w:rPr>
        <w:t xml:space="preserve">Dataflow Gen2 orchestrates movement between Lakehouse layers, enabling scalable and efficient ETL operations. The transformation logic includes schema mapping, data quality checks, and business rule application, ensuring that only validated and relevant data progresses through the pipeline. This modular approach allows SIRIM Berhad to adapt transformation processes as business requirements evolve.</w:t>
      </w:r>
    </w:p>
    <w:bookmarkEnd w:id="88"/>
    <w:bookmarkStart w:id="89" w:name="visualization"/>
    <w:p>
      <w:pPr>
        <w:pStyle w:val="Heading3"/>
      </w:pPr>
      <w:r>
        <w:rPr>
          <w:rFonts w:ascii="Segoe UI" w:hAnsi="Segoe UI"/>
          <w:b w:val="0"/>
          <w:sz w:val="26"/>
        </w:rPr>
        <w:t xml:space="preserve">Visualization</w:t>
      </w:r>
    </w:p>
    <w:p>
      <w:pPr>
        <w:pStyle w:val="FirstParagraph"/>
        <w:jc w:val="both"/>
      </w:pPr>
      <w:r>
        <w:rPr>
          <w:rFonts w:ascii="Segoe UI" w:hAnsi="Segoe UI"/>
          <w:sz w:val="22"/>
        </w:rPr>
        <w:t xml:space="preserve">Power BI is designated as the primary visualization tool, connecting to the Gold Lakehouse via OneLake. The Semantic Model is implemented to define table relationships, measures, and calculated columns, supporting self-service analytics and advanced reporting.</w:t>
      </w:r>
    </w:p>
    <w:p>
      <w:pPr>
        <w:pStyle w:val="BodyText"/>
        <w:jc w:val="both"/>
      </w:pPr>
      <w:r>
        <w:rPr>
          <w:rFonts w:ascii="Segoe UI" w:hAnsi="Segoe UI"/>
          <w:sz w:val="22"/>
        </w:rPr>
        <w:t xml:space="preserve">Row-level security (RLS) is configured within the Semantic Model, ensuring that users access only the data relevant to their roles. Power BI Desktop is used for report authoring, while Power BI Service enables distribution and consumption of dashboards. This path empowers SIRIM Berhad’s business users with actionable insights, while maintaining strict access controls.</w:t>
      </w:r>
    </w:p>
    <w:bookmarkEnd w:id="89"/>
    <w:bookmarkEnd w:id="90"/>
    <w:bookmarkStart w:id="94" w:name="process-flow"/>
    <w:p>
      <w:pPr>
        <w:pStyle w:val="Heading2"/>
      </w:pPr>
      <w:r>
        <w:rPr>
          <w:rFonts w:ascii="Segoe UI" w:hAnsi="Segoe UI"/>
          <w:b w:val="0"/>
          <w:sz w:val="28"/>
        </w:rPr>
        <w:t xml:space="preserve">7.3 Process Flow</w:t>
      </w:r>
    </w:p>
    <w:p>
      <w:pPr>
        <w:pStyle w:val="FirstParagraph"/>
        <w:jc w:val="both"/>
      </w:pPr>
      <w:r>
        <w:rPr>
          <w:rFonts w:ascii="Segoe UI" w:hAnsi="Segoe UI"/>
          <w:sz w:val="22"/>
        </w:rPr>
        <w:t xml:space="preserve">The data workflow is structured around three Lakehouse layers—Bronze, Silver, and Gold—each representing a distinct phase of data processing and refinement.</w:t>
      </w:r>
    </w:p>
    <w:bookmarkStart w:id="91" w:name="bronze-lakehouse"/>
    <w:p>
      <w:pPr>
        <w:pStyle w:val="Heading3"/>
      </w:pPr>
      <w:r>
        <w:rPr>
          <w:rFonts w:ascii="Segoe UI" w:hAnsi="Segoe UI"/>
          <w:b w:val="0"/>
          <w:sz w:val="26"/>
        </w:rPr>
        <w:t xml:space="preserve">Bronze Lakehouse</w:t>
      </w:r>
    </w:p>
    <w:p>
      <w:pPr>
        <w:pStyle w:val="FirstParagraph"/>
        <w:jc w:val="both"/>
      </w:pPr>
      <w:r>
        <w:rPr>
          <w:rFonts w:ascii="Segoe UI" w:hAnsi="Segoe UI"/>
          <w:sz w:val="22"/>
        </w:rPr>
        <w:t xml:space="preserve">The Bronze layer stores raw/original data ingested from the TOPAZ PostgreSQL system. Data is landed in its native format, preserving fidelity and enabling traceability. Azure Data Factory pipelines are configured to load data into XX_Bronze_LK tables, with minimal transformation to ensure rapid ingestion.</w:t>
      </w:r>
    </w:p>
    <w:p>
      <w:pPr>
        <w:pStyle w:val="BodyText"/>
        <w:jc w:val="both"/>
      </w:pPr>
      <w:r>
        <w:rPr>
          <w:rFonts w:ascii="Segoe UI" w:hAnsi="Segoe UI"/>
          <w:sz w:val="22"/>
        </w:rPr>
        <w:t xml:space="preserve">This approach allows SIRIM Berhad to maintain a comprehensive historical record, supporting auditability and downstream processing.</w:t>
      </w:r>
    </w:p>
    <w:bookmarkEnd w:id="91"/>
    <w:bookmarkStart w:id="92" w:name="silver-lakehouse"/>
    <w:p>
      <w:pPr>
        <w:pStyle w:val="Heading3"/>
      </w:pPr>
      <w:r>
        <w:rPr>
          <w:rFonts w:ascii="Segoe UI" w:hAnsi="Segoe UI"/>
          <w:b w:val="0"/>
          <w:sz w:val="26"/>
        </w:rPr>
        <w:t xml:space="preserve">Silver Lakehouse</w:t>
      </w:r>
    </w:p>
    <w:p>
      <w:pPr>
        <w:pStyle w:val="FirstParagraph"/>
        <w:jc w:val="both"/>
      </w:pPr>
      <w:r>
        <w:rPr>
          <w:rFonts w:ascii="Segoe UI" w:hAnsi="Segoe UI"/>
          <w:sz w:val="22"/>
        </w:rPr>
        <w:t xml:space="preserve">The Silver layer contains cleansed and transformed data, sourced from the Bronze Lakehouse. Azure Synapse Engineering and Visual Query in SQL Analytics Endpoint are used to apply data quality checks, normalization, and enrichment.</w:t>
      </w:r>
    </w:p>
    <w:p>
      <w:pPr>
        <w:pStyle w:val="BodyText"/>
        <w:jc w:val="both"/>
      </w:pPr>
      <w:r>
        <w:rPr>
          <w:rFonts w:ascii="Segoe UI" w:hAnsi="Segoe UI"/>
          <w:sz w:val="22"/>
        </w:rPr>
        <w:t xml:space="preserve">Dataflow Gen2 facilitates movement between Bronze and Silver layers, orchestrating ETL operations and ensuring consistency. The Silver Lakehouse serves as the foundation for analytics, providing reliable and structured data for further processing.</w:t>
      </w:r>
    </w:p>
    <w:bookmarkEnd w:id="92"/>
    <w:bookmarkStart w:id="93" w:name="gold-lakehouse"/>
    <w:p>
      <w:pPr>
        <w:pStyle w:val="Heading3"/>
      </w:pPr>
      <w:r>
        <w:rPr>
          <w:rFonts w:ascii="Segoe UI" w:hAnsi="Segoe UI"/>
          <w:b w:val="0"/>
          <w:sz w:val="26"/>
        </w:rPr>
        <w:t xml:space="preserve">Gold Lakehouse</w:t>
      </w:r>
    </w:p>
    <w:p>
      <w:pPr>
        <w:pStyle w:val="FirstParagraph"/>
        <w:jc w:val="both"/>
      </w:pPr>
      <w:r>
        <w:rPr>
          <w:rFonts w:ascii="Segoe UI" w:hAnsi="Segoe UI"/>
          <w:sz w:val="22"/>
        </w:rPr>
        <w:t xml:space="preserve">The Gold layer stores curated and aggregated data, optimized for analytics and reporting. Transformation logic includes business rule application, aggregation, and calculation of key metrics.</w:t>
      </w:r>
    </w:p>
    <w:p>
      <w:pPr>
        <w:pStyle w:val="BodyText"/>
        <w:jc w:val="both"/>
      </w:pPr>
      <w:r>
        <w:rPr>
          <w:rFonts w:ascii="Segoe UI" w:hAnsi="Segoe UI"/>
          <w:sz w:val="22"/>
        </w:rPr>
        <w:t xml:space="preserve">Dataflow Gen2 is used to move refined data from Silver to Gold, ensuring that only high-quality, relevant data is exposed for visualization. The Gold Lakehouse is integrated with OneLake, enabling seamless access by Power BI and other analytics tools.</w:t>
      </w:r>
    </w:p>
    <w:p>
      <w:pPr>
        <w:pStyle w:val="BodyText"/>
        <w:jc w:val="both"/>
      </w:pPr>
      <w:r>
        <w:rPr>
          <w:rFonts w:ascii="Segoe UI" w:hAnsi="Segoe UI"/>
          <w:sz w:val="22"/>
        </w:rPr>
        <w:t xml:space="preserve">This phase supports SIRIM Berhad’s business intelligence requirements, delivering actionable insights to stakeholders.</w:t>
      </w:r>
    </w:p>
    <w:bookmarkEnd w:id="93"/>
    <w:bookmarkEnd w:id="94"/>
    <w:bookmarkStart w:id="95" w:name="design-decisions"/>
    <w:p>
      <w:pPr>
        <w:pStyle w:val="Heading2"/>
      </w:pPr>
      <w:r>
        <w:rPr>
          <w:rFonts w:ascii="Segoe UI" w:hAnsi="Segoe UI"/>
          <w:b w:val="0"/>
          <w:sz w:val="28"/>
        </w:rPr>
        <w:t xml:space="preserve">7.4 Design Decisions</w:t>
      </w:r>
    </w:p>
    <w:p>
      <w:pPr>
        <w:pStyle w:val="FirstParagraph"/>
        <w:jc w:val="both"/>
      </w:pPr>
      <w:r>
        <w:rPr>
          <w:rFonts w:ascii="Segoe UI" w:hAnsi="Segoe UI"/>
          <w:sz w:val="22"/>
        </w:rPr>
        <w:t xml:space="preserve">The following table summarizes the key design decisions for the data workflow, including rationale and business impact.</w:t>
      </w:r>
    </w:p>
    <w:p>
      <w:pPr>
        <w:pStyle w:val="BodyText"/>
        <w:jc w:val="both"/>
      </w:pPr>
      <w:r>
        <w:rPr>
          <w:rFonts w:ascii="Segoe UI" w:hAnsi="Segoe UI"/>
          <w:sz w:val="22"/>
        </w:rPr>
        <w:t xml:space="preserve">The table below documents the critical workflow design considerations, mapped to workload types and justified for SIRIM Berhad’s environment.</w:t>
      </w:r>
    </w:p>
    <w:tbl>
      <w:tblPr>
        <w:tblStyle w:val="GridTable4-Accent11"/>
        <w:tblW w:type="pct" w:w="5000"/>
        <w:tblLayout w:type="autofit"/>
        <w:tblLook w:firstRow="1" w:lastRow="0" w:firstColumn="1" w:lastColumn="0" w:noHBand="0" w:noVBand="1" w:val="04A0"/>
      </w:tblPr>
      <w:tblGrid>
        <w:gridCol w:w="167"/>
        <w:gridCol w:w="2440"/>
        <w:gridCol w:w="2536"/>
        <w:gridCol w:w="2775"/>
      </w:tblGrid>
      <w:tr>
        <w:trPr>
          <w:tblHeader w:val="on"/>
        </w:trPr>
        <w:tc>
          <w:tcPr/>
          <w:p>
            <w:pPr>
              <w:pStyle w:val="Compact"/>
            </w:pPr>
            <w:r>
              <w:rPr>
                <w:rFonts w:ascii="Segoe UI" w:hAnsi="Segoe UI"/>
                <w:sz w:val="22"/>
              </w:rPr>
              <w:t xml:space="preserve">ID</w:t>
            </w:r>
          </w:p>
        </w:tc>
        <w:tc>
          <w:tcPr/>
          <w:p>
            <w:pPr>
              <w:pStyle w:val="Compact"/>
            </w:pPr>
            <w:r>
              <w:rPr>
                <w:rFonts w:ascii="Segoe UI" w:hAnsi="Segoe UI"/>
                <w:sz w:val="22"/>
              </w:rPr>
              <w:t xml:space="preserve">Description</w:t>
            </w:r>
          </w:p>
        </w:tc>
        <w:tc>
          <w:tcPr/>
          <w:p>
            <w:pPr>
              <w:pStyle w:val="Compact"/>
            </w:pPr>
            <w:r>
              <w:rPr>
                <w:rFonts w:ascii="Segoe UI" w:hAnsi="Segoe UI"/>
                <w:sz w:val="22"/>
              </w:rPr>
              <w:t xml:space="preserve">Decision</w:t>
            </w:r>
          </w:p>
        </w:tc>
        <w:tc>
          <w:tcPr/>
          <w:p>
            <w:pPr>
              <w:pStyle w:val="Compact"/>
            </w:pPr>
            <w:r>
              <w:rPr>
                <w:rFonts w:ascii="Segoe UI" w:hAnsi="Segoe UI"/>
                <w:sz w:val="22"/>
              </w:rPr>
              <w:t xml:space="preserve">Rationale</w:t>
            </w:r>
          </w:p>
        </w:tc>
      </w:tr>
      <w:tr>
        <w:tc>
          <w:tcPr/>
          <w:p>
            <w:pPr>
              <w:pStyle w:val="Compact"/>
            </w:pPr>
            <w:r>
              <w:rPr>
                <w:rFonts w:ascii="Segoe UI" w:hAnsi="Segoe UI"/>
                <w:sz w:val="22"/>
              </w:rPr>
              <w:t xml:space="preserve">DC01</w:t>
            </w:r>
          </w:p>
        </w:tc>
        <w:tc>
          <w:tcPr/>
          <w:p>
            <w:pPr>
              <w:pStyle w:val="Compact"/>
            </w:pPr>
            <w:r>
              <w:rPr>
                <w:rFonts w:ascii="Segoe UI" w:hAnsi="Segoe UI"/>
                <w:sz w:val="22"/>
              </w:rPr>
              <w:t xml:space="preserve">Data Pipeline will be used to ingest data from PostgreSQL.</w:t>
            </w:r>
          </w:p>
        </w:tc>
        <w:tc>
          <w:tcPr/>
          <w:p>
            <w:pPr>
              <w:pStyle w:val="Compact"/>
            </w:pPr>
            <w:r>
              <w:rPr>
                <w:rFonts w:ascii="Segoe UI" w:hAnsi="Segoe UI"/>
                <w:sz w:val="22"/>
              </w:rPr>
              <w:t xml:space="preserve">Azure Data Factory and Data Gateway VM shall be implemented.</w:t>
            </w:r>
          </w:p>
        </w:tc>
        <w:tc>
          <w:tcPr/>
          <w:p>
            <w:pPr>
              <w:pStyle w:val="Compact"/>
            </w:pPr>
            <w:r>
              <w:rPr>
                <w:rFonts w:ascii="Segoe UI" w:hAnsi="Segoe UI"/>
                <w:sz w:val="22"/>
              </w:rPr>
              <w:t xml:space="preserve">Ensures secure, scalable, and automated ingestion from TOPAZ PostgreSQL, supporting hybrid connectivity.</w:t>
            </w:r>
          </w:p>
        </w:tc>
      </w:tr>
      <w:tr>
        <w:tc>
          <w:tcPr/>
          <w:p>
            <w:pPr>
              <w:pStyle w:val="Compact"/>
            </w:pPr>
            <w:r>
              <w:rPr>
                <w:rFonts w:ascii="Segoe UI" w:hAnsi="Segoe UI"/>
                <w:sz w:val="22"/>
              </w:rPr>
              <w:t xml:space="preserve">DC02</w:t>
            </w:r>
          </w:p>
        </w:tc>
        <w:tc>
          <w:tcPr/>
          <w:p>
            <w:pPr>
              <w:pStyle w:val="Compact"/>
            </w:pPr>
            <w:r>
              <w:rPr>
                <w:rFonts w:ascii="Segoe UI" w:hAnsi="Segoe UI"/>
                <w:sz w:val="22"/>
              </w:rPr>
              <w:t xml:space="preserve">The bronze Lakehouse will store raw/original data ingested from PostgreSQL.</w:t>
            </w:r>
          </w:p>
        </w:tc>
        <w:tc>
          <w:tcPr/>
          <w:p>
            <w:pPr>
              <w:pStyle w:val="Compact"/>
            </w:pPr>
            <w:r>
              <w:rPr>
                <w:rFonts w:ascii="Segoe UI" w:hAnsi="Segoe UI"/>
                <w:sz w:val="22"/>
              </w:rPr>
              <w:t xml:space="preserve">Raw data shall be landed in XX_Bronze_LK tables.</w:t>
            </w:r>
          </w:p>
        </w:tc>
        <w:tc>
          <w:tcPr/>
          <w:p>
            <w:pPr>
              <w:pStyle w:val="Compact"/>
            </w:pPr>
            <w:r>
              <w:rPr>
                <w:rFonts w:ascii="Segoe UI" w:hAnsi="Segoe UI"/>
                <w:sz w:val="22"/>
              </w:rPr>
              <w:t xml:space="preserve">Preserves data fidelity, supports auditability, and enables flexible downstream processing.</w:t>
            </w:r>
          </w:p>
        </w:tc>
      </w:tr>
      <w:tr>
        <w:tc>
          <w:tcPr/>
          <w:p>
            <w:pPr>
              <w:pStyle w:val="Compact"/>
            </w:pPr>
            <w:r>
              <w:rPr>
                <w:rFonts w:ascii="Segoe UI" w:hAnsi="Segoe UI"/>
                <w:sz w:val="22"/>
              </w:rPr>
              <w:t xml:space="preserve">DC03</w:t>
            </w:r>
          </w:p>
        </w:tc>
        <w:tc>
          <w:tcPr/>
          <w:p>
            <w:pPr>
              <w:pStyle w:val="Compact"/>
            </w:pPr>
            <w:r>
              <w:rPr>
                <w:rFonts w:ascii="Segoe UI" w:hAnsi="Segoe UI"/>
                <w:sz w:val="22"/>
              </w:rPr>
              <w:t xml:space="preserve">The silver Lakehouse will store cleansed data sourced from the bronze Lakehouse.</w:t>
            </w:r>
          </w:p>
        </w:tc>
        <w:tc>
          <w:tcPr/>
          <w:p>
            <w:pPr>
              <w:pStyle w:val="Compact"/>
            </w:pPr>
            <w:r>
              <w:rPr>
                <w:rFonts w:ascii="Segoe UI" w:hAnsi="Segoe UI"/>
                <w:sz w:val="22"/>
              </w:rPr>
              <w:t xml:space="preserve">Cleansing and transformation shall be performed using Synapse Engineering and Visual Query.</w:t>
            </w:r>
          </w:p>
        </w:tc>
        <w:tc>
          <w:tcPr/>
          <w:p>
            <w:pPr>
              <w:pStyle w:val="Compact"/>
            </w:pPr>
            <w:r>
              <w:rPr>
                <w:rFonts w:ascii="Segoe UI" w:hAnsi="Segoe UI"/>
                <w:sz w:val="22"/>
              </w:rPr>
              <w:t xml:space="preserve">Provides reliable, structured data for analytics, improves data quality and consistency.</w:t>
            </w:r>
          </w:p>
        </w:tc>
      </w:tr>
      <w:tr>
        <w:tc>
          <w:tcPr/>
          <w:p>
            <w:pPr>
              <w:pStyle w:val="Compact"/>
            </w:pPr>
            <w:r>
              <w:rPr>
                <w:rFonts w:ascii="Segoe UI" w:hAnsi="Segoe UI"/>
                <w:sz w:val="22"/>
              </w:rPr>
              <w:t xml:space="preserve">DC04</w:t>
            </w:r>
          </w:p>
        </w:tc>
        <w:tc>
          <w:tcPr/>
          <w:p>
            <w:pPr>
              <w:pStyle w:val="Compact"/>
            </w:pPr>
            <w:r>
              <w:rPr>
                <w:rFonts w:ascii="Segoe UI" w:hAnsi="Segoe UI"/>
                <w:sz w:val="22"/>
              </w:rPr>
              <w:t xml:space="preserve">The gold Lakehouse will store transformed data sourced from the silver Lakehouse.</w:t>
            </w:r>
          </w:p>
        </w:tc>
        <w:tc>
          <w:tcPr/>
          <w:p>
            <w:pPr>
              <w:pStyle w:val="Compact"/>
            </w:pPr>
            <w:r>
              <w:rPr>
                <w:rFonts w:ascii="Segoe UI" w:hAnsi="Segoe UI"/>
                <w:sz w:val="22"/>
              </w:rPr>
              <w:t xml:space="preserve">Aggregated, curated data shall be stored in XX_Gold_LK tables.</w:t>
            </w:r>
          </w:p>
        </w:tc>
        <w:tc>
          <w:tcPr/>
          <w:p>
            <w:pPr>
              <w:pStyle w:val="Compact"/>
            </w:pPr>
            <w:r>
              <w:rPr>
                <w:rFonts w:ascii="Segoe UI" w:hAnsi="Segoe UI"/>
                <w:sz w:val="22"/>
              </w:rPr>
              <w:t xml:space="preserve">Optimizes data for business intelligence and reporting, supporting actionable insights.</w:t>
            </w:r>
          </w:p>
        </w:tc>
      </w:tr>
      <w:tr>
        <w:tc>
          <w:tcPr/>
          <w:p>
            <w:pPr>
              <w:pStyle w:val="Compact"/>
            </w:pPr>
            <w:r>
              <w:rPr>
                <w:rFonts w:ascii="Segoe UI" w:hAnsi="Segoe UI"/>
                <w:sz w:val="22"/>
              </w:rPr>
              <w:t xml:space="preserve">DC05</w:t>
            </w:r>
          </w:p>
        </w:tc>
        <w:tc>
          <w:tcPr/>
          <w:p>
            <w:pPr>
              <w:pStyle w:val="Compact"/>
            </w:pPr>
            <w:r>
              <w:rPr>
                <w:rFonts w:ascii="Segoe UI" w:hAnsi="Segoe UI"/>
                <w:sz w:val="22"/>
              </w:rPr>
              <w:t xml:space="preserve">Data cleansing and transformation for bronze and silver Lakehouse will be performed using Visual Query in the SQL Analytics Endpoint.</w:t>
            </w:r>
          </w:p>
        </w:tc>
        <w:tc>
          <w:tcPr/>
          <w:p>
            <w:pPr>
              <w:pStyle w:val="Compact"/>
            </w:pPr>
            <w:r>
              <w:rPr>
                <w:rFonts w:ascii="Segoe UI" w:hAnsi="Segoe UI"/>
                <w:sz w:val="22"/>
              </w:rPr>
              <w:t xml:space="preserve">Visual Query shall be used for interactive and batch transformation tasks.</w:t>
            </w:r>
          </w:p>
        </w:tc>
        <w:tc>
          <w:tcPr/>
          <w:p>
            <w:pPr>
              <w:pStyle w:val="Compact"/>
            </w:pPr>
            <w:r>
              <w:rPr>
                <w:rFonts w:ascii="Segoe UI" w:hAnsi="Segoe UI"/>
                <w:sz w:val="22"/>
              </w:rPr>
              <w:t xml:space="preserve">Enables flexible, scalable data processing, supports both ad hoc and scheduled workloads.</w:t>
            </w:r>
          </w:p>
        </w:tc>
      </w:tr>
      <w:tr>
        <w:tc>
          <w:tcPr/>
          <w:p>
            <w:pPr>
              <w:pStyle w:val="Compact"/>
            </w:pPr>
            <w:r>
              <w:rPr>
                <w:rFonts w:ascii="Segoe UI" w:hAnsi="Segoe UI"/>
                <w:sz w:val="22"/>
              </w:rPr>
              <w:t xml:space="preserve">DC06</w:t>
            </w:r>
          </w:p>
        </w:tc>
        <w:tc>
          <w:tcPr/>
          <w:p>
            <w:pPr>
              <w:pStyle w:val="Compact"/>
            </w:pPr>
            <w:r>
              <w:rPr>
                <w:rFonts w:ascii="Segoe UI" w:hAnsi="Segoe UI"/>
                <w:sz w:val="22"/>
              </w:rPr>
              <w:t xml:space="preserve">Dataflow Gen2 will be used to move data between Lakehouses (e.g., from bronze to silver or silver to gold).</w:t>
            </w:r>
          </w:p>
        </w:tc>
        <w:tc>
          <w:tcPr/>
          <w:p>
            <w:pPr>
              <w:pStyle w:val="Compact"/>
            </w:pPr>
            <w:r>
              <w:rPr>
                <w:rFonts w:ascii="Segoe UI" w:hAnsi="Segoe UI"/>
                <w:sz w:val="22"/>
              </w:rPr>
              <w:t xml:space="preserve">Dataflow Gen2 shall orchestrate ETL operations across Lakehouse layers.</w:t>
            </w:r>
          </w:p>
        </w:tc>
        <w:tc>
          <w:tcPr/>
          <w:p>
            <w:pPr>
              <w:pStyle w:val="Compact"/>
            </w:pPr>
            <w:r>
              <w:rPr>
                <w:rFonts w:ascii="Segoe UI" w:hAnsi="Segoe UI"/>
                <w:sz w:val="22"/>
              </w:rPr>
              <w:t xml:space="preserve">Facilitates scalable, efficient movement and transformation, reduces operational complexity.</w:t>
            </w:r>
          </w:p>
        </w:tc>
      </w:tr>
      <w:tr>
        <w:tc>
          <w:tcPr/>
          <w:p>
            <w:pPr>
              <w:pStyle w:val="Compact"/>
            </w:pPr>
            <w:r>
              <w:rPr>
                <w:rFonts w:ascii="Segoe UI" w:hAnsi="Segoe UI"/>
                <w:sz w:val="22"/>
              </w:rPr>
              <w:t xml:space="preserve">DC07</w:t>
            </w:r>
          </w:p>
        </w:tc>
        <w:tc>
          <w:tcPr/>
          <w:p>
            <w:pPr>
              <w:pStyle w:val="Compact"/>
            </w:pPr>
            <w:r>
              <w:rPr>
                <w:rFonts w:ascii="Segoe UI" w:hAnsi="Segoe UI"/>
                <w:sz w:val="22"/>
              </w:rPr>
              <w:t xml:space="preserve">Data modeling and row-level security (RLS) configurations will be implemented in the Semantic Model, using data from the gold Lakehouse.</w:t>
            </w:r>
          </w:p>
        </w:tc>
        <w:tc>
          <w:tcPr/>
          <w:p>
            <w:pPr>
              <w:pStyle w:val="Compact"/>
            </w:pPr>
            <w:r>
              <w:rPr>
                <w:rFonts w:ascii="Segoe UI" w:hAnsi="Segoe UI"/>
                <w:sz w:val="22"/>
              </w:rPr>
              <w:t xml:space="preserve">Semantic Model with RLS shall be configured in Power BI.</w:t>
            </w:r>
          </w:p>
        </w:tc>
        <w:tc>
          <w:tcPr/>
          <w:p>
            <w:pPr>
              <w:pStyle w:val="Compact"/>
            </w:pPr>
            <w:r>
              <w:rPr>
                <w:rFonts w:ascii="Segoe UI" w:hAnsi="Segoe UI"/>
                <w:sz w:val="22"/>
              </w:rPr>
              <w:t xml:space="preserve">Ensures secure, role-based access to data, supports compliance and business requirements.</w:t>
            </w:r>
          </w:p>
        </w:tc>
      </w:tr>
      <w:tr>
        <w:tc>
          <w:tcPr/>
          <w:p>
            <w:pPr>
              <w:pStyle w:val="Compact"/>
            </w:pPr>
            <w:r>
              <w:rPr>
                <w:rFonts w:ascii="Segoe UI" w:hAnsi="Segoe UI"/>
                <w:sz w:val="22"/>
              </w:rPr>
              <w:t xml:space="preserve">DC08</w:t>
            </w:r>
          </w:p>
        </w:tc>
        <w:tc>
          <w:tcPr/>
          <w:p>
            <w:pPr>
              <w:pStyle w:val="Compact"/>
            </w:pPr>
            <w:r>
              <w:rPr>
                <w:rFonts w:ascii="Segoe UI" w:hAnsi="Segoe UI"/>
                <w:sz w:val="22"/>
              </w:rPr>
              <w:t xml:space="preserve">Power BI Desktop will connect to the Semantic Model via OneLake for data visualization.</w:t>
            </w:r>
          </w:p>
        </w:tc>
        <w:tc>
          <w:tcPr/>
          <w:p>
            <w:pPr>
              <w:pStyle w:val="Compact"/>
            </w:pPr>
            <w:r>
              <w:rPr>
                <w:rFonts w:ascii="Segoe UI" w:hAnsi="Segoe UI"/>
                <w:sz w:val="22"/>
              </w:rPr>
              <w:t xml:space="preserve">Power BI shall be used for report authoring and visualization, connecting through OneLake.</w:t>
            </w:r>
          </w:p>
        </w:tc>
        <w:tc>
          <w:tcPr/>
          <w:p>
            <w:pPr>
              <w:pStyle w:val="Compact"/>
            </w:pPr>
            <w:r>
              <w:rPr>
                <w:rFonts w:ascii="Segoe UI" w:hAnsi="Segoe UI"/>
                <w:sz w:val="22"/>
              </w:rPr>
              <w:t xml:space="preserve">Provides seamless access to curated data, empowers business users with advanced analytics and visualization tools.</w:t>
            </w:r>
          </w:p>
        </w:tc>
      </w:tr>
    </w:tbl>
    <w:p>
      <w:pPr>
        <w:pStyle w:val="BodyText"/>
        <w:jc w:val="both"/>
      </w:pPr>
      <w:r>
        <w:rPr>
          <w:rFonts w:ascii="Segoe UI" w:hAnsi="Segoe UI"/>
          <w:sz w:val="22"/>
        </w:rPr>
        <w:t xml:space="preserve">This structured approach ensures that SIRIM Berhad’s data workflow is robust, secure, and aligned with business objectives, enabling scalable analytics and actionable insights across the organization.</w:t>
      </w:r>
    </w:p>
    <w:bookmarkEnd w:id="95"/>
    <w:bookmarkEnd w:id="96"/>
    <w:bookmarkStart w:id="187" w:name="appendix"/>
    <w:p>
      <w:pPr>
        <w:pStyle w:val="Heading1"/>
        <w:pageBreakBefore/>
      </w:pPr>
      <w:r>
        <w:rPr>
          <w:rFonts w:ascii="Segoe UI" w:hAnsi="Segoe UI"/>
          <w:b w:val="0"/>
          <w:sz w:val="30"/>
        </w:rPr>
        <w:t xml:space="preserve">8.0 Appendix</w:t>
      </w:r>
    </w:p>
    <w:p>
      <w:pPr>
        <w:pStyle w:val="FirstParagraph"/>
        <w:jc w:val="both"/>
      </w:pPr>
      <w:r>
        <w:rPr>
          <w:rFonts w:ascii="Segoe UI" w:hAnsi="Segoe UI"/>
          <w:sz w:val="22"/>
        </w:rPr>
        <w:t xml:space="preserve">This appendix provides supplementary references, technical documentation, and quota/limit links for SIRIM Berhad’s solution design. Refer to the main sections for all core tables and design artifacts.</w:t>
      </w:r>
    </w:p>
    <w:bookmarkStart w:id="109" w:name="appendix-1-computing"/>
    <w:p>
      <w:pPr>
        <w:pStyle w:val="Heading2"/>
      </w:pPr>
      <w:r>
        <w:rPr>
          <w:rFonts w:ascii="Segoe UI" w:hAnsi="Segoe UI"/>
          <w:b w:val="0"/>
          <w:sz w:val="28"/>
        </w:rPr>
        <w:t xml:space="preserve">Appendix 1 Computing</w:t>
      </w:r>
    </w:p>
    <w:bookmarkStart w:id="100" w:name="introductionprerequisites"/>
    <w:p>
      <w:pPr>
        <w:pStyle w:val="Heading3"/>
      </w:pPr>
      <w:r>
        <w:rPr>
          <w:rFonts w:ascii="Segoe UI" w:hAnsi="Segoe UI"/>
          <w:b w:val="0"/>
          <w:sz w:val="26"/>
        </w:rPr>
        <w:t xml:space="preserve">Introduction/Prerequisites</w:t>
      </w:r>
    </w:p>
    <w:p>
      <w:pPr>
        <w:pStyle w:val="Compact"/>
        <w:numPr>
          <w:ilvl w:val="0"/>
          <w:numId w:val="1010"/>
        </w:numPr>
        <w:jc w:val="both"/>
      </w:pPr>
      <w:hyperlink r:id="rId97">
        <w:r>
          <w:rPr>
            <w:rStyle w:val="Hyperlink"/>
          </w:rPr>
          <w:t xml:space="preserve">Azure Virtual Machines Documentation</w:t>
        </w:r>
      </w:hyperlink>
    </w:p>
    <w:p>
      <w:pPr>
        <w:pStyle w:val="Compact"/>
        <w:numPr>
          <w:ilvl w:val="0"/>
          <w:numId w:val="1010"/>
        </w:numPr>
        <w:jc w:val="both"/>
      </w:pPr>
      <w:hyperlink r:id="rId98">
        <w:r>
          <w:rPr>
            <w:rStyle w:val="Hyperlink"/>
          </w:rPr>
          <w:t xml:space="preserve">Azure Compute Overview</w:t>
        </w:r>
      </w:hyperlink>
    </w:p>
    <w:p>
      <w:pPr>
        <w:pStyle w:val="Compact"/>
        <w:numPr>
          <w:ilvl w:val="0"/>
          <w:numId w:val="1010"/>
        </w:numPr>
        <w:jc w:val="both"/>
      </w:pPr>
      <w:hyperlink r:id="rId99">
        <w:r>
          <w:rPr>
            <w:rStyle w:val="Hyperlink"/>
          </w:rPr>
          <w:t xml:space="preserve">Azure VM Series Comparison</w:t>
        </w:r>
      </w:hyperlink>
    </w:p>
    <w:bookmarkEnd w:id="100"/>
    <w:bookmarkStart w:id="104" w:name="limits-and-boundaries"/>
    <w:p>
      <w:pPr>
        <w:pStyle w:val="Heading3"/>
      </w:pPr>
      <w:r>
        <w:rPr>
          <w:rFonts w:ascii="Segoe UI" w:hAnsi="Segoe UI"/>
          <w:b w:val="0"/>
          <w:sz w:val="26"/>
        </w:rPr>
        <w:t xml:space="preserve">Limits and Boundaries</w:t>
      </w:r>
    </w:p>
    <w:p>
      <w:pPr>
        <w:pStyle w:val="Compact"/>
        <w:numPr>
          <w:ilvl w:val="0"/>
          <w:numId w:val="1011"/>
        </w:numPr>
        <w:jc w:val="both"/>
      </w:pPr>
      <w:hyperlink r:id="rId101">
        <w:r>
          <w:rPr>
            <w:rStyle w:val="Hyperlink"/>
          </w:rPr>
          <w:t xml:space="preserve">Azure VM Quotas and Limits</w:t>
        </w:r>
      </w:hyperlink>
    </w:p>
    <w:p>
      <w:pPr>
        <w:pStyle w:val="Compact"/>
        <w:numPr>
          <w:ilvl w:val="0"/>
          <w:numId w:val="1011"/>
        </w:numPr>
        <w:jc w:val="both"/>
      </w:pPr>
      <w:hyperlink r:id="rId102">
        <w:r>
          <w:rPr>
            <w:rStyle w:val="Hyperlink"/>
          </w:rPr>
          <w:t xml:space="preserve">Azure Subscription Limits</w:t>
        </w:r>
      </w:hyperlink>
    </w:p>
    <w:p>
      <w:pPr>
        <w:pStyle w:val="Compact"/>
        <w:numPr>
          <w:ilvl w:val="0"/>
          <w:numId w:val="1011"/>
        </w:numPr>
        <w:jc w:val="both"/>
      </w:pPr>
      <w:hyperlink r:id="rId103">
        <w:r>
          <w:rPr>
            <w:rStyle w:val="Hyperlink"/>
          </w:rPr>
          <w:t xml:space="preserve">Azure Region Availability</w:t>
        </w:r>
      </w:hyperlink>
    </w:p>
    <w:bookmarkEnd w:id="104"/>
    <w:bookmarkStart w:id="108" w:name="others"/>
    <w:p>
      <w:pPr>
        <w:pStyle w:val="Heading3"/>
      </w:pPr>
      <w:r>
        <w:rPr>
          <w:rFonts w:ascii="Segoe UI" w:hAnsi="Segoe UI"/>
          <w:b w:val="0"/>
          <w:sz w:val="26"/>
        </w:rPr>
        <w:t xml:space="preserve">Others</w:t>
      </w:r>
    </w:p>
    <w:p>
      <w:pPr>
        <w:pStyle w:val="Compact"/>
        <w:numPr>
          <w:ilvl w:val="0"/>
          <w:numId w:val="1012"/>
        </w:numPr>
        <w:jc w:val="both"/>
      </w:pPr>
      <w:hyperlink r:id="rId105">
        <w:r>
          <w:rPr>
            <w:rStyle w:val="Hyperlink"/>
          </w:rPr>
          <w:t xml:space="preserve">Azure VM Best Practices</w:t>
        </w:r>
      </w:hyperlink>
    </w:p>
    <w:p>
      <w:pPr>
        <w:pStyle w:val="Compact"/>
        <w:numPr>
          <w:ilvl w:val="0"/>
          <w:numId w:val="1012"/>
        </w:numPr>
        <w:jc w:val="both"/>
      </w:pPr>
      <w:hyperlink r:id="rId106">
        <w:r>
          <w:rPr>
            <w:rStyle w:val="Hyperlink"/>
          </w:rPr>
          <w:t xml:space="preserve">Azure Disk Storage Documentation</w:t>
        </w:r>
      </w:hyperlink>
    </w:p>
    <w:p>
      <w:pPr>
        <w:pStyle w:val="Compact"/>
        <w:numPr>
          <w:ilvl w:val="0"/>
          <w:numId w:val="1012"/>
        </w:numPr>
        <w:jc w:val="both"/>
      </w:pPr>
      <w:hyperlink r:id="rId107">
        <w:r>
          <w:rPr>
            <w:rStyle w:val="Hyperlink"/>
          </w:rPr>
          <w:t xml:space="preserve">Azure Reserved VM Instances</w:t>
        </w:r>
      </w:hyperlink>
    </w:p>
    <w:bookmarkEnd w:id="108"/>
    <w:bookmarkEnd w:id="109"/>
    <w:bookmarkStart w:id="122" w:name="appendix-2-network"/>
    <w:p>
      <w:pPr>
        <w:pStyle w:val="Heading2"/>
      </w:pPr>
      <w:r>
        <w:rPr>
          <w:rFonts w:ascii="Segoe UI" w:hAnsi="Segoe UI"/>
          <w:b w:val="0"/>
          <w:sz w:val="28"/>
        </w:rPr>
        <w:t xml:space="preserve">Appendix 2 Network</w:t>
      </w:r>
    </w:p>
    <w:bookmarkStart w:id="113" w:name="introductionprerequisites-1"/>
    <w:p>
      <w:pPr>
        <w:pStyle w:val="Heading3"/>
      </w:pPr>
      <w:r>
        <w:rPr>
          <w:rFonts w:ascii="Segoe UI" w:hAnsi="Segoe UI"/>
          <w:b w:val="0"/>
          <w:sz w:val="26"/>
        </w:rPr>
        <w:t xml:space="preserve">Introduction/Prerequisites</w:t>
      </w:r>
    </w:p>
    <w:p>
      <w:pPr>
        <w:pStyle w:val="Compact"/>
        <w:numPr>
          <w:ilvl w:val="0"/>
          <w:numId w:val="1013"/>
        </w:numPr>
        <w:jc w:val="both"/>
      </w:pPr>
      <w:hyperlink r:id="rId110">
        <w:r>
          <w:rPr>
            <w:rStyle w:val="Hyperlink"/>
          </w:rPr>
          <w:t xml:space="preserve">Azure Virtual Network Documentation</w:t>
        </w:r>
      </w:hyperlink>
    </w:p>
    <w:p>
      <w:pPr>
        <w:pStyle w:val="Compact"/>
        <w:numPr>
          <w:ilvl w:val="0"/>
          <w:numId w:val="1013"/>
        </w:numPr>
        <w:jc w:val="both"/>
      </w:pPr>
      <w:hyperlink r:id="rId111">
        <w:r>
          <w:rPr>
            <w:rStyle w:val="Hyperlink"/>
          </w:rPr>
          <w:t xml:space="preserve">Azure Networking Overview</w:t>
        </w:r>
      </w:hyperlink>
    </w:p>
    <w:p>
      <w:pPr>
        <w:pStyle w:val="Compact"/>
        <w:numPr>
          <w:ilvl w:val="0"/>
          <w:numId w:val="1013"/>
        </w:numPr>
        <w:jc w:val="both"/>
      </w:pPr>
      <w:hyperlink r:id="rId112">
        <w:r>
          <w:rPr>
            <w:rStyle w:val="Hyperlink"/>
          </w:rPr>
          <w:t xml:space="preserve">Azure ExpressRoute Documentation</w:t>
        </w:r>
      </w:hyperlink>
    </w:p>
    <w:bookmarkEnd w:id="113"/>
    <w:bookmarkStart w:id="117" w:name="limits-and-boundaries-1"/>
    <w:p>
      <w:pPr>
        <w:pStyle w:val="Heading3"/>
      </w:pPr>
      <w:r>
        <w:rPr>
          <w:rFonts w:ascii="Segoe UI" w:hAnsi="Segoe UI"/>
          <w:b w:val="0"/>
          <w:sz w:val="26"/>
        </w:rPr>
        <w:t xml:space="preserve">Limits and Boundaries</w:t>
      </w:r>
    </w:p>
    <w:p>
      <w:pPr>
        <w:pStyle w:val="Compact"/>
        <w:numPr>
          <w:ilvl w:val="0"/>
          <w:numId w:val="1014"/>
        </w:numPr>
        <w:jc w:val="both"/>
      </w:pPr>
      <w:hyperlink r:id="rId114">
        <w:r>
          <w:rPr>
            <w:rStyle w:val="Hyperlink"/>
          </w:rPr>
          <w:t xml:space="preserve">Azure Networking Service Limits</w:t>
        </w:r>
      </w:hyperlink>
    </w:p>
    <w:p>
      <w:pPr>
        <w:pStyle w:val="Compact"/>
        <w:numPr>
          <w:ilvl w:val="0"/>
          <w:numId w:val="1014"/>
        </w:numPr>
        <w:jc w:val="both"/>
      </w:pPr>
      <w:hyperlink r:id="rId115">
        <w:r>
          <w:rPr>
            <w:rStyle w:val="Hyperlink"/>
          </w:rPr>
          <w:t xml:space="preserve">Virtual Network Peering Limits</w:t>
        </w:r>
      </w:hyperlink>
    </w:p>
    <w:p>
      <w:pPr>
        <w:pStyle w:val="Compact"/>
        <w:numPr>
          <w:ilvl w:val="0"/>
          <w:numId w:val="1014"/>
        </w:numPr>
        <w:jc w:val="both"/>
      </w:pPr>
      <w:hyperlink r:id="rId116">
        <w:r>
          <w:rPr>
            <w:rStyle w:val="Hyperlink"/>
          </w:rPr>
          <w:t xml:space="preserve">Public IP Address Limits</w:t>
        </w:r>
      </w:hyperlink>
    </w:p>
    <w:bookmarkEnd w:id="117"/>
    <w:bookmarkStart w:id="121" w:name="others-1"/>
    <w:p>
      <w:pPr>
        <w:pStyle w:val="Heading3"/>
      </w:pPr>
      <w:r>
        <w:rPr>
          <w:rFonts w:ascii="Segoe UI" w:hAnsi="Segoe UI"/>
          <w:b w:val="0"/>
          <w:sz w:val="26"/>
        </w:rPr>
        <w:t xml:space="preserve">Others</w:t>
      </w:r>
    </w:p>
    <w:p>
      <w:pPr>
        <w:pStyle w:val="Compact"/>
        <w:numPr>
          <w:ilvl w:val="0"/>
          <w:numId w:val="1015"/>
        </w:numPr>
        <w:jc w:val="both"/>
      </w:pPr>
      <w:hyperlink r:id="rId118">
        <w:r>
          <w:rPr>
            <w:rStyle w:val="Hyperlink"/>
          </w:rPr>
          <w:t xml:space="preserve">Azure Network Security Best Practices</w:t>
        </w:r>
      </w:hyperlink>
    </w:p>
    <w:p>
      <w:pPr>
        <w:pStyle w:val="Compact"/>
        <w:numPr>
          <w:ilvl w:val="0"/>
          <w:numId w:val="1015"/>
        </w:numPr>
        <w:jc w:val="both"/>
      </w:pPr>
      <w:hyperlink r:id="rId119">
        <w:r>
          <w:rPr>
            <w:rStyle w:val="Hyperlink"/>
          </w:rPr>
          <w:t xml:space="preserve">Azure VPN Gateway Documentation</w:t>
        </w:r>
      </w:hyperlink>
    </w:p>
    <w:p>
      <w:pPr>
        <w:pStyle w:val="Compact"/>
        <w:numPr>
          <w:ilvl w:val="0"/>
          <w:numId w:val="1015"/>
        </w:numPr>
        <w:jc w:val="both"/>
      </w:pPr>
      <w:hyperlink r:id="rId120">
        <w:r>
          <w:rPr>
            <w:rStyle w:val="Hyperlink"/>
          </w:rPr>
          <w:t xml:space="preserve">Azure Load Balancer Documentation</w:t>
        </w:r>
      </w:hyperlink>
    </w:p>
    <w:bookmarkEnd w:id="121"/>
    <w:bookmarkEnd w:id="122"/>
    <w:bookmarkStart w:id="135" w:name="appendix-3-identity-security"/>
    <w:p>
      <w:pPr>
        <w:pStyle w:val="Heading2"/>
      </w:pPr>
      <w:r>
        <w:rPr>
          <w:rFonts w:ascii="Segoe UI" w:hAnsi="Segoe UI"/>
          <w:b w:val="0"/>
          <w:sz w:val="28"/>
        </w:rPr>
        <w:t xml:space="preserve">Appendix 3 Identity &amp; Security</w:t>
      </w:r>
    </w:p>
    <w:bookmarkStart w:id="126" w:name="introductionprerequisites-2"/>
    <w:p>
      <w:pPr>
        <w:pStyle w:val="Heading3"/>
      </w:pPr>
      <w:r>
        <w:rPr>
          <w:rFonts w:ascii="Segoe UI" w:hAnsi="Segoe UI"/>
          <w:b w:val="0"/>
          <w:sz w:val="26"/>
        </w:rPr>
        <w:t xml:space="preserve">Introduction/Prerequisites</w:t>
      </w:r>
    </w:p>
    <w:p>
      <w:pPr>
        <w:pStyle w:val="Compact"/>
        <w:numPr>
          <w:ilvl w:val="0"/>
          <w:numId w:val="1016"/>
        </w:numPr>
        <w:jc w:val="both"/>
      </w:pPr>
      <w:hyperlink r:id="rId123">
        <w:r>
          <w:rPr>
            <w:rStyle w:val="Hyperlink"/>
          </w:rPr>
          <w:t xml:space="preserve">Azure Active Directory Documentation</w:t>
        </w:r>
      </w:hyperlink>
    </w:p>
    <w:p>
      <w:pPr>
        <w:pStyle w:val="Compact"/>
        <w:numPr>
          <w:ilvl w:val="0"/>
          <w:numId w:val="1016"/>
        </w:numPr>
        <w:jc w:val="both"/>
      </w:pPr>
      <w:hyperlink r:id="rId124">
        <w:r>
          <w:rPr>
            <w:rStyle w:val="Hyperlink"/>
          </w:rPr>
          <w:t xml:space="preserve">Azure Identity Management Overview</w:t>
        </w:r>
      </w:hyperlink>
    </w:p>
    <w:p>
      <w:pPr>
        <w:pStyle w:val="Compact"/>
        <w:numPr>
          <w:ilvl w:val="0"/>
          <w:numId w:val="1016"/>
        </w:numPr>
        <w:jc w:val="both"/>
      </w:pPr>
      <w:hyperlink r:id="rId125">
        <w:r>
          <w:rPr>
            <w:rStyle w:val="Hyperlink"/>
          </w:rPr>
          <w:t xml:space="preserve">Azure Security Center Documentation</w:t>
        </w:r>
      </w:hyperlink>
    </w:p>
    <w:bookmarkEnd w:id="126"/>
    <w:bookmarkStart w:id="130" w:name="limits-and-boundaries-2"/>
    <w:p>
      <w:pPr>
        <w:pStyle w:val="Heading3"/>
      </w:pPr>
      <w:r>
        <w:rPr>
          <w:rFonts w:ascii="Segoe UI" w:hAnsi="Segoe UI"/>
          <w:b w:val="0"/>
          <w:sz w:val="26"/>
        </w:rPr>
        <w:t xml:space="preserve">Limits and Boundaries</w:t>
      </w:r>
    </w:p>
    <w:p>
      <w:pPr>
        <w:pStyle w:val="Compact"/>
        <w:numPr>
          <w:ilvl w:val="0"/>
          <w:numId w:val="1017"/>
        </w:numPr>
        <w:jc w:val="both"/>
      </w:pPr>
      <w:hyperlink r:id="rId127">
        <w:r>
          <w:rPr>
            <w:rStyle w:val="Hyperlink"/>
          </w:rPr>
          <w:t xml:space="preserve">Azure AD Service Limits</w:t>
        </w:r>
      </w:hyperlink>
    </w:p>
    <w:p>
      <w:pPr>
        <w:pStyle w:val="Compact"/>
        <w:numPr>
          <w:ilvl w:val="0"/>
          <w:numId w:val="1017"/>
        </w:numPr>
        <w:jc w:val="both"/>
      </w:pPr>
      <w:hyperlink r:id="rId128">
        <w:r>
          <w:rPr>
            <w:rStyle w:val="Hyperlink"/>
          </w:rPr>
          <w:t xml:space="preserve">Azure Security Limits</w:t>
        </w:r>
      </w:hyperlink>
    </w:p>
    <w:p>
      <w:pPr>
        <w:pStyle w:val="Compact"/>
        <w:numPr>
          <w:ilvl w:val="0"/>
          <w:numId w:val="1017"/>
        </w:numPr>
        <w:jc w:val="both"/>
      </w:pPr>
      <w:hyperlink r:id="rId129">
        <w:r>
          <w:rPr>
            <w:rStyle w:val="Hyperlink"/>
          </w:rPr>
          <w:t xml:space="preserve">Conditional Access Limits</w:t>
        </w:r>
      </w:hyperlink>
    </w:p>
    <w:bookmarkEnd w:id="130"/>
    <w:bookmarkStart w:id="134" w:name="others-2"/>
    <w:p>
      <w:pPr>
        <w:pStyle w:val="Heading3"/>
      </w:pPr>
      <w:r>
        <w:rPr>
          <w:rFonts w:ascii="Segoe UI" w:hAnsi="Segoe UI"/>
          <w:b w:val="0"/>
          <w:sz w:val="26"/>
        </w:rPr>
        <w:t xml:space="preserve">Others</w:t>
      </w:r>
    </w:p>
    <w:p>
      <w:pPr>
        <w:pStyle w:val="Compact"/>
        <w:numPr>
          <w:ilvl w:val="0"/>
          <w:numId w:val="1018"/>
        </w:numPr>
        <w:jc w:val="both"/>
      </w:pPr>
      <w:hyperlink r:id="rId131">
        <w:r>
          <w:rPr>
            <w:rStyle w:val="Hyperlink"/>
          </w:rPr>
          <w:t xml:space="preserve">Azure Identity Best Practices</w:t>
        </w:r>
      </w:hyperlink>
    </w:p>
    <w:p>
      <w:pPr>
        <w:pStyle w:val="Compact"/>
        <w:numPr>
          <w:ilvl w:val="0"/>
          <w:numId w:val="1018"/>
        </w:numPr>
        <w:jc w:val="both"/>
      </w:pPr>
      <w:hyperlink r:id="rId132">
        <w:r>
          <w:rPr>
            <w:rStyle w:val="Hyperlink"/>
          </w:rPr>
          <w:t xml:space="preserve">Azure MFA Documentation</w:t>
        </w:r>
      </w:hyperlink>
    </w:p>
    <w:p>
      <w:pPr>
        <w:pStyle w:val="Compact"/>
        <w:numPr>
          <w:ilvl w:val="0"/>
          <w:numId w:val="1018"/>
        </w:numPr>
        <w:jc w:val="both"/>
      </w:pPr>
      <w:hyperlink r:id="rId133">
        <w:r>
          <w:rPr>
            <w:rStyle w:val="Hyperlink"/>
          </w:rPr>
          <w:t xml:space="preserve">Azure Privileged Identity Management</w:t>
        </w:r>
      </w:hyperlink>
    </w:p>
    <w:bookmarkEnd w:id="134"/>
    <w:bookmarkEnd w:id="135"/>
    <w:bookmarkStart w:id="148" w:name="appendix-4-logging-monitoring"/>
    <w:p>
      <w:pPr>
        <w:pStyle w:val="Heading2"/>
      </w:pPr>
      <w:r>
        <w:rPr>
          <w:rFonts w:ascii="Segoe UI" w:hAnsi="Segoe UI"/>
          <w:b w:val="0"/>
          <w:sz w:val="28"/>
        </w:rPr>
        <w:t xml:space="preserve">Appendix 4 Logging &amp; Monitoring</w:t>
      </w:r>
    </w:p>
    <w:bookmarkStart w:id="139" w:name="introductionprerequisites-3"/>
    <w:p>
      <w:pPr>
        <w:pStyle w:val="Heading3"/>
      </w:pPr>
      <w:r>
        <w:rPr>
          <w:rFonts w:ascii="Segoe UI" w:hAnsi="Segoe UI"/>
          <w:b w:val="0"/>
          <w:sz w:val="26"/>
        </w:rPr>
        <w:t xml:space="preserve">Introduction/Prerequisites</w:t>
      </w:r>
    </w:p>
    <w:p>
      <w:pPr>
        <w:pStyle w:val="Compact"/>
        <w:numPr>
          <w:ilvl w:val="0"/>
          <w:numId w:val="1019"/>
        </w:numPr>
        <w:jc w:val="both"/>
      </w:pPr>
      <w:hyperlink r:id="rId136">
        <w:r>
          <w:rPr>
            <w:rStyle w:val="Hyperlink"/>
          </w:rPr>
          <w:t xml:space="preserve">Azure Monitor Documentation</w:t>
        </w:r>
      </w:hyperlink>
    </w:p>
    <w:p>
      <w:pPr>
        <w:pStyle w:val="Compact"/>
        <w:numPr>
          <w:ilvl w:val="0"/>
          <w:numId w:val="1019"/>
        </w:numPr>
        <w:jc w:val="both"/>
      </w:pPr>
      <w:hyperlink r:id="rId137">
        <w:r>
          <w:rPr>
            <w:rStyle w:val="Hyperlink"/>
          </w:rPr>
          <w:t xml:space="preserve">Azure Log Analytics Documentation</w:t>
        </w:r>
      </w:hyperlink>
    </w:p>
    <w:p>
      <w:pPr>
        <w:pStyle w:val="Compact"/>
        <w:numPr>
          <w:ilvl w:val="0"/>
          <w:numId w:val="1019"/>
        </w:numPr>
        <w:jc w:val="both"/>
      </w:pPr>
      <w:hyperlink r:id="rId138">
        <w:r>
          <w:rPr>
            <w:rStyle w:val="Hyperlink"/>
          </w:rPr>
          <w:t xml:space="preserve">Azure Activity Logs</w:t>
        </w:r>
      </w:hyperlink>
    </w:p>
    <w:bookmarkEnd w:id="139"/>
    <w:bookmarkStart w:id="143" w:name="limits-and-boundaries-3"/>
    <w:p>
      <w:pPr>
        <w:pStyle w:val="Heading3"/>
      </w:pPr>
      <w:r>
        <w:rPr>
          <w:rFonts w:ascii="Segoe UI" w:hAnsi="Segoe UI"/>
          <w:b w:val="0"/>
          <w:sz w:val="26"/>
        </w:rPr>
        <w:t xml:space="preserve">Limits and Boundaries</w:t>
      </w:r>
    </w:p>
    <w:p>
      <w:pPr>
        <w:pStyle w:val="Compact"/>
        <w:numPr>
          <w:ilvl w:val="0"/>
          <w:numId w:val="1020"/>
        </w:numPr>
        <w:jc w:val="both"/>
      </w:pPr>
      <w:hyperlink r:id="rId140">
        <w:r>
          <w:rPr>
            <w:rStyle w:val="Hyperlink"/>
          </w:rPr>
          <w:t xml:space="preserve">Azure Monitor Limits</w:t>
        </w:r>
      </w:hyperlink>
    </w:p>
    <w:p>
      <w:pPr>
        <w:pStyle w:val="Compact"/>
        <w:numPr>
          <w:ilvl w:val="0"/>
          <w:numId w:val="1020"/>
        </w:numPr>
        <w:jc w:val="both"/>
      </w:pPr>
      <w:hyperlink r:id="rId141">
        <w:r>
          <w:rPr>
            <w:rStyle w:val="Hyperlink"/>
          </w:rPr>
          <w:t xml:space="preserve">Log Analytics Workspace Limits</w:t>
        </w:r>
      </w:hyperlink>
    </w:p>
    <w:p>
      <w:pPr>
        <w:pStyle w:val="Compact"/>
        <w:numPr>
          <w:ilvl w:val="0"/>
          <w:numId w:val="1020"/>
        </w:numPr>
        <w:jc w:val="both"/>
      </w:pPr>
      <w:hyperlink r:id="rId142">
        <w:r>
          <w:rPr>
            <w:rStyle w:val="Hyperlink"/>
          </w:rPr>
          <w:t xml:space="preserve">Diagnostic Settings Limits</w:t>
        </w:r>
      </w:hyperlink>
    </w:p>
    <w:bookmarkEnd w:id="143"/>
    <w:bookmarkStart w:id="147" w:name="others-3"/>
    <w:p>
      <w:pPr>
        <w:pStyle w:val="Heading3"/>
      </w:pPr>
      <w:r>
        <w:rPr>
          <w:rFonts w:ascii="Segoe UI" w:hAnsi="Segoe UI"/>
          <w:b w:val="0"/>
          <w:sz w:val="26"/>
        </w:rPr>
        <w:t xml:space="preserve">Others</w:t>
      </w:r>
    </w:p>
    <w:p>
      <w:pPr>
        <w:pStyle w:val="Compact"/>
        <w:numPr>
          <w:ilvl w:val="0"/>
          <w:numId w:val="1021"/>
        </w:numPr>
        <w:jc w:val="both"/>
      </w:pPr>
      <w:hyperlink r:id="rId144">
        <w:r>
          <w:rPr>
            <w:rStyle w:val="Hyperlink"/>
          </w:rPr>
          <w:t xml:space="preserve">Azure Monitoring Best Practices</w:t>
        </w:r>
      </w:hyperlink>
    </w:p>
    <w:p>
      <w:pPr>
        <w:pStyle w:val="Compact"/>
        <w:numPr>
          <w:ilvl w:val="0"/>
          <w:numId w:val="1021"/>
        </w:numPr>
        <w:jc w:val="both"/>
      </w:pPr>
      <w:hyperlink r:id="rId145">
        <w:r>
          <w:rPr>
            <w:rStyle w:val="Hyperlink"/>
          </w:rPr>
          <w:t xml:space="preserve">Azure Application Insights Documentation</w:t>
        </w:r>
      </w:hyperlink>
    </w:p>
    <w:p>
      <w:pPr>
        <w:pStyle w:val="Compact"/>
        <w:numPr>
          <w:ilvl w:val="0"/>
          <w:numId w:val="1021"/>
        </w:numPr>
        <w:jc w:val="both"/>
      </w:pPr>
      <w:hyperlink r:id="rId146">
        <w:r>
          <w:rPr>
            <w:rStyle w:val="Hyperlink"/>
          </w:rPr>
          <w:t xml:space="preserve">Azure Alerts Documentation</w:t>
        </w:r>
      </w:hyperlink>
    </w:p>
    <w:bookmarkEnd w:id="147"/>
    <w:bookmarkEnd w:id="148"/>
    <w:bookmarkStart w:id="161" w:name="appendix-5-cloud-governance"/>
    <w:p>
      <w:pPr>
        <w:pStyle w:val="Heading2"/>
      </w:pPr>
      <w:r>
        <w:rPr>
          <w:rFonts w:ascii="Segoe UI" w:hAnsi="Segoe UI"/>
          <w:b w:val="0"/>
          <w:sz w:val="28"/>
        </w:rPr>
        <w:t xml:space="preserve">Appendix 5 Cloud Governance</w:t>
      </w:r>
    </w:p>
    <w:bookmarkStart w:id="152" w:name="introductionprerequisites-4"/>
    <w:p>
      <w:pPr>
        <w:pStyle w:val="Heading3"/>
      </w:pPr>
      <w:r>
        <w:rPr>
          <w:rFonts w:ascii="Segoe UI" w:hAnsi="Segoe UI"/>
          <w:b w:val="0"/>
          <w:sz w:val="26"/>
        </w:rPr>
        <w:t xml:space="preserve">Introduction/Prerequisites</w:t>
      </w:r>
    </w:p>
    <w:p>
      <w:pPr>
        <w:pStyle w:val="Compact"/>
        <w:numPr>
          <w:ilvl w:val="0"/>
          <w:numId w:val="1022"/>
        </w:numPr>
        <w:jc w:val="both"/>
      </w:pPr>
      <w:hyperlink r:id="rId149">
        <w:r>
          <w:rPr>
            <w:rStyle w:val="Hyperlink"/>
          </w:rPr>
          <w:t xml:space="preserve">Azure Governance Documentation</w:t>
        </w:r>
      </w:hyperlink>
    </w:p>
    <w:p>
      <w:pPr>
        <w:pStyle w:val="Compact"/>
        <w:numPr>
          <w:ilvl w:val="0"/>
          <w:numId w:val="1022"/>
        </w:numPr>
        <w:jc w:val="both"/>
      </w:pPr>
      <w:hyperlink r:id="rId150">
        <w:r>
          <w:rPr>
            <w:rStyle w:val="Hyperlink"/>
          </w:rPr>
          <w:t xml:space="preserve">Azure Policy Overview</w:t>
        </w:r>
      </w:hyperlink>
    </w:p>
    <w:p>
      <w:pPr>
        <w:pStyle w:val="Compact"/>
        <w:numPr>
          <w:ilvl w:val="0"/>
          <w:numId w:val="1022"/>
        </w:numPr>
        <w:jc w:val="both"/>
      </w:pPr>
      <w:hyperlink r:id="rId151">
        <w:r>
          <w:rPr>
            <w:rStyle w:val="Hyperlink"/>
          </w:rPr>
          <w:t xml:space="preserve">Azure Management Groups Documentation</w:t>
        </w:r>
      </w:hyperlink>
    </w:p>
    <w:bookmarkEnd w:id="152"/>
    <w:bookmarkStart w:id="156" w:name="limits-and-boundaries-4"/>
    <w:p>
      <w:pPr>
        <w:pStyle w:val="Heading3"/>
      </w:pPr>
      <w:r>
        <w:rPr>
          <w:rFonts w:ascii="Segoe UI" w:hAnsi="Segoe UI"/>
          <w:b w:val="0"/>
          <w:sz w:val="26"/>
        </w:rPr>
        <w:t xml:space="preserve">Limits and Boundaries</w:t>
      </w:r>
    </w:p>
    <w:p>
      <w:pPr>
        <w:pStyle w:val="Compact"/>
        <w:numPr>
          <w:ilvl w:val="0"/>
          <w:numId w:val="1023"/>
        </w:numPr>
        <w:jc w:val="both"/>
      </w:pPr>
      <w:hyperlink r:id="rId153">
        <w:r>
          <w:rPr>
            <w:rStyle w:val="Hyperlink"/>
          </w:rPr>
          <w:t xml:space="preserve">Azure Policy Limits</w:t>
        </w:r>
      </w:hyperlink>
    </w:p>
    <w:p>
      <w:pPr>
        <w:pStyle w:val="Compact"/>
        <w:numPr>
          <w:ilvl w:val="0"/>
          <w:numId w:val="1023"/>
        </w:numPr>
        <w:jc w:val="both"/>
      </w:pPr>
      <w:hyperlink r:id="rId154">
        <w:r>
          <w:rPr>
            <w:rStyle w:val="Hyperlink"/>
          </w:rPr>
          <w:t xml:space="preserve">Management Group Limits</w:t>
        </w:r>
      </w:hyperlink>
    </w:p>
    <w:p>
      <w:pPr>
        <w:pStyle w:val="Compact"/>
        <w:numPr>
          <w:ilvl w:val="0"/>
          <w:numId w:val="1023"/>
        </w:numPr>
        <w:jc w:val="both"/>
      </w:pPr>
      <w:hyperlink r:id="rId155">
        <w:r>
          <w:rPr>
            <w:rStyle w:val="Hyperlink"/>
          </w:rPr>
          <w:t xml:space="preserve">Azure Resource Locks Limits</w:t>
        </w:r>
      </w:hyperlink>
    </w:p>
    <w:bookmarkEnd w:id="156"/>
    <w:bookmarkStart w:id="160" w:name="others-4"/>
    <w:p>
      <w:pPr>
        <w:pStyle w:val="Heading3"/>
      </w:pPr>
      <w:r>
        <w:rPr>
          <w:rFonts w:ascii="Segoe UI" w:hAnsi="Segoe UI"/>
          <w:b w:val="0"/>
          <w:sz w:val="26"/>
        </w:rPr>
        <w:t xml:space="preserve">Others</w:t>
      </w:r>
    </w:p>
    <w:p>
      <w:pPr>
        <w:pStyle w:val="Compact"/>
        <w:numPr>
          <w:ilvl w:val="0"/>
          <w:numId w:val="1024"/>
        </w:numPr>
        <w:jc w:val="both"/>
      </w:pPr>
      <w:hyperlink r:id="rId157">
        <w:r>
          <w:rPr>
            <w:rStyle w:val="Hyperlink"/>
          </w:rPr>
          <w:t xml:space="preserve">Azure Governance Best Practices</w:t>
        </w:r>
      </w:hyperlink>
    </w:p>
    <w:p>
      <w:pPr>
        <w:pStyle w:val="Compact"/>
        <w:numPr>
          <w:ilvl w:val="0"/>
          <w:numId w:val="1024"/>
        </w:numPr>
        <w:jc w:val="both"/>
      </w:pPr>
      <w:hyperlink r:id="rId158">
        <w:r>
          <w:rPr>
            <w:rStyle w:val="Hyperlink"/>
          </w:rPr>
          <w:t xml:space="preserve">Azure Cost Management Documentation</w:t>
        </w:r>
      </w:hyperlink>
    </w:p>
    <w:p>
      <w:pPr>
        <w:pStyle w:val="Compact"/>
        <w:numPr>
          <w:ilvl w:val="0"/>
          <w:numId w:val="1024"/>
        </w:numPr>
        <w:jc w:val="both"/>
      </w:pPr>
      <w:hyperlink r:id="rId159">
        <w:r>
          <w:rPr>
            <w:rStyle w:val="Hyperlink"/>
          </w:rPr>
          <w:t xml:space="preserve">Azure Blueprints Documentation</w:t>
        </w:r>
      </w:hyperlink>
    </w:p>
    <w:bookmarkEnd w:id="160"/>
    <w:bookmarkEnd w:id="161"/>
    <w:bookmarkStart w:id="174" w:name="appendix-6-microsoft-fabric"/>
    <w:p>
      <w:pPr>
        <w:pStyle w:val="Heading2"/>
      </w:pPr>
      <w:r>
        <w:rPr>
          <w:rFonts w:ascii="Segoe UI" w:hAnsi="Segoe UI"/>
          <w:b w:val="0"/>
          <w:sz w:val="28"/>
        </w:rPr>
        <w:t xml:space="preserve">Appendix 6 Microsoft Fabric</w:t>
      </w:r>
    </w:p>
    <w:bookmarkStart w:id="165" w:name="introductionprerequisites-5"/>
    <w:p>
      <w:pPr>
        <w:pStyle w:val="Heading3"/>
      </w:pPr>
      <w:r>
        <w:rPr>
          <w:rFonts w:ascii="Segoe UI" w:hAnsi="Segoe UI"/>
          <w:b w:val="0"/>
          <w:sz w:val="26"/>
        </w:rPr>
        <w:t xml:space="preserve">Introduction/Prerequisites</w:t>
      </w:r>
    </w:p>
    <w:p>
      <w:pPr>
        <w:pStyle w:val="Compact"/>
        <w:numPr>
          <w:ilvl w:val="0"/>
          <w:numId w:val="1025"/>
        </w:numPr>
        <w:jc w:val="both"/>
      </w:pPr>
      <w:hyperlink r:id="rId162">
        <w:r>
          <w:rPr>
            <w:rStyle w:val="Hyperlink"/>
          </w:rPr>
          <w:t xml:space="preserve">Microsoft Fabric Documentation</w:t>
        </w:r>
      </w:hyperlink>
    </w:p>
    <w:p>
      <w:pPr>
        <w:pStyle w:val="Compact"/>
        <w:numPr>
          <w:ilvl w:val="0"/>
          <w:numId w:val="1025"/>
        </w:numPr>
        <w:jc w:val="both"/>
      </w:pPr>
      <w:hyperlink r:id="rId163">
        <w:r>
          <w:rPr>
            <w:rStyle w:val="Hyperlink"/>
          </w:rPr>
          <w:t xml:space="preserve">Microsoft Fabric Architecture Overview</w:t>
        </w:r>
      </w:hyperlink>
    </w:p>
    <w:p>
      <w:pPr>
        <w:pStyle w:val="Compact"/>
        <w:numPr>
          <w:ilvl w:val="0"/>
          <w:numId w:val="1025"/>
        </w:numPr>
        <w:jc w:val="both"/>
      </w:pPr>
      <w:hyperlink r:id="rId164">
        <w:r>
          <w:rPr>
            <w:rStyle w:val="Hyperlink"/>
          </w:rPr>
          <w:t xml:space="preserve">Fabric Admin Portal Documentation</w:t>
        </w:r>
      </w:hyperlink>
    </w:p>
    <w:bookmarkEnd w:id="165"/>
    <w:bookmarkStart w:id="169" w:name="limits-and-boundaries-5"/>
    <w:p>
      <w:pPr>
        <w:pStyle w:val="Heading3"/>
      </w:pPr>
      <w:r>
        <w:rPr>
          <w:rFonts w:ascii="Segoe UI" w:hAnsi="Segoe UI"/>
          <w:b w:val="0"/>
          <w:sz w:val="26"/>
        </w:rPr>
        <w:t xml:space="preserve">Limits and Boundaries</w:t>
      </w:r>
    </w:p>
    <w:p>
      <w:pPr>
        <w:pStyle w:val="Compact"/>
        <w:numPr>
          <w:ilvl w:val="0"/>
          <w:numId w:val="1026"/>
        </w:numPr>
        <w:jc w:val="both"/>
      </w:pPr>
      <w:hyperlink r:id="rId166">
        <w:r>
          <w:rPr>
            <w:rStyle w:val="Hyperlink"/>
          </w:rPr>
          <w:t xml:space="preserve">Microsoft Fabric Quotas and Limits</w:t>
        </w:r>
      </w:hyperlink>
    </w:p>
    <w:p>
      <w:pPr>
        <w:pStyle w:val="Compact"/>
        <w:numPr>
          <w:ilvl w:val="0"/>
          <w:numId w:val="1026"/>
        </w:numPr>
        <w:jc w:val="both"/>
      </w:pPr>
      <w:hyperlink r:id="rId167">
        <w:r>
          <w:rPr>
            <w:rStyle w:val="Hyperlink"/>
          </w:rPr>
          <w:t xml:space="preserve">Fabric Workspace Limits</w:t>
        </w:r>
      </w:hyperlink>
    </w:p>
    <w:p>
      <w:pPr>
        <w:pStyle w:val="Compact"/>
        <w:numPr>
          <w:ilvl w:val="0"/>
          <w:numId w:val="1026"/>
        </w:numPr>
        <w:jc w:val="both"/>
      </w:pPr>
      <w:hyperlink r:id="rId168">
        <w:r>
          <w:rPr>
            <w:rStyle w:val="Hyperlink"/>
          </w:rPr>
          <w:t xml:space="preserve">Fabric Dataflow Limits</w:t>
        </w:r>
      </w:hyperlink>
    </w:p>
    <w:bookmarkEnd w:id="169"/>
    <w:bookmarkStart w:id="173" w:name="others-5"/>
    <w:p>
      <w:pPr>
        <w:pStyle w:val="Heading3"/>
      </w:pPr>
      <w:r>
        <w:rPr>
          <w:rFonts w:ascii="Segoe UI" w:hAnsi="Segoe UI"/>
          <w:b w:val="0"/>
          <w:sz w:val="26"/>
        </w:rPr>
        <w:t xml:space="preserve">Others</w:t>
      </w:r>
    </w:p>
    <w:p>
      <w:pPr>
        <w:pStyle w:val="Compact"/>
        <w:numPr>
          <w:ilvl w:val="0"/>
          <w:numId w:val="1027"/>
        </w:numPr>
        <w:jc w:val="both"/>
      </w:pPr>
      <w:hyperlink r:id="rId170">
        <w:r>
          <w:rPr>
            <w:rStyle w:val="Hyperlink"/>
          </w:rPr>
          <w:t xml:space="preserve">Microsoft Fabric Security Best Practices</w:t>
        </w:r>
      </w:hyperlink>
    </w:p>
    <w:p>
      <w:pPr>
        <w:pStyle w:val="Compact"/>
        <w:numPr>
          <w:ilvl w:val="0"/>
          <w:numId w:val="1027"/>
        </w:numPr>
        <w:jc w:val="both"/>
      </w:pPr>
      <w:hyperlink r:id="rId171">
        <w:r>
          <w:rPr>
            <w:rStyle w:val="Hyperlink"/>
          </w:rPr>
          <w:t xml:space="preserve">Fabric Monitoring and Logging</w:t>
        </w:r>
      </w:hyperlink>
    </w:p>
    <w:p>
      <w:pPr>
        <w:pStyle w:val="Compact"/>
        <w:numPr>
          <w:ilvl w:val="0"/>
          <w:numId w:val="1027"/>
        </w:numPr>
        <w:jc w:val="both"/>
      </w:pPr>
      <w:hyperlink r:id="rId172">
        <w:r>
          <w:rPr>
            <w:rStyle w:val="Hyperlink"/>
          </w:rPr>
          <w:t xml:space="preserve">Fabric Role Management Documentation</w:t>
        </w:r>
      </w:hyperlink>
    </w:p>
    <w:bookmarkEnd w:id="173"/>
    <w:bookmarkEnd w:id="174"/>
    <w:bookmarkStart w:id="186" w:name="appendix-7-data-workflow"/>
    <w:p>
      <w:pPr>
        <w:pStyle w:val="Heading2"/>
      </w:pPr>
      <w:r>
        <w:rPr>
          <w:rFonts w:ascii="Segoe UI" w:hAnsi="Segoe UI"/>
          <w:b w:val="0"/>
          <w:sz w:val="28"/>
        </w:rPr>
        <w:t xml:space="preserve">Appendix 7 Data Workflow</w:t>
      </w:r>
    </w:p>
    <w:bookmarkStart w:id="178" w:name="introductionprerequisites-6"/>
    <w:p>
      <w:pPr>
        <w:pStyle w:val="Heading3"/>
      </w:pPr>
      <w:r>
        <w:rPr>
          <w:rFonts w:ascii="Segoe UI" w:hAnsi="Segoe UI"/>
          <w:b w:val="0"/>
          <w:sz w:val="26"/>
        </w:rPr>
        <w:t xml:space="preserve">Introduction/Prerequisites</w:t>
      </w:r>
    </w:p>
    <w:p>
      <w:pPr>
        <w:pStyle w:val="Compact"/>
        <w:numPr>
          <w:ilvl w:val="0"/>
          <w:numId w:val="1028"/>
        </w:numPr>
        <w:jc w:val="both"/>
      </w:pPr>
      <w:hyperlink r:id="rId175">
        <w:r>
          <w:rPr>
            <w:rStyle w:val="Hyperlink"/>
          </w:rPr>
          <w:t xml:space="preserve">Azure Data Factory Documentation</w:t>
        </w:r>
      </w:hyperlink>
    </w:p>
    <w:p>
      <w:pPr>
        <w:pStyle w:val="Compact"/>
        <w:numPr>
          <w:ilvl w:val="0"/>
          <w:numId w:val="1028"/>
        </w:numPr>
        <w:jc w:val="both"/>
      </w:pPr>
      <w:hyperlink r:id="rId176">
        <w:r>
          <w:rPr>
            <w:rStyle w:val="Hyperlink"/>
          </w:rPr>
          <w:t xml:space="preserve">Microsoft Fabric Dataflow Documentation</w:t>
        </w:r>
      </w:hyperlink>
    </w:p>
    <w:p>
      <w:pPr>
        <w:pStyle w:val="Compact"/>
        <w:numPr>
          <w:ilvl w:val="0"/>
          <w:numId w:val="1028"/>
        </w:numPr>
        <w:jc w:val="both"/>
      </w:pPr>
      <w:hyperlink r:id="rId177">
        <w:r>
          <w:rPr>
            <w:rStyle w:val="Hyperlink"/>
          </w:rPr>
          <w:t xml:space="preserve">Azure Synapse Analytics Documentation</w:t>
        </w:r>
      </w:hyperlink>
    </w:p>
    <w:bookmarkEnd w:id="178"/>
    <w:bookmarkStart w:id="181" w:name="limits-and-boundaries-6"/>
    <w:p>
      <w:pPr>
        <w:pStyle w:val="Heading3"/>
      </w:pPr>
      <w:r>
        <w:rPr>
          <w:rFonts w:ascii="Segoe UI" w:hAnsi="Segoe UI"/>
          <w:b w:val="0"/>
          <w:sz w:val="26"/>
        </w:rPr>
        <w:t xml:space="preserve">Limits and Boundaries</w:t>
      </w:r>
    </w:p>
    <w:p>
      <w:pPr>
        <w:pStyle w:val="Compact"/>
        <w:numPr>
          <w:ilvl w:val="0"/>
          <w:numId w:val="1029"/>
        </w:numPr>
        <w:jc w:val="both"/>
      </w:pPr>
      <w:hyperlink r:id="rId179">
        <w:r>
          <w:rPr>
            <w:rStyle w:val="Hyperlink"/>
          </w:rPr>
          <w:t xml:space="preserve">Data Factory Quotas and Limits</w:t>
        </w:r>
      </w:hyperlink>
    </w:p>
    <w:p>
      <w:pPr>
        <w:pStyle w:val="Compact"/>
        <w:numPr>
          <w:ilvl w:val="0"/>
          <w:numId w:val="1029"/>
        </w:numPr>
        <w:jc w:val="both"/>
      </w:pPr>
      <w:hyperlink r:id="rId180">
        <w:r>
          <w:rPr>
            <w:rStyle w:val="Hyperlink"/>
          </w:rPr>
          <w:t xml:space="preserve">Synapse Analytics Limits</w:t>
        </w:r>
      </w:hyperlink>
    </w:p>
    <w:p>
      <w:pPr>
        <w:pStyle w:val="Compact"/>
        <w:numPr>
          <w:ilvl w:val="0"/>
          <w:numId w:val="1029"/>
        </w:numPr>
        <w:jc w:val="both"/>
      </w:pPr>
      <w:hyperlink r:id="rId168">
        <w:r>
          <w:rPr>
            <w:rStyle w:val="Hyperlink"/>
          </w:rPr>
          <w:t xml:space="preserve">Fabric Dataflow Service Limits</w:t>
        </w:r>
      </w:hyperlink>
    </w:p>
    <w:bookmarkEnd w:id="181"/>
    <w:bookmarkStart w:id="185" w:name="others-6"/>
    <w:p>
      <w:pPr>
        <w:pStyle w:val="Heading3"/>
      </w:pPr>
      <w:r>
        <w:rPr>
          <w:rFonts w:ascii="Segoe UI" w:hAnsi="Segoe UI"/>
          <w:b w:val="0"/>
          <w:sz w:val="26"/>
        </w:rPr>
        <w:t xml:space="preserve">Others</w:t>
      </w:r>
    </w:p>
    <w:p>
      <w:pPr>
        <w:pStyle w:val="Compact"/>
        <w:numPr>
          <w:ilvl w:val="0"/>
          <w:numId w:val="1030"/>
        </w:numPr>
        <w:jc w:val="both"/>
      </w:pPr>
      <w:hyperlink r:id="rId182">
        <w:r>
          <w:rPr>
            <w:rStyle w:val="Hyperlink"/>
          </w:rPr>
          <w:t xml:space="preserve">Data Workflow Best Practices</w:t>
        </w:r>
      </w:hyperlink>
    </w:p>
    <w:p>
      <w:pPr>
        <w:pStyle w:val="Compact"/>
        <w:numPr>
          <w:ilvl w:val="0"/>
          <w:numId w:val="1030"/>
        </w:numPr>
        <w:jc w:val="both"/>
      </w:pPr>
      <w:hyperlink r:id="rId183">
        <w:r>
          <w:rPr>
            <w:rStyle w:val="Hyperlink"/>
          </w:rPr>
          <w:t xml:space="preserve">Data Integration Patterns</w:t>
        </w:r>
      </w:hyperlink>
    </w:p>
    <w:p>
      <w:pPr>
        <w:pStyle w:val="Compact"/>
        <w:numPr>
          <w:ilvl w:val="0"/>
          <w:numId w:val="1030"/>
        </w:numPr>
        <w:jc w:val="both"/>
      </w:pPr>
      <w:hyperlink r:id="rId184">
        <w:r>
          <w:rPr>
            <w:rStyle w:val="Hyperlink"/>
          </w:rPr>
          <w:t xml:space="preserve">Data Pipeline Monitoring</w:t>
        </w:r>
      </w:hyperlink>
    </w:p>
    <w:p>
      <w:pPr>
        <w:pStyle w:val="FirstParagraph"/>
        <w:jc w:val="both"/>
      </w:pPr>
      <w:r>
        <w:rPr>
          <w:rFonts w:ascii="Segoe UI" w:hAnsi="Segoe UI"/>
          <w:b/>
          <w:bCs/>
          <w:sz w:val="22"/>
        </w:rPr>
        <w:t xml:space="preserve">Note:</w:t>
      </w:r>
      <w:r>
        <w:rPr>
          <w:rFonts w:ascii="Segoe UI" w:hAnsi="Segoe UI"/>
          <w:sz w:val="22"/>
        </w:rPr>
        <w:t xml:space="preserve"> </w:t>
      </w:r>
      <w:r>
        <w:rPr>
          <w:rFonts w:ascii="Segoe UI" w:hAnsi="Segoe UI"/>
          <w:sz w:val="22"/>
        </w:rPr>
        <w:t xml:space="preserve">For VM specifications, NSG rules, naming conventions, and workflow tables, refer to Sections 5.0, 6.0, and 7.0 of this document.</w:t>
      </w:r>
    </w:p>
    <w:bookmarkEnd w:id="185"/>
    <w:bookmarkEnd w:id="186"/>
    <w:bookmarkEnd w:id="187"/>
    <w:sectPr w:rsidR="0064469A" w:rsidSect="001A3742">
      <w:headerReference r:id="rId11" w:type="default"/>
      <w:footerReference r:id="rId12" w:type="default"/>
      <w:headerReference r:id="rId13" w:type="first"/>
      <w:pgSz w:h="16838" w:w="11906"/>
      <w:pgMar w:bottom="1440" w:footer="708" w:gutter="0" w:header="708" w:left="1440" w:right="1440" w:top="1440"/>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DFC3F" w14:textId="5820EE3C" w:rsidR="00596483" w:rsidRPr="00A122E9" w:rsidRDefault="0063557B" w:rsidP="00A122E9">
    <w:pPr>
      <w:pStyle w:val="Footer"/>
    </w:pPr>
    <w:r>
      <w:rPr>
        <w:rFonts w:ascii="Times New Roman" w:eastAsia="DengXian" w:hAnsi="Times New Roman" w:cs="Arial"/>
        <w:color w:val="808080"/>
        <w:kern w:val="0"/>
        <w:sz w:val="18"/>
        <w:szCs w:val="18"/>
        <w:lang w:val="en-US" w:eastAsia="zh-CN"/>
        <w14:ligatures w14:val="none"/>
      </w:rPr>
      <w:t xml:space="preserve">SIRIM Analytics Deployment (Microsoft Fabric) </w:t>
    </w:r>
    <w:r w:rsidRPr="00B53330">
      <w:rPr>
        <w:rFonts w:ascii="Times New Roman" w:eastAsia="DengXian" w:hAnsi="Times New Roman" w:cs="Arial"/>
        <w:color w:val="808080"/>
        <w:kern w:val="0"/>
        <w:sz w:val="18"/>
        <w:szCs w:val="18"/>
        <w:lang w:val="en-US" w:eastAsia="zh-CN"/>
        <w14:ligatures w14:val="none"/>
      </w:rPr>
      <w:t>- Planning &amp; Design Document</w:t>
    </w:r>
    <w:r w:rsidR="00861BB7">
      <w:tab/>
    </w:r>
    <w:r w:rsidR="00861BB7">
      <w:tab/>
    </w:r>
    <w:r w:rsidRPr="00B53330">
      <w:rPr>
        <w:rFonts w:ascii="Times New Roman" w:eastAsia="DengXian" w:hAnsi="Times New Roman" w:cs="Arial"/>
        <w:color w:val="808080"/>
        <w:kern w:val="0"/>
        <w:sz w:val="18"/>
        <w:szCs w:val="18"/>
        <w:lang w:val="en-US" w:eastAsia="zh-CN"/>
        <w14:ligatures w14:val="none"/>
      </w:rPr>
      <w:fldChar w:fldCharType="begin"/>
    </w:r>
    <w:r w:rsidRPr="00B53330">
      <w:rPr>
        <w:rFonts w:ascii="Times New Roman" w:eastAsia="DengXian" w:hAnsi="Times New Roman" w:cs="Arial"/>
        <w:color w:val="808080"/>
        <w:kern w:val="0"/>
        <w:sz w:val="18"/>
        <w:szCs w:val="18"/>
        <w:lang w:val="en-US" w:eastAsia="zh-CN"/>
        <w14:ligatures w14:val="none"/>
      </w:rPr>
      <w:instrText xml:space="preserve"> PAGE   \* MERGEFORMAT </w:instrText>
    </w:r>
    <w:r w:rsidRPr="00B53330">
      <w:rPr>
        <w:rFonts w:ascii="Times New Roman" w:eastAsia="DengXian" w:hAnsi="Times New Roman" w:cs="Arial"/>
        <w:color w:val="808080"/>
        <w:kern w:val="0"/>
        <w:sz w:val="18"/>
        <w:szCs w:val="18"/>
        <w:lang w:val="en-US" w:eastAsia="zh-CN"/>
        <w14:ligatures w14:val="none"/>
      </w:rPr>
      <w:fldChar w:fldCharType="separate"/>
    </w:r>
    <w:r>
      <w:rPr>
        <w:rFonts w:ascii="Times New Roman" w:eastAsia="DengXian" w:hAnsi="Times New Roman" w:cs="Arial"/>
        <w:color w:val="808080"/>
        <w:kern w:val="0"/>
        <w:sz w:val="18"/>
        <w:szCs w:val="18"/>
        <w:lang w:val="en-US" w:eastAsia="zh-CN"/>
        <w14:ligatures w14:val="none"/>
      </w:rPr>
      <w:t>2</w:t>
    </w:r>
    <w:r w:rsidRPr="00B53330">
      <w:rPr>
        <w:rFonts w:ascii="Times New Roman" w:eastAsia="DengXian" w:hAnsi="Times New Roman" w:cs="Arial"/>
        <w:color w:val="808080"/>
        <w:kern w:val="0"/>
        <w:sz w:val="18"/>
        <w:szCs w:val="18"/>
        <w:lang w:val="en-US" w:eastAsia="zh-CN"/>
        <w14:ligatures w14:val="none"/>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type="auto" w:w="0"/>
      <w:tblLook w:firstColumn="1" w:firstRow="1" w:lastColumn="0" w:lastRow="0" w:noHBand="0" w:noVBand="1" w:val="04A0"/>
      <w:tblBorders>
        <w:top w:val="none"/>
        <w:left w:val="none"/>
        <w:bottom w:val="none"/>
        <w:right w:val="none"/>
        <w:insideH w:val="none"/>
        <w:insideV w:val="none"/>
      </w:tblBorders>
    </w:tblPr>
    <w:tblGrid>
      <w:gridCol w:w="4320"/>
      <w:gridCol w:w="4320"/>
    </w:tblGrid>
    <w:tr>
      <w:tc>
        <w:tcPr>
          <w:tcW w:type="dxa" w:w="4320"/>
        </w:tcPr>
        <w:p>
          <w:pPr>
            <w:jc w:val="left"/>
          </w:pPr>
          <w:r>
            <w:drawing>
              <wp:inline xmlns:a="http://schemas.openxmlformats.org/drawingml/2006/main" xmlns:pic="http://schemas.openxmlformats.org/drawingml/2006/picture">
                <wp:extent cx="439349" cy="548640"/>
                <wp:docPr id="1" name="Picture 1"/>
                <wp:cNvGraphicFramePr>
                  <a:graphicFrameLocks noChangeAspect="1"/>
                </wp:cNvGraphicFramePr>
                <a:graphic>
                  <a:graphicData uri="http://schemas.openxmlformats.org/drawingml/2006/picture">
                    <pic:pic>
                      <pic:nvPicPr>
                        <pic:cNvPr id="0" name="sirim-logo.png"/>
                        <pic:cNvPicPr/>
                      </pic:nvPicPr>
                      <pic:blipFill>
                        <a:blip r:embed="rId2"/>
                        <a:stretch>
                          <a:fillRect/>
                        </a:stretch>
                      </pic:blipFill>
                      <pic:spPr>
                        <a:xfrm>
                          <a:off x="0" y="0"/>
                          <a:ext cx="439349" cy="548640"/>
                        </a:xfrm>
                        <a:prstGeom prst="rect"/>
                      </pic:spPr>
                    </pic:pic>
                  </a:graphicData>
                </a:graphic>
              </wp:inline>
            </w:drawing>
          </w:r>
        </w:p>
      </w:tc>
      <w:tc>
        <w:tcPr>
          <w:tcW w:type="dxa" w:w="4320"/>
          <w:vAlign w:val="center"/>
        </w:tcPr>
        <w:p>
          <w:pPr>
            <w:jc w:val="right"/>
          </w:pPr>
          <w:r>
            <w:drawing>
              <wp:inline xmlns:a="http://schemas.openxmlformats.org/drawingml/2006/main" xmlns:pic="http://schemas.openxmlformats.org/drawingml/2006/picture">
                <wp:extent cx="1371600" cy="312516"/>
                <wp:docPr id="2" name="Picture 2"/>
                <wp:cNvGraphicFramePr>
                  <a:graphicFrameLocks noChangeAspect="1"/>
                </wp:cNvGraphicFramePr>
                <a:graphic>
                  <a:graphicData uri="http://schemas.openxmlformats.org/drawingml/2006/picture">
                    <pic:pic>
                      <pic:nvPicPr>
                        <pic:cNvPr id="0" name="enfrasys-logo.jpg"/>
                        <pic:cNvPicPr/>
                      </pic:nvPicPr>
                      <pic:blipFill>
                        <a:blip r:embed="rId3"/>
                        <a:stretch>
                          <a:fillRect/>
                        </a:stretch>
                      </pic:blipFill>
                      <pic:spPr>
                        <a:xfrm>
                          <a:off x="0" y="0"/>
                          <a:ext cx="1371600" cy="312516"/>
                        </a:xfrm>
                        <a:prstGeom prst="rect"/>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C1B2A" w14:textId="45ADC26B" w:rsidR="001E68B0" w:rsidRDefault="001E68B0">
    <w:pPr>
      <w:pStyle w:val="Header"/>
    </w:pPr>
    <w:r>
      <w:ptab w:relativeTo="margin" w:alignment="center" w:leader="none"/>
    </w:r>
    <w:r>
      <w:ptab w:relativeTo="margin" w:alignment="right" w:leader="none"/>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3030A50"/>
    <w:multiLevelType w:val="hybridMultilevel"/>
    <w:tmpl w:val="B94C0EB4"/>
    <w:lvl w:ilvl="0" w:tplc="44090001">
      <w:start w:val="1"/>
      <w:numFmt w:val="bullet"/>
      <w:lvlText w:val=""/>
      <w:lvlJc w:val="left"/>
      <w:pPr>
        <w:ind w:hanging="360" w:left="360"/>
      </w:pPr>
      <w:rPr>
        <w:rFonts w:ascii="Symbol" w:hAnsi="Symbol" w:hint="default"/>
      </w:rPr>
    </w:lvl>
    <w:lvl w:ilvl="1" w:tentative="1" w:tplc="44090003">
      <w:start w:val="1"/>
      <w:numFmt w:val="bullet"/>
      <w:lvlText w:val="o"/>
      <w:lvlJc w:val="left"/>
      <w:pPr>
        <w:ind w:hanging="360" w:left="1080"/>
      </w:pPr>
      <w:rPr>
        <w:rFonts w:ascii="Courier New" w:cs="Courier New" w:hAnsi="Courier New" w:hint="default"/>
      </w:rPr>
    </w:lvl>
    <w:lvl w:ilvl="2" w:tentative="1" w:tplc="44090005">
      <w:start w:val="1"/>
      <w:numFmt w:val="bullet"/>
      <w:lvlText w:val=""/>
      <w:lvlJc w:val="left"/>
      <w:pPr>
        <w:ind w:hanging="360" w:left="1800"/>
      </w:pPr>
      <w:rPr>
        <w:rFonts w:ascii="Wingdings" w:hAnsi="Wingdings" w:hint="default"/>
      </w:rPr>
    </w:lvl>
    <w:lvl w:ilvl="3" w:tentative="1" w:tplc="44090001">
      <w:start w:val="1"/>
      <w:numFmt w:val="bullet"/>
      <w:lvlText w:val=""/>
      <w:lvlJc w:val="left"/>
      <w:pPr>
        <w:ind w:hanging="360" w:left="2520"/>
      </w:pPr>
      <w:rPr>
        <w:rFonts w:ascii="Symbol" w:hAnsi="Symbol" w:hint="default"/>
      </w:rPr>
    </w:lvl>
    <w:lvl w:ilvl="4" w:tentative="1" w:tplc="44090003">
      <w:start w:val="1"/>
      <w:numFmt w:val="bullet"/>
      <w:lvlText w:val="o"/>
      <w:lvlJc w:val="left"/>
      <w:pPr>
        <w:ind w:hanging="360" w:left="3240"/>
      </w:pPr>
      <w:rPr>
        <w:rFonts w:ascii="Courier New" w:cs="Courier New" w:hAnsi="Courier New" w:hint="default"/>
      </w:rPr>
    </w:lvl>
    <w:lvl w:ilvl="5" w:tentative="1" w:tplc="44090005">
      <w:start w:val="1"/>
      <w:numFmt w:val="bullet"/>
      <w:lvlText w:val=""/>
      <w:lvlJc w:val="left"/>
      <w:pPr>
        <w:ind w:hanging="360" w:left="3960"/>
      </w:pPr>
      <w:rPr>
        <w:rFonts w:ascii="Wingdings" w:hAnsi="Wingdings" w:hint="default"/>
      </w:rPr>
    </w:lvl>
    <w:lvl w:ilvl="6" w:tentative="1" w:tplc="44090001">
      <w:start w:val="1"/>
      <w:numFmt w:val="bullet"/>
      <w:lvlText w:val=""/>
      <w:lvlJc w:val="left"/>
      <w:pPr>
        <w:ind w:hanging="360" w:left="4680"/>
      </w:pPr>
      <w:rPr>
        <w:rFonts w:ascii="Symbol" w:hAnsi="Symbol" w:hint="default"/>
      </w:rPr>
    </w:lvl>
    <w:lvl w:ilvl="7" w:tentative="1" w:tplc="44090003">
      <w:start w:val="1"/>
      <w:numFmt w:val="bullet"/>
      <w:lvlText w:val="o"/>
      <w:lvlJc w:val="left"/>
      <w:pPr>
        <w:ind w:hanging="360" w:left="5400"/>
      </w:pPr>
      <w:rPr>
        <w:rFonts w:ascii="Courier New" w:cs="Courier New" w:hAnsi="Courier New" w:hint="default"/>
      </w:rPr>
    </w:lvl>
    <w:lvl w:ilvl="8" w:tentative="1" w:tplc="44090005">
      <w:start w:val="1"/>
      <w:numFmt w:val="bullet"/>
      <w:lvlText w:val=""/>
      <w:lvlJc w:val="left"/>
      <w:pPr>
        <w:ind w:hanging="360" w:left="6120"/>
      </w:pPr>
      <w:rPr>
        <w:rFonts w:ascii="Wingdings" w:hAnsi="Wingdings" w:hint="default"/>
      </w:rPr>
    </w:lvl>
  </w:abstractNum>
  <w:abstractNum w15:restartNumberingAfterBreak="0" w:abstractNumId="1">
    <w:nsid w:val="145E1599"/>
    <w:multiLevelType w:val="hybridMultilevel"/>
    <w:tmpl w:val="65223B84"/>
    <w:lvl w:ilvl="0" w:tplc="44090001">
      <w:start w:val="1"/>
      <w:numFmt w:val="bullet"/>
      <w:lvlText w:val=""/>
      <w:lvlJc w:val="left"/>
      <w:pPr>
        <w:ind w:hanging="360" w:left="360"/>
      </w:pPr>
      <w:rPr>
        <w:rFonts w:ascii="Symbol" w:hAnsi="Symbol" w:hint="default"/>
      </w:rPr>
    </w:lvl>
    <w:lvl w:ilvl="1" w:tentative="1" w:tplc="44090003">
      <w:start w:val="1"/>
      <w:numFmt w:val="bullet"/>
      <w:lvlText w:val="o"/>
      <w:lvlJc w:val="left"/>
      <w:pPr>
        <w:ind w:hanging="360" w:left="1080"/>
      </w:pPr>
      <w:rPr>
        <w:rFonts w:ascii="Courier New" w:cs="Courier New" w:hAnsi="Courier New" w:hint="default"/>
      </w:rPr>
    </w:lvl>
    <w:lvl w:ilvl="2" w:tentative="1" w:tplc="44090005">
      <w:start w:val="1"/>
      <w:numFmt w:val="bullet"/>
      <w:lvlText w:val=""/>
      <w:lvlJc w:val="left"/>
      <w:pPr>
        <w:ind w:hanging="360" w:left="1800"/>
      </w:pPr>
      <w:rPr>
        <w:rFonts w:ascii="Wingdings" w:hAnsi="Wingdings" w:hint="default"/>
      </w:rPr>
    </w:lvl>
    <w:lvl w:ilvl="3" w:tentative="1" w:tplc="44090001">
      <w:start w:val="1"/>
      <w:numFmt w:val="bullet"/>
      <w:lvlText w:val=""/>
      <w:lvlJc w:val="left"/>
      <w:pPr>
        <w:ind w:hanging="360" w:left="2520"/>
      </w:pPr>
      <w:rPr>
        <w:rFonts w:ascii="Symbol" w:hAnsi="Symbol" w:hint="default"/>
      </w:rPr>
    </w:lvl>
    <w:lvl w:ilvl="4" w:tentative="1" w:tplc="44090003">
      <w:start w:val="1"/>
      <w:numFmt w:val="bullet"/>
      <w:lvlText w:val="o"/>
      <w:lvlJc w:val="left"/>
      <w:pPr>
        <w:ind w:hanging="360" w:left="3240"/>
      </w:pPr>
      <w:rPr>
        <w:rFonts w:ascii="Courier New" w:cs="Courier New" w:hAnsi="Courier New" w:hint="default"/>
      </w:rPr>
    </w:lvl>
    <w:lvl w:ilvl="5" w:tentative="1" w:tplc="44090005">
      <w:start w:val="1"/>
      <w:numFmt w:val="bullet"/>
      <w:lvlText w:val=""/>
      <w:lvlJc w:val="left"/>
      <w:pPr>
        <w:ind w:hanging="360" w:left="3960"/>
      </w:pPr>
      <w:rPr>
        <w:rFonts w:ascii="Wingdings" w:hAnsi="Wingdings" w:hint="default"/>
      </w:rPr>
    </w:lvl>
    <w:lvl w:ilvl="6" w:tentative="1" w:tplc="44090001">
      <w:start w:val="1"/>
      <w:numFmt w:val="bullet"/>
      <w:lvlText w:val=""/>
      <w:lvlJc w:val="left"/>
      <w:pPr>
        <w:ind w:hanging="360" w:left="4680"/>
      </w:pPr>
      <w:rPr>
        <w:rFonts w:ascii="Symbol" w:hAnsi="Symbol" w:hint="default"/>
      </w:rPr>
    </w:lvl>
    <w:lvl w:ilvl="7" w:tentative="1" w:tplc="44090003">
      <w:start w:val="1"/>
      <w:numFmt w:val="bullet"/>
      <w:lvlText w:val="o"/>
      <w:lvlJc w:val="left"/>
      <w:pPr>
        <w:ind w:hanging="360" w:left="5400"/>
      </w:pPr>
      <w:rPr>
        <w:rFonts w:ascii="Courier New" w:cs="Courier New" w:hAnsi="Courier New" w:hint="default"/>
      </w:rPr>
    </w:lvl>
    <w:lvl w:ilvl="8" w:tentative="1" w:tplc="44090005">
      <w:start w:val="1"/>
      <w:numFmt w:val="bullet"/>
      <w:lvlText w:val=""/>
      <w:lvlJc w:val="left"/>
      <w:pPr>
        <w:ind w:hanging="360" w:left="6120"/>
      </w:pPr>
      <w:rPr>
        <w:rFonts w:ascii="Wingdings" w:hAnsi="Wingdings" w:hint="default"/>
      </w:rPr>
    </w:lvl>
  </w:abstractNum>
  <w:abstractNum w15:restartNumberingAfterBreak="0" w:abstractNumId="2">
    <w:nsid w:val="1EB414C1"/>
    <w:multiLevelType w:val="hybridMultilevel"/>
    <w:tmpl w:val="E4203A18"/>
    <w:lvl w:ilvl="0" w:tplc="44090017">
      <w:start w:val="1"/>
      <w:numFmt w:val="lowerLetter"/>
      <w:lvlText w:val="%1)"/>
      <w:lvlJc w:val="lef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3">
    <w:nsid w:val="31734DDB"/>
    <w:multiLevelType w:val="hybridMultilevel"/>
    <w:tmpl w:val="33BE5508"/>
    <w:lvl w:ilvl="0" w:tplc="44090001">
      <w:start w:val="1"/>
      <w:numFmt w:val="bullet"/>
      <w:lvlText w:val=""/>
      <w:lvlJc w:val="left"/>
      <w:pPr>
        <w:ind w:hanging="360" w:left="360"/>
      </w:pPr>
      <w:rPr>
        <w:rFonts w:ascii="Symbol" w:hAnsi="Symbol" w:hint="default"/>
      </w:rPr>
    </w:lvl>
    <w:lvl w:ilvl="1" w:tentative="1" w:tplc="44090003">
      <w:start w:val="1"/>
      <w:numFmt w:val="bullet"/>
      <w:lvlText w:val="o"/>
      <w:lvlJc w:val="left"/>
      <w:pPr>
        <w:ind w:hanging="360" w:left="1080"/>
      </w:pPr>
      <w:rPr>
        <w:rFonts w:ascii="Courier New" w:cs="Courier New" w:hAnsi="Courier New" w:hint="default"/>
      </w:rPr>
    </w:lvl>
    <w:lvl w:ilvl="2" w:tentative="1" w:tplc="44090005">
      <w:start w:val="1"/>
      <w:numFmt w:val="bullet"/>
      <w:lvlText w:val=""/>
      <w:lvlJc w:val="left"/>
      <w:pPr>
        <w:ind w:hanging="360" w:left="1800"/>
      </w:pPr>
      <w:rPr>
        <w:rFonts w:ascii="Wingdings" w:hAnsi="Wingdings" w:hint="default"/>
      </w:rPr>
    </w:lvl>
    <w:lvl w:ilvl="3" w:tentative="1" w:tplc="44090001">
      <w:start w:val="1"/>
      <w:numFmt w:val="bullet"/>
      <w:lvlText w:val=""/>
      <w:lvlJc w:val="left"/>
      <w:pPr>
        <w:ind w:hanging="360" w:left="2520"/>
      </w:pPr>
      <w:rPr>
        <w:rFonts w:ascii="Symbol" w:hAnsi="Symbol" w:hint="default"/>
      </w:rPr>
    </w:lvl>
    <w:lvl w:ilvl="4" w:tentative="1" w:tplc="44090003">
      <w:start w:val="1"/>
      <w:numFmt w:val="bullet"/>
      <w:lvlText w:val="o"/>
      <w:lvlJc w:val="left"/>
      <w:pPr>
        <w:ind w:hanging="360" w:left="3240"/>
      </w:pPr>
      <w:rPr>
        <w:rFonts w:ascii="Courier New" w:cs="Courier New" w:hAnsi="Courier New" w:hint="default"/>
      </w:rPr>
    </w:lvl>
    <w:lvl w:ilvl="5" w:tentative="1" w:tplc="44090005">
      <w:start w:val="1"/>
      <w:numFmt w:val="bullet"/>
      <w:lvlText w:val=""/>
      <w:lvlJc w:val="left"/>
      <w:pPr>
        <w:ind w:hanging="360" w:left="3960"/>
      </w:pPr>
      <w:rPr>
        <w:rFonts w:ascii="Wingdings" w:hAnsi="Wingdings" w:hint="default"/>
      </w:rPr>
    </w:lvl>
    <w:lvl w:ilvl="6" w:tentative="1" w:tplc="44090001">
      <w:start w:val="1"/>
      <w:numFmt w:val="bullet"/>
      <w:lvlText w:val=""/>
      <w:lvlJc w:val="left"/>
      <w:pPr>
        <w:ind w:hanging="360" w:left="4680"/>
      </w:pPr>
      <w:rPr>
        <w:rFonts w:ascii="Symbol" w:hAnsi="Symbol" w:hint="default"/>
      </w:rPr>
    </w:lvl>
    <w:lvl w:ilvl="7" w:tentative="1" w:tplc="44090003">
      <w:start w:val="1"/>
      <w:numFmt w:val="bullet"/>
      <w:lvlText w:val="o"/>
      <w:lvlJc w:val="left"/>
      <w:pPr>
        <w:ind w:hanging="360" w:left="5400"/>
      </w:pPr>
      <w:rPr>
        <w:rFonts w:ascii="Courier New" w:cs="Courier New" w:hAnsi="Courier New" w:hint="default"/>
      </w:rPr>
    </w:lvl>
    <w:lvl w:ilvl="8" w:tentative="1" w:tplc="44090005">
      <w:start w:val="1"/>
      <w:numFmt w:val="bullet"/>
      <w:lvlText w:val=""/>
      <w:lvlJc w:val="left"/>
      <w:pPr>
        <w:ind w:hanging="360" w:left="6120"/>
      </w:pPr>
      <w:rPr>
        <w:rFonts w:ascii="Wingdings" w:hAnsi="Wingdings" w:hint="default"/>
      </w:rPr>
    </w:lvl>
  </w:abstractNum>
  <w:abstractNum w15:restartNumberingAfterBreak="0" w:abstractNumId="4">
    <w:nsid w:val="34F2734A"/>
    <w:multiLevelType w:val="hybridMultilevel"/>
    <w:tmpl w:val="6240C13A"/>
    <w:lvl w:ilvl="0" w:tplc="4409000F">
      <w:start w:val="1"/>
      <w:numFmt w:val="decimal"/>
      <w:lvlText w:val="%1."/>
      <w:lvlJc w:val="left"/>
      <w:pPr>
        <w:ind w:hanging="360" w:left="1440"/>
      </w:pPr>
    </w:lvl>
    <w:lvl w:ilvl="1" w:tentative="1" w:tplc="44090019">
      <w:start w:val="1"/>
      <w:numFmt w:val="lowerLetter"/>
      <w:lvlText w:val="%2."/>
      <w:lvlJc w:val="left"/>
      <w:pPr>
        <w:ind w:hanging="360" w:left="2160"/>
      </w:pPr>
    </w:lvl>
    <w:lvl w:ilvl="2" w:tentative="1" w:tplc="4409001B">
      <w:start w:val="1"/>
      <w:numFmt w:val="lowerRoman"/>
      <w:lvlText w:val="%3."/>
      <w:lvlJc w:val="right"/>
      <w:pPr>
        <w:ind w:hanging="180" w:left="2880"/>
      </w:pPr>
    </w:lvl>
    <w:lvl w:ilvl="3" w:tentative="1" w:tplc="4409000F">
      <w:start w:val="1"/>
      <w:numFmt w:val="decimal"/>
      <w:lvlText w:val="%4."/>
      <w:lvlJc w:val="left"/>
      <w:pPr>
        <w:ind w:hanging="360" w:left="3600"/>
      </w:pPr>
    </w:lvl>
    <w:lvl w:ilvl="4" w:tentative="1" w:tplc="44090019">
      <w:start w:val="1"/>
      <w:numFmt w:val="lowerLetter"/>
      <w:lvlText w:val="%5."/>
      <w:lvlJc w:val="left"/>
      <w:pPr>
        <w:ind w:hanging="360" w:left="4320"/>
      </w:pPr>
    </w:lvl>
    <w:lvl w:ilvl="5" w:tentative="1" w:tplc="4409001B">
      <w:start w:val="1"/>
      <w:numFmt w:val="lowerRoman"/>
      <w:lvlText w:val="%6."/>
      <w:lvlJc w:val="right"/>
      <w:pPr>
        <w:ind w:hanging="180" w:left="5040"/>
      </w:pPr>
    </w:lvl>
    <w:lvl w:ilvl="6" w:tentative="1" w:tplc="4409000F">
      <w:start w:val="1"/>
      <w:numFmt w:val="decimal"/>
      <w:lvlText w:val="%7."/>
      <w:lvlJc w:val="left"/>
      <w:pPr>
        <w:ind w:hanging="360" w:left="5760"/>
      </w:pPr>
    </w:lvl>
    <w:lvl w:ilvl="7" w:tentative="1" w:tplc="44090019">
      <w:start w:val="1"/>
      <w:numFmt w:val="lowerLetter"/>
      <w:lvlText w:val="%8."/>
      <w:lvlJc w:val="left"/>
      <w:pPr>
        <w:ind w:hanging="360" w:left="6480"/>
      </w:pPr>
    </w:lvl>
    <w:lvl w:ilvl="8" w:tentative="1" w:tplc="4409001B">
      <w:start w:val="1"/>
      <w:numFmt w:val="lowerRoman"/>
      <w:lvlText w:val="%9."/>
      <w:lvlJc w:val="right"/>
      <w:pPr>
        <w:ind w:hanging="180" w:left="7200"/>
      </w:pPr>
    </w:lvl>
  </w:abstractNum>
  <w:abstractNum w15:restartNumberingAfterBreak="0" w:abstractNumId="5">
    <w:nsid w:val="3F461474"/>
    <w:multiLevelType w:val="hybridMultilevel"/>
    <w:tmpl w:val="98D2553E"/>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6">
    <w:nsid w:val="45A50406"/>
    <w:multiLevelType w:val="hybridMultilevel"/>
    <w:tmpl w:val="ED20958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7">
    <w:nsid w:val="5593427B"/>
    <w:multiLevelType w:val="hybridMultilevel"/>
    <w:tmpl w:val="72FCAAE4"/>
    <w:lvl w:ilvl="0" w:tplc="44090011">
      <w:start w:val="1"/>
      <w:numFmt w:val="decimal"/>
      <w:lvlText w:val="%1)"/>
      <w:lvlJc w:val="left"/>
      <w:pPr>
        <w:ind w:hanging="360" w:left="720"/>
      </w:pPr>
      <w:rPr>
        <w:rFonts w:hint="default"/>
      </w:r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8">
    <w:nsid w:val="57454A9C"/>
    <w:multiLevelType w:val="hybridMultilevel"/>
    <w:tmpl w:val="159085AC"/>
    <w:lvl w:ilvl="0" w:tplc="44090001">
      <w:start w:val="1"/>
      <w:numFmt w:val="bullet"/>
      <w:lvlText w:val=""/>
      <w:lvlJc w:val="left"/>
      <w:pPr>
        <w:ind w:hanging="360" w:left="360"/>
      </w:pPr>
      <w:rPr>
        <w:rFonts w:ascii="Symbol" w:hAnsi="Symbol" w:hint="default"/>
      </w:rPr>
    </w:lvl>
    <w:lvl w:ilvl="1" w:tentative="1" w:tplc="44090003">
      <w:start w:val="1"/>
      <w:numFmt w:val="bullet"/>
      <w:lvlText w:val="o"/>
      <w:lvlJc w:val="left"/>
      <w:pPr>
        <w:ind w:hanging="360" w:left="1080"/>
      </w:pPr>
      <w:rPr>
        <w:rFonts w:ascii="Courier New" w:cs="Courier New" w:hAnsi="Courier New" w:hint="default"/>
      </w:rPr>
    </w:lvl>
    <w:lvl w:ilvl="2" w:tentative="1" w:tplc="44090005">
      <w:start w:val="1"/>
      <w:numFmt w:val="bullet"/>
      <w:lvlText w:val=""/>
      <w:lvlJc w:val="left"/>
      <w:pPr>
        <w:ind w:hanging="360" w:left="1800"/>
      </w:pPr>
      <w:rPr>
        <w:rFonts w:ascii="Wingdings" w:hAnsi="Wingdings" w:hint="default"/>
      </w:rPr>
    </w:lvl>
    <w:lvl w:ilvl="3" w:tentative="1" w:tplc="44090001">
      <w:start w:val="1"/>
      <w:numFmt w:val="bullet"/>
      <w:lvlText w:val=""/>
      <w:lvlJc w:val="left"/>
      <w:pPr>
        <w:ind w:hanging="360" w:left="2520"/>
      </w:pPr>
      <w:rPr>
        <w:rFonts w:ascii="Symbol" w:hAnsi="Symbol" w:hint="default"/>
      </w:rPr>
    </w:lvl>
    <w:lvl w:ilvl="4" w:tentative="1" w:tplc="44090003">
      <w:start w:val="1"/>
      <w:numFmt w:val="bullet"/>
      <w:lvlText w:val="o"/>
      <w:lvlJc w:val="left"/>
      <w:pPr>
        <w:ind w:hanging="360" w:left="3240"/>
      </w:pPr>
      <w:rPr>
        <w:rFonts w:ascii="Courier New" w:cs="Courier New" w:hAnsi="Courier New" w:hint="default"/>
      </w:rPr>
    </w:lvl>
    <w:lvl w:ilvl="5" w:tentative="1" w:tplc="44090005">
      <w:start w:val="1"/>
      <w:numFmt w:val="bullet"/>
      <w:lvlText w:val=""/>
      <w:lvlJc w:val="left"/>
      <w:pPr>
        <w:ind w:hanging="360" w:left="3960"/>
      </w:pPr>
      <w:rPr>
        <w:rFonts w:ascii="Wingdings" w:hAnsi="Wingdings" w:hint="default"/>
      </w:rPr>
    </w:lvl>
    <w:lvl w:ilvl="6" w:tentative="1" w:tplc="44090001">
      <w:start w:val="1"/>
      <w:numFmt w:val="bullet"/>
      <w:lvlText w:val=""/>
      <w:lvlJc w:val="left"/>
      <w:pPr>
        <w:ind w:hanging="360" w:left="4680"/>
      </w:pPr>
      <w:rPr>
        <w:rFonts w:ascii="Symbol" w:hAnsi="Symbol" w:hint="default"/>
      </w:rPr>
    </w:lvl>
    <w:lvl w:ilvl="7" w:tentative="1" w:tplc="44090003">
      <w:start w:val="1"/>
      <w:numFmt w:val="bullet"/>
      <w:lvlText w:val="o"/>
      <w:lvlJc w:val="left"/>
      <w:pPr>
        <w:ind w:hanging="360" w:left="5400"/>
      </w:pPr>
      <w:rPr>
        <w:rFonts w:ascii="Courier New" w:cs="Courier New" w:hAnsi="Courier New" w:hint="default"/>
      </w:rPr>
    </w:lvl>
    <w:lvl w:ilvl="8" w:tentative="1" w:tplc="44090005">
      <w:start w:val="1"/>
      <w:numFmt w:val="bullet"/>
      <w:lvlText w:val=""/>
      <w:lvlJc w:val="left"/>
      <w:pPr>
        <w:ind w:hanging="360" w:left="6120"/>
      </w:pPr>
      <w:rPr>
        <w:rFonts w:ascii="Wingdings" w:hAnsi="Wingdings" w:hint="default"/>
      </w:rPr>
    </w:lvl>
  </w:abstractNum>
  <w:abstractNum w15:restartNumberingAfterBreak="0" w:abstractNumId="9">
    <w:nsid w:val="57F929E6"/>
    <w:multiLevelType w:val="hybridMultilevel"/>
    <w:tmpl w:val="358EDC7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0">
    <w:nsid w:val="5ABE6AB1"/>
    <w:multiLevelType w:val="hybridMultilevel"/>
    <w:tmpl w:val="C66244E2"/>
    <w:lvl w:ilvl="0" w:tplc="44090001">
      <w:start w:val="1"/>
      <w:numFmt w:val="bullet"/>
      <w:lvlText w:val=""/>
      <w:lvlJc w:val="left"/>
      <w:pPr>
        <w:ind w:hanging="360" w:left="360"/>
      </w:pPr>
      <w:rPr>
        <w:rFonts w:ascii="Symbol" w:hAnsi="Symbol" w:hint="default"/>
      </w:rPr>
    </w:lvl>
    <w:lvl w:ilvl="1" w:tentative="1" w:tplc="44090003">
      <w:start w:val="1"/>
      <w:numFmt w:val="bullet"/>
      <w:lvlText w:val="o"/>
      <w:lvlJc w:val="left"/>
      <w:pPr>
        <w:ind w:hanging="360" w:left="1080"/>
      </w:pPr>
      <w:rPr>
        <w:rFonts w:ascii="Courier New" w:cs="Courier New" w:hAnsi="Courier New" w:hint="default"/>
      </w:rPr>
    </w:lvl>
    <w:lvl w:ilvl="2" w:tentative="1" w:tplc="44090005">
      <w:start w:val="1"/>
      <w:numFmt w:val="bullet"/>
      <w:lvlText w:val=""/>
      <w:lvlJc w:val="left"/>
      <w:pPr>
        <w:ind w:hanging="360" w:left="1800"/>
      </w:pPr>
      <w:rPr>
        <w:rFonts w:ascii="Wingdings" w:hAnsi="Wingdings" w:hint="default"/>
      </w:rPr>
    </w:lvl>
    <w:lvl w:ilvl="3" w:tentative="1" w:tplc="44090001">
      <w:start w:val="1"/>
      <w:numFmt w:val="bullet"/>
      <w:lvlText w:val=""/>
      <w:lvlJc w:val="left"/>
      <w:pPr>
        <w:ind w:hanging="360" w:left="2520"/>
      </w:pPr>
      <w:rPr>
        <w:rFonts w:ascii="Symbol" w:hAnsi="Symbol" w:hint="default"/>
      </w:rPr>
    </w:lvl>
    <w:lvl w:ilvl="4" w:tentative="1" w:tplc="44090003">
      <w:start w:val="1"/>
      <w:numFmt w:val="bullet"/>
      <w:lvlText w:val="o"/>
      <w:lvlJc w:val="left"/>
      <w:pPr>
        <w:ind w:hanging="360" w:left="3240"/>
      </w:pPr>
      <w:rPr>
        <w:rFonts w:ascii="Courier New" w:cs="Courier New" w:hAnsi="Courier New" w:hint="default"/>
      </w:rPr>
    </w:lvl>
    <w:lvl w:ilvl="5" w:tentative="1" w:tplc="44090005">
      <w:start w:val="1"/>
      <w:numFmt w:val="bullet"/>
      <w:lvlText w:val=""/>
      <w:lvlJc w:val="left"/>
      <w:pPr>
        <w:ind w:hanging="360" w:left="3960"/>
      </w:pPr>
      <w:rPr>
        <w:rFonts w:ascii="Wingdings" w:hAnsi="Wingdings" w:hint="default"/>
      </w:rPr>
    </w:lvl>
    <w:lvl w:ilvl="6" w:tentative="1" w:tplc="44090001">
      <w:start w:val="1"/>
      <w:numFmt w:val="bullet"/>
      <w:lvlText w:val=""/>
      <w:lvlJc w:val="left"/>
      <w:pPr>
        <w:ind w:hanging="360" w:left="4680"/>
      </w:pPr>
      <w:rPr>
        <w:rFonts w:ascii="Symbol" w:hAnsi="Symbol" w:hint="default"/>
      </w:rPr>
    </w:lvl>
    <w:lvl w:ilvl="7" w:tentative="1" w:tplc="44090003">
      <w:start w:val="1"/>
      <w:numFmt w:val="bullet"/>
      <w:lvlText w:val="o"/>
      <w:lvlJc w:val="left"/>
      <w:pPr>
        <w:ind w:hanging="360" w:left="5400"/>
      </w:pPr>
      <w:rPr>
        <w:rFonts w:ascii="Courier New" w:cs="Courier New" w:hAnsi="Courier New" w:hint="default"/>
      </w:rPr>
    </w:lvl>
    <w:lvl w:ilvl="8" w:tentative="1" w:tplc="44090005">
      <w:start w:val="1"/>
      <w:numFmt w:val="bullet"/>
      <w:lvlText w:val=""/>
      <w:lvlJc w:val="left"/>
      <w:pPr>
        <w:ind w:hanging="360" w:left="6120"/>
      </w:pPr>
      <w:rPr>
        <w:rFonts w:ascii="Wingdings" w:hAnsi="Wingdings" w:hint="default"/>
      </w:rPr>
    </w:lvl>
  </w:abstractNum>
  <w:abstractNum w15:restartNumberingAfterBreak="0" w:abstractNumId="11">
    <w:nsid w:val="5D303F1F"/>
    <w:multiLevelType w:val="hybridMultilevel"/>
    <w:tmpl w:val="AA9A4230"/>
    <w:lvl w:ilvl="0" w:tplc="44090001">
      <w:start w:val="1"/>
      <w:numFmt w:val="bullet"/>
      <w:lvlText w:val=""/>
      <w:lvlJc w:val="left"/>
      <w:pPr>
        <w:ind w:hanging="360" w:left="360"/>
      </w:pPr>
      <w:rPr>
        <w:rFonts w:ascii="Symbol" w:hAnsi="Symbol" w:hint="default"/>
      </w:rPr>
    </w:lvl>
    <w:lvl w:ilvl="1" w:tentative="1" w:tplc="44090003">
      <w:start w:val="1"/>
      <w:numFmt w:val="bullet"/>
      <w:lvlText w:val="o"/>
      <w:lvlJc w:val="left"/>
      <w:pPr>
        <w:ind w:hanging="360" w:left="1080"/>
      </w:pPr>
      <w:rPr>
        <w:rFonts w:ascii="Courier New" w:cs="Courier New" w:hAnsi="Courier New" w:hint="default"/>
      </w:rPr>
    </w:lvl>
    <w:lvl w:ilvl="2" w:tentative="1" w:tplc="44090005">
      <w:start w:val="1"/>
      <w:numFmt w:val="bullet"/>
      <w:lvlText w:val=""/>
      <w:lvlJc w:val="left"/>
      <w:pPr>
        <w:ind w:hanging="360" w:left="1800"/>
      </w:pPr>
      <w:rPr>
        <w:rFonts w:ascii="Wingdings" w:hAnsi="Wingdings" w:hint="default"/>
      </w:rPr>
    </w:lvl>
    <w:lvl w:ilvl="3" w:tentative="1" w:tplc="44090001">
      <w:start w:val="1"/>
      <w:numFmt w:val="bullet"/>
      <w:lvlText w:val=""/>
      <w:lvlJc w:val="left"/>
      <w:pPr>
        <w:ind w:hanging="360" w:left="2520"/>
      </w:pPr>
      <w:rPr>
        <w:rFonts w:ascii="Symbol" w:hAnsi="Symbol" w:hint="default"/>
      </w:rPr>
    </w:lvl>
    <w:lvl w:ilvl="4" w:tentative="1" w:tplc="44090003">
      <w:start w:val="1"/>
      <w:numFmt w:val="bullet"/>
      <w:lvlText w:val="o"/>
      <w:lvlJc w:val="left"/>
      <w:pPr>
        <w:ind w:hanging="360" w:left="3240"/>
      </w:pPr>
      <w:rPr>
        <w:rFonts w:ascii="Courier New" w:cs="Courier New" w:hAnsi="Courier New" w:hint="default"/>
      </w:rPr>
    </w:lvl>
    <w:lvl w:ilvl="5" w:tentative="1" w:tplc="44090005">
      <w:start w:val="1"/>
      <w:numFmt w:val="bullet"/>
      <w:lvlText w:val=""/>
      <w:lvlJc w:val="left"/>
      <w:pPr>
        <w:ind w:hanging="360" w:left="3960"/>
      </w:pPr>
      <w:rPr>
        <w:rFonts w:ascii="Wingdings" w:hAnsi="Wingdings" w:hint="default"/>
      </w:rPr>
    </w:lvl>
    <w:lvl w:ilvl="6" w:tentative="1" w:tplc="44090001">
      <w:start w:val="1"/>
      <w:numFmt w:val="bullet"/>
      <w:lvlText w:val=""/>
      <w:lvlJc w:val="left"/>
      <w:pPr>
        <w:ind w:hanging="360" w:left="4680"/>
      </w:pPr>
      <w:rPr>
        <w:rFonts w:ascii="Symbol" w:hAnsi="Symbol" w:hint="default"/>
      </w:rPr>
    </w:lvl>
    <w:lvl w:ilvl="7" w:tentative="1" w:tplc="44090003">
      <w:start w:val="1"/>
      <w:numFmt w:val="bullet"/>
      <w:lvlText w:val="o"/>
      <w:lvlJc w:val="left"/>
      <w:pPr>
        <w:ind w:hanging="360" w:left="5400"/>
      </w:pPr>
      <w:rPr>
        <w:rFonts w:ascii="Courier New" w:cs="Courier New" w:hAnsi="Courier New" w:hint="default"/>
      </w:rPr>
    </w:lvl>
    <w:lvl w:ilvl="8" w:tentative="1" w:tplc="44090005">
      <w:start w:val="1"/>
      <w:numFmt w:val="bullet"/>
      <w:lvlText w:val=""/>
      <w:lvlJc w:val="left"/>
      <w:pPr>
        <w:ind w:hanging="360" w:left="6120"/>
      </w:pPr>
      <w:rPr>
        <w:rFonts w:ascii="Wingdings" w:hAnsi="Wingdings" w:hint="default"/>
      </w:rPr>
    </w:lvl>
  </w:abstractNum>
  <w:abstractNum w15:restartNumberingAfterBreak="0" w:abstractNumId="12">
    <w:nsid w:val="60741FE3"/>
    <w:multiLevelType w:val="multilevel"/>
    <w:tmpl w:val="804C42A6"/>
    <w:lvl w:ilvl="0">
      <w:start w:val="1"/>
      <w:numFmt w:val="decimal"/>
      <w:lvlText w:val="%1"/>
      <w:lvlJc w:val="left"/>
      <w:pPr>
        <w:ind w:hanging="360" w:left="360"/>
      </w:pPr>
      <w:rPr>
        <w:rFonts w:hint="default"/>
      </w:rPr>
    </w:lvl>
    <w:lvl w:ilvl="1">
      <w:start w:val="1"/>
      <w:numFmt w:val="decimal"/>
      <w:isLgl/>
      <w:lvlText w:val="%1.%2"/>
      <w:lvlJc w:val="left"/>
      <w:pPr>
        <w:ind w:hanging="720" w:left="720"/>
      </w:pPr>
      <w:rPr>
        <w:rFonts w:hint="default"/>
        <w:sz w:val="28"/>
        <w:szCs w:val="28"/>
      </w:rPr>
    </w:lvl>
    <w:lvl w:ilvl="2">
      <w:start w:val="1"/>
      <w:numFmt w:val="decimal"/>
      <w:isLgl/>
      <w:lvlText w:val="%1.%2.%3."/>
      <w:lvlJc w:val="left"/>
      <w:pPr>
        <w:ind w:hanging="720" w:left="720"/>
      </w:pPr>
      <w:rPr>
        <w:rFonts w:hint="default"/>
        <w:sz w:val="24"/>
        <w:szCs w:val="24"/>
      </w:rPr>
    </w:lvl>
    <w:lvl w:ilvl="3">
      <w:start w:val="1"/>
      <w:numFmt w:val="decimal"/>
      <w:isLgl/>
      <w:lvlText w:val="%1.%2.%3.%4."/>
      <w:lvlJc w:val="left"/>
      <w:pPr>
        <w:ind w:hanging="1080" w:left="1080"/>
      </w:pPr>
      <w:rPr>
        <w:rFonts w:hint="default"/>
        <w:sz w:val="22"/>
        <w:szCs w:val="22"/>
      </w:rPr>
    </w:lvl>
    <w:lvl w:ilvl="4">
      <w:start w:val="1"/>
      <w:numFmt w:val="decimal"/>
      <w:isLgl/>
      <w:lvlText w:val="%1.%2.%3.%4.%5."/>
      <w:lvlJc w:val="left"/>
      <w:pPr>
        <w:ind w:hanging="1440" w:left="1440"/>
      </w:pPr>
      <w:rPr>
        <w:rFonts w:hint="default"/>
      </w:rPr>
    </w:lvl>
    <w:lvl w:ilvl="5">
      <w:start w:val="1"/>
      <w:numFmt w:val="decimal"/>
      <w:isLgl/>
      <w:lvlText w:val="%1.%2.%3.%4.%5.%6."/>
      <w:lvlJc w:val="left"/>
      <w:pPr>
        <w:ind w:hanging="1440" w:left="1440"/>
      </w:pPr>
      <w:rPr>
        <w:rFonts w:hint="default"/>
      </w:rPr>
    </w:lvl>
    <w:lvl w:ilvl="6">
      <w:start w:val="1"/>
      <w:numFmt w:val="decimal"/>
      <w:isLgl/>
      <w:lvlText w:val="%1.%2.%3.%4.%5.%6.%7."/>
      <w:lvlJc w:val="left"/>
      <w:pPr>
        <w:ind w:hanging="1800" w:left="1800"/>
      </w:pPr>
      <w:rPr>
        <w:rFonts w:hint="default"/>
      </w:rPr>
    </w:lvl>
    <w:lvl w:ilvl="7">
      <w:start w:val="1"/>
      <w:numFmt w:val="decimal"/>
      <w:isLgl/>
      <w:lvlText w:val="%1.%2.%3.%4.%5.%6.%7.%8."/>
      <w:lvlJc w:val="left"/>
      <w:pPr>
        <w:ind w:hanging="2160" w:left="2160"/>
      </w:pPr>
      <w:rPr>
        <w:rFonts w:hint="default"/>
      </w:rPr>
    </w:lvl>
    <w:lvl w:ilvl="8">
      <w:start w:val="1"/>
      <w:numFmt w:val="decimal"/>
      <w:isLgl/>
      <w:lvlText w:val="%1.%2.%3.%4.%5.%6.%7.%8.%9."/>
      <w:lvlJc w:val="left"/>
      <w:pPr>
        <w:ind w:hanging="2160" w:left="2160"/>
      </w:pPr>
      <w:rPr>
        <w:rFonts w:hint="default"/>
      </w:rPr>
    </w:lvl>
  </w:abstractNum>
  <w:abstractNum w15:restartNumberingAfterBreak="0" w:abstractNumId="13">
    <w:nsid w:val="61B1156A"/>
    <w:multiLevelType w:val="hybridMultilevel"/>
    <w:tmpl w:val="8FB0D5C8"/>
    <w:lvl w:ilvl="0" w:tplc="44090001">
      <w:start w:val="1"/>
      <w:numFmt w:val="bullet"/>
      <w:lvlText w:val=""/>
      <w:lvlJc w:val="left"/>
      <w:pPr>
        <w:ind w:hanging="360" w:left="720"/>
      </w:pPr>
      <w:rPr>
        <w:rFonts w:ascii="Symbol" w:hAnsi="Symbol" w:hint="default"/>
      </w:rPr>
    </w:lvl>
    <w:lvl w:ilvl="1" w:tentative="1" w:tplc="44090003">
      <w:start w:val="1"/>
      <w:numFmt w:val="bullet"/>
      <w:lvlText w:val="o"/>
      <w:lvlJc w:val="left"/>
      <w:pPr>
        <w:ind w:hanging="360" w:left="1440"/>
      </w:pPr>
      <w:rPr>
        <w:rFonts w:ascii="Courier New" w:cs="Courier New" w:hAnsi="Courier New" w:hint="default"/>
      </w:rPr>
    </w:lvl>
    <w:lvl w:ilvl="2" w:tentative="1" w:tplc="44090005">
      <w:start w:val="1"/>
      <w:numFmt w:val="bullet"/>
      <w:lvlText w:val=""/>
      <w:lvlJc w:val="left"/>
      <w:pPr>
        <w:ind w:hanging="360" w:left="2160"/>
      </w:pPr>
      <w:rPr>
        <w:rFonts w:ascii="Wingdings" w:hAnsi="Wingdings" w:hint="default"/>
      </w:rPr>
    </w:lvl>
    <w:lvl w:ilvl="3" w:tentative="1" w:tplc="44090001">
      <w:start w:val="1"/>
      <w:numFmt w:val="bullet"/>
      <w:lvlText w:val=""/>
      <w:lvlJc w:val="left"/>
      <w:pPr>
        <w:ind w:hanging="360" w:left="2880"/>
      </w:pPr>
      <w:rPr>
        <w:rFonts w:ascii="Symbol" w:hAnsi="Symbol" w:hint="default"/>
      </w:rPr>
    </w:lvl>
    <w:lvl w:ilvl="4" w:tentative="1" w:tplc="44090003">
      <w:start w:val="1"/>
      <w:numFmt w:val="bullet"/>
      <w:lvlText w:val="o"/>
      <w:lvlJc w:val="left"/>
      <w:pPr>
        <w:ind w:hanging="360" w:left="3600"/>
      </w:pPr>
      <w:rPr>
        <w:rFonts w:ascii="Courier New" w:cs="Courier New" w:hAnsi="Courier New" w:hint="default"/>
      </w:rPr>
    </w:lvl>
    <w:lvl w:ilvl="5" w:tentative="1" w:tplc="44090005">
      <w:start w:val="1"/>
      <w:numFmt w:val="bullet"/>
      <w:lvlText w:val=""/>
      <w:lvlJc w:val="left"/>
      <w:pPr>
        <w:ind w:hanging="360" w:left="4320"/>
      </w:pPr>
      <w:rPr>
        <w:rFonts w:ascii="Wingdings" w:hAnsi="Wingdings" w:hint="default"/>
      </w:rPr>
    </w:lvl>
    <w:lvl w:ilvl="6" w:tentative="1" w:tplc="44090001">
      <w:start w:val="1"/>
      <w:numFmt w:val="bullet"/>
      <w:lvlText w:val=""/>
      <w:lvlJc w:val="left"/>
      <w:pPr>
        <w:ind w:hanging="360" w:left="5040"/>
      </w:pPr>
      <w:rPr>
        <w:rFonts w:ascii="Symbol" w:hAnsi="Symbol" w:hint="default"/>
      </w:rPr>
    </w:lvl>
    <w:lvl w:ilvl="7" w:tentative="1" w:tplc="44090003">
      <w:start w:val="1"/>
      <w:numFmt w:val="bullet"/>
      <w:lvlText w:val="o"/>
      <w:lvlJc w:val="left"/>
      <w:pPr>
        <w:ind w:hanging="360" w:left="5760"/>
      </w:pPr>
      <w:rPr>
        <w:rFonts w:ascii="Courier New" w:cs="Courier New" w:hAnsi="Courier New" w:hint="default"/>
      </w:rPr>
    </w:lvl>
    <w:lvl w:ilvl="8" w:tentative="1" w:tplc="44090005">
      <w:start w:val="1"/>
      <w:numFmt w:val="bullet"/>
      <w:lvlText w:val=""/>
      <w:lvlJc w:val="left"/>
      <w:pPr>
        <w:ind w:hanging="360" w:left="6480"/>
      </w:pPr>
      <w:rPr>
        <w:rFonts w:ascii="Wingdings" w:hAnsi="Wingdings" w:hint="default"/>
      </w:rPr>
    </w:lvl>
  </w:abstractNum>
  <w:abstractNum w15:restartNumberingAfterBreak="0" w:abstractNumId="14">
    <w:nsid w:val="620D6B55"/>
    <w:multiLevelType w:val="hybridMultilevel"/>
    <w:tmpl w:val="EB60673C"/>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5">
    <w:nsid w:val="63BA21CC"/>
    <w:multiLevelType w:val="hybridMultilevel"/>
    <w:tmpl w:val="ABD202A6"/>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6">
    <w:nsid w:val="6690742A"/>
    <w:multiLevelType w:val="hybridMultilevel"/>
    <w:tmpl w:val="6EE6D130"/>
    <w:lvl w:ilvl="0" w:tplc="44090001">
      <w:start w:val="1"/>
      <w:numFmt w:val="bullet"/>
      <w:lvlText w:val=""/>
      <w:lvlJc w:val="left"/>
      <w:pPr>
        <w:ind w:hanging="360" w:left="720"/>
      </w:pPr>
      <w:rPr>
        <w:rFonts w:ascii="Symbol" w:hAnsi="Symbol" w:hint="default"/>
      </w:rPr>
    </w:lvl>
    <w:lvl w:ilvl="1" w:tentative="1" w:tplc="44090003">
      <w:start w:val="1"/>
      <w:numFmt w:val="bullet"/>
      <w:lvlText w:val="o"/>
      <w:lvlJc w:val="left"/>
      <w:pPr>
        <w:ind w:hanging="360" w:left="1440"/>
      </w:pPr>
      <w:rPr>
        <w:rFonts w:ascii="Courier New" w:cs="Courier New" w:hAnsi="Courier New" w:hint="default"/>
      </w:rPr>
    </w:lvl>
    <w:lvl w:ilvl="2" w:tentative="1" w:tplc="44090005">
      <w:start w:val="1"/>
      <w:numFmt w:val="bullet"/>
      <w:lvlText w:val=""/>
      <w:lvlJc w:val="left"/>
      <w:pPr>
        <w:ind w:hanging="360" w:left="2160"/>
      </w:pPr>
      <w:rPr>
        <w:rFonts w:ascii="Wingdings" w:hAnsi="Wingdings" w:hint="default"/>
      </w:rPr>
    </w:lvl>
    <w:lvl w:ilvl="3" w:tentative="1" w:tplc="44090001">
      <w:start w:val="1"/>
      <w:numFmt w:val="bullet"/>
      <w:lvlText w:val=""/>
      <w:lvlJc w:val="left"/>
      <w:pPr>
        <w:ind w:hanging="360" w:left="2880"/>
      </w:pPr>
      <w:rPr>
        <w:rFonts w:ascii="Symbol" w:hAnsi="Symbol" w:hint="default"/>
      </w:rPr>
    </w:lvl>
    <w:lvl w:ilvl="4" w:tentative="1" w:tplc="44090003">
      <w:start w:val="1"/>
      <w:numFmt w:val="bullet"/>
      <w:lvlText w:val="o"/>
      <w:lvlJc w:val="left"/>
      <w:pPr>
        <w:ind w:hanging="360" w:left="3600"/>
      </w:pPr>
      <w:rPr>
        <w:rFonts w:ascii="Courier New" w:cs="Courier New" w:hAnsi="Courier New" w:hint="default"/>
      </w:rPr>
    </w:lvl>
    <w:lvl w:ilvl="5" w:tentative="1" w:tplc="44090005">
      <w:start w:val="1"/>
      <w:numFmt w:val="bullet"/>
      <w:lvlText w:val=""/>
      <w:lvlJc w:val="left"/>
      <w:pPr>
        <w:ind w:hanging="360" w:left="4320"/>
      </w:pPr>
      <w:rPr>
        <w:rFonts w:ascii="Wingdings" w:hAnsi="Wingdings" w:hint="default"/>
      </w:rPr>
    </w:lvl>
    <w:lvl w:ilvl="6" w:tentative="1" w:tplc="44090001">
      <w:start w:val="1"/>
      <w:numFmt w:val="bullet"/>
      <w:lvlText w:val=""/>
      <w:lvlJc w:val="left"/>
      <w:pPr>
        <w:ind w:hanging="360" w:left="5040"/>
      </w:pPr>
      <w:rPr>
        <w:rFonts w:ascii="Symbol" w:hAnsi="Symbol" w:hint="default"/>
      </w:rPr>
    </w:lvl>
    <w:lvl w:ilvl="7" w:tentative="1" w:tplc="44090003">
      <w:start w:val="1"/>
      <w:numFmt w:val="bullet"/>
      <w:lvlText w:val="o"/>
      <w:lvlJc w:val="left"/>
      <w:pPr>
        <w:ind w:hanging="360" w:left="5760"/>
      </w:pPr>
      <w:rPr>
        <w:rFonts w:ascii="Courier New" w:cs="Courier New" w:hAnsi="Courier New" w:hint="default"/>
      </w:rPr>
    </w:lvl>
    <w:lvl w:ilvl="8" w:tentative="1" w:tplc="44090005">
      <w:start w:val="1"/>
      <w:numFmt w:val="bullet"/>
      <w:lvlText w:val=""/>
      <w:lvlJc w:val="left"/>
      <w:pPr>
        <w:ind w:hanging="360" w:left="6480"/>
      </w:pPr>
      <w:rPr>
        <w:rFonts w:ascii="Wingdings" w:hAnsi="Wingdings" w:hint="default"/>
      </w:rPr>
    </w:lvl>
  </w:abstractNum>
  <w:abstractNum w15:restartNumberingAfterBreak="0" w:abstractNumId="17">
    <w:nsid w:val="67190061"/>
    <w:multiLevelType w:val="hybridMultilevel"/>
    <w:tmpl w:val="52F4BD80"/>
    <w:lvl w:ilvl="0" w:tplc="44090001">
      <w:start w:val="1"/>
      <w:numFmt w:val="bullet"/>
      <w:lvlText w:val=""/>
      <w:lvlJc w:val="left"/>
      <w:pPr>
        <w:ind w:hanging="360" w:left="360"/>
      </w:pPr>
      <w:rPr>
        <w:rFonts w:ascii="Symbol" w:hAnsi="Symbol" w:hint="default"/>
      </w:rPr>
    </w:lvl>
    <w:lvl w:ilvl="1" w:tentative="1" w:tplc="44090003">
      <w:start w:val="1"/>
      <w:numFmt w:val="bullet"/>
      <w:lvlText w:val="o"/>
      <w:lvlJc w:val="left"/>
      <w:pPr>
        <w:ind w:hanging="360" w:left="1080"/>
      </w:pPr>
      <w:rPr>
        <w:rFonts w:ascii="Courier New" w:cs="Courier New" w:hAnsi="Courier New" w:hint="default"/>
      </w:rPr>
    </w:lvl>
    <w:lvl w:ilvl="2" w:tentative="1" w:tplc="44090005">
      <w:start w:val="1"/>
      <w:numFmt w:val="bullet"/>
      <w:lvlText w:val=""/>
      <w:lvlJc w:val="left"/>
      <w:pPr>
        <w:ind w:hanging="360" w:left="1800"/>
      </w:pPr>
      <w:rPr>
        <w:rFonts w:ascii="Wingdings" w:hAnsi="Wingdings" w:hint="default"/>
      </w:rPr>
    </w:lvl>
    <w:lvl w:ilvl="3" w:tentative="1" w:tplc="44090001">
      <w:start w:val="1"/>
      <w:numFmt w:val="bullet"/>
      <w:lvlText w:val=""/>
      <w:lvlJc w:val="left"/>
      <w:pPr>
        <w:ind w:hanging="360" w:left="2520"/>
      </w:pPr>
      <w:rPr>
        <w:rFonts w:ascii="Symbol" w:hAnsi="Symbol" w:hint="default"/>
      </w:rPr>
    </w:lvl>
    <w:lvl w:ilvl="4" w:tentative="1" w:tplc="44090003">
      <w:start w:val="1"/>
      <w:numFmt w:val="bullet"/>
      <w:lvlText w:val="o"/>
      <w:lvlJc w:val="left"/>
      <w:pPr>
        <w:ind w:hanging="360" w:left="3240"/>
      </w:pPr>
      <w:rPr>
        <w:rFonts w:ascii="Courier New" w:cs="Courier New" w:hAnsi="Courier New" w:hint="default"/>
      </w:rPr>
    </w:lvl>
    <w:lvl w:ilvl="5" w:tentative="1" w:tplc="44090005">
      <w:start w:val="1"/>
      <w:numFmt w:val="bullet"/>
      <w:lvlText w:val=""/>
      <w:lvlJc w:val="left"/>
      <w:pPr>
        <w:ind w:hanging="360" w:left="3960"/>
      </w:pPr>
      <w:rPr>
        <w:rFonts w:ascii="Wingdings" w:hAnsi="Wingdings" w:hint="default"/>
      </w:rPr>
    </w:lvl>
    <w:lvl w:ilvl="6" w:tentative="1" w:tplc="44090001">
      <w:start w:val="1"/>
      <w:numFmt w:val="bullet"/>
      <w:lvlText w:val=""/>
      <w:lvlJc w:val="left"/>
      <w:pPr>
        <w:ind w:hanging="360" w:left="4680"/>
      </w:pPr>
      <w:rPr>
        <w:rFonts w:ascii="Symbol" w:hAnsi="Symbol" w:hint="default"/>
      </w:rPr>
    </w:lvl>
    <w:lvl w:ilvl="7" w:tentative="1" w:tplc="44090003">
      <w:start w:val="1"/>
      <w:numFmt w:val="bullet"/>
      <w:lvlText w:val="o"/>
      <w:lvlJc w:val="left"/>
      <w:pPr>
        <w:ind w:hanging="360" w:left="5400"/>
      </w:pPr>
      <w:rPr>
        <w:rFonts w:ascii="Courier New" w:cs="Courier New" w:hAnsi="Courier New" w:hint="default"/>
      </w:rPr>
    </w:lvl>
    <w:lvl w:ilvl="8" w:tentative="1" w:tplc="44090005">
      <w:start w:val="1"/>
      <w:numFmt w:val="bullet"/>
      <w:lvlText w:val=""/>
      <w:lvlJc w:val="left"/>
      <w:pPr>
        <w:ind w:hanging="360" w:left="6120"/>
      </w:pPr>
      <w:rPr>
        <w:rFonts w:ascii="Wingdings" w:hAnsi="Wingdings" w:hint="default"/>
      </w:rPr>
    </w:lvl>
  </w:abstractNum>
  <w:abstractNum w15:restartNumberingAfterBreak="0" w:abstractNumId="18">
    <w:nsid w:val="6807EAC5"/>
    <w:multiLevelType w:val="hybridMultilevel"/>
    <w:tmpl w:val="965A872C"/>
    <w:lvl w:ilvl="0" w:tplc="7090C910">
      <w:start w:val="1"/>
      <w:numFmt w:val="bullet"/>
      <w:lvlText w:val=""/>
      <w:lvlJc w:val="left"/>
      <w:pPr>
        <w:ind w:hanging="360" w:left="1080"/>
      </w:pPr>
      <w:rPr>
        <w:rFonts w:ascii="Symbol" w:hAnsi="Symbol" w:hint="default"/>
      </w:rPr>
    </w:lvl>
    <w:lvl w:ilvl="1" w:tplc="FB0C8706">
      <w:start w:val="1"/>
      <w:numFmt w:val="bullet"/>
      <w:lvlText w:val="o"/>
      <w:lvlJc w:val="left"/>
      <w:pPr>
        <w:ind w:hanging="360" w:left="1800"/>
      </w:pPr>
      <w:rPr>
        <w:rFonts w:ascii="Courier New" w:hAnsi="Courier New" w:hint="default"/>
      </w:rPr>
    </w:lvl>
    <w:lvl w:ilvl="2" w:tplc="7DF83770">
      <w:start w:val="1"/>
      <w:numFmt w:val="bullet"/>
      <w:lvlText w:val=""/>
      <w:lvlJc w:val="left"/>
      <w:pPr>
        <w:ind w:hanging="360" w:left="2520"/>
      </w:pPr>
      <w:rPr>
        <w:rFonts w:ascii="Wingdings" w:hAnsi="Wingdings" w:hint="default"/>
      </w:rPr>
    </w:lvl>
    <w:lvl w:ilvl="3" w:tplc="1F4AD30E">
      <w:start w:val="1"/>
      <w:numFmt w:val="bullet"/>
      <w:lvlText w:val=""/>
      <w:lvlJc w:val="left"/>
      <w:pPr>
        <w:ind w:hanging="360" w:left="3240"/>
      </w:pPr>
      <w:rPr>
        <w:rFonts w:ascii="Symbol" w:hAnsi="Symbol" w:hint="default"/>
      </w:rPr>
    </w:lvl>
    <w:lvl w:ilvl="4" w:tplc="48C62D56">
      <w:start w:val="1"/>
      <w:numFmt w:val="bullet"/>
      <w:lvlText w:val="o"/>
      <w:lvlJc w:val="left"/>
      <w:pPr>
        <w:ind w:hanging="360" w:left="3960"/>
      </w:pPr>
      <w:rPr>
        <w:rFonts w:ascii="Courier New" w:hAnsi="Courier New" w:hint="default"/>
      </w:rPr>
    </w:lvl>
    <w:lvl w:ilvl="5" w:tplc="B1688F82">
      <w:start w:val="1"/>
      <w:numFmt w:val="bullet"/>
      <w:lvlText w:val=""/>
      <w:lvlJc w:val="left"/>
      <w:pPr>
        <w:ind w:hanging="360" w:left="4680"/>
      </w:pPr>
      <w:rPr>
        <w:rFonts w:ascii="Wingdings" w:hAnsi="Wingdings" w:hint="default"/>
      </w:rPr>
    </w:lvl>
    <w:lvl w:ilvl="6" w:tplc="EDFA2B0C">
      <w:start w:val="1"/>
      <w:numFmt w:val="bullet"/>
      <w:lvlText w:val=""/>
      <w:lvlJc w:val="left"/>
      <w:pPr>
        <w:ind w:hanging="360" w:left="5400"/>
      </w:pPr>
      <w:rPr>
        <w:rFonts w:ascii="Symbol" w:hAnsi="Symbol" w:hint="default"/>
      </w:rPr>
    </w:lvl>
    <w:lvl w:ilvl="7" w:tplc="BE9E4D2A">
      <w:start w:val="1"/>
      <w:numFmt w:val="bullet"/>
      <w:lvlText w:val="o"/>
      <w:lvlJc w:val="left"/>
      <w:pPr>
        <w:ind w:hanging="360" w:left="6120"/>
      </w:pPr>
      <w:rPr>
        <w:rFonts w:ascii="Courier New" w:hAnsi="Courier New" w:hint="default"/>
      </w:rPr>
    </w:lvl>
    <w:lvl w:ilvl="8" w:tplc="9D5C7616">
      <w:start w:val="1"/>
      <w:numFmt w:val="bullet"/>
      <w:lvlText w:val=""/>
      <w:lvlJc w:val="left"/>
      <w:pPr>
        <w:ind w:hanging="360" w:left="6840"/>
      </w:pPr>
      <w:rPr>
        <w:rFonts w:ascii="Wingdings" w:hAnsi="Wingdings" w:hint="default"/>
      </w:rPr>
    </w:lvl>
  </w:abstractNum>
  <w:abstractNum w15:restartNumberingAfterBreak="0" w:abstractNumId="19">
    <w:nsid w:val="6B691A91"/>
    <w:multiLevelType w:val="hybridMultilevel"/>
    <w:tmpl w:val="FFFFFFFF"/>
    <w:lvl w:ilvl="0" w:tplc="632881C2">
      <w:start w:val="1"/>
      <w:numFmt w:val="bullet"/>
      <w:lvlText w:val=""/>
      <w:lvlJc w:val="left"/>
      <w:pPr>
        <w:ind w:hanging="360" w:left="720"/>
      </w:pPr>
      <w:rPr>
        <w:rFonts w:ascii="Symbol" w:hAnsi="Symbol" w:hint="default"/>
      </w:rPr>
    </w:lvl>
    <w:lvl w:ilvl="1" w:tplc="8B8E6210">
      <w:start w:val="1"/>
      <w:numFmt w:val="bullet"/>
      <w:lvlText w:val="o"/>
      <w:lvlJc w:val="left"/>
      <w:pPr>
        <w:ind w:hanging="360" w:left="1440"/>
      </w:pPr>
      <w:rPr>
        <w:rFonts w:ascii="Courier New" w:hAnsi="Courier New" w:hint="default"/>
      </w:rPr>
    </w:lvl>
    <w:lvl w:ilvl="2" w:tplc="55CA8344">
      <w:start w:val="1"/>
      <w:numFmt w:val="bullet"/>
      <w:lvlText w:val=""/>
      <w:lvlJc w:val="left"/>
      <w:pPr>
        <w:ind w:hanging="360" w:left="2160"/>
      </w:pPr>
      <w:rPr>
        <w:rFonts w:ascii="Wingdings" w:hAnsi="Wingdings" w:hint="default"/>
      </w:rPr>
    </w:lvl>
    <w:lvl w:ilvl="3" w:tplc="451CC948">
      <w:start w:val="1"/>
      <w:numFmt w:val="bullet"/>
      <w:lvlText w:val=""/>
      <w:lvlJc w:val="left"/>
      <w:pPr>
        <w:ind w:hanging="360" w:left="2880"/>
      </w:pPr>
      <w:rPr>
        <w:rFonts w:ascii="Symbol" w:hAnsi="Symbol" w:hint="default"/>
      </w:rPr>
    </w:lvl>
    <w:lvl w:ilvl="4" w:tplc="841E1978">
      <w:start w:val="1"/>
      <w:numFmt w:val="bullet"/>
      <w:lvlText w:val="o"/>
      <w:lvlJc w:val="left"/>
      <w:pPr>
        <w:ind w:hanging="360" w:left="3600"/>
      </w:pPr>
      <w:rPr>
        <w:rFonts w:ascii="Courier New" w:hAnsi="Courier New" w:hint="default"/>
      </w:rPr>
    </w:lvl>
    <w:lvl w:ilvl="5" w:tplc="4FF82E18">
      <w:start w:val="1"/>
      <w:numFmt w:val="bullet"/>
      <w:lvlText w:val=""/>
      <w:lvlJc w:val="left"/>
      <w:pPr>
        <w:ind w:hanging="360" w:left="4320"/>
      </w:pPr>
      <w:rPr>
        <w:rFonts w:ascii="Wingdings" w:hAnsi="Wingdings" w:hint="default"/>
      </w:rPr>
    </w:lvl>
    <w:lvl w:ilvl="6" w:tplc="BE74DEA2">
      <w:start w:val="1"/>
      <w:numFmt w:val="bullet"/>
      <w:lvlText w:val=""/>
      <w:lvlJc w:val="left"/>
      <w:pPr>
        <w:ind w:hanging="360" w:left="5040"/>
      </w:pPr>
      <w:rPr>
        <w:rFonts w:ascii="Symbol" w:hAnsi="Symbol" w:hint="default"/>
      </w:rPr>
    </w:lvl>
    <w:lvl w:ilvl="7" w:tplc="A8F65A5C">
      <w:start w:val="1"/>
      <w:numFmt w:val="bullet"/>
      <w:lvlText w:val="o"/>
      <w:lvlJc w:val="left"/>
      <w:pPr>
        <w:ind w:hanging="360" w:left="5760"/>
      </w:pPr>
      <w:rPr>
        <w:rFonts w:ascii="Courier New" w:hAnsi="Courier New" w:hint="default"/>
      </w:rPr>
    </w:lvl>
    <w:lvl w:ilvl="8" w:tplc="0DA271AC">
      <w:start w:val="1"/>
      <w:numFmt w:val="bullet"/>
      <w:lvlText w:val=""/>
      <w:lvlJc w:val="left"/>
      <w:pPr>
        <w:ind w:hanging="360" w:left="6480"/>
      </w:pPr>
      <w:rPr>
        <w:rFonts w:ascii="Wingdings" w:hAnsi="Wingdings" w:hint="default"/>
      </w:rPr>
    </w:lvl>
  </w:abstractNum>
  <w:abstractNum w15:restartNumberingAfterBreak="0" w:abstractNumId="20">
    <w:nsid w:val="6F125796"/>
    <w:multiLevelType w:val="hybridMultilevel"/>
    <w:tmpl w:val="C6AE9A3E"/>
    <w:lvl w:ilvl="0" w:tplc="44090001">
      <w:start w:val="1"/>
      <w:numFmt w:val="bullet"/>
      <w:lvlText w:val=""/>
      <w:lvlJc w:val="left"/>
      <w:pPr>
        <w:ind w:hanging="360" w:left="720"/>
      </w:pPr>
      <w:rPr>
        <w:rFonts w:ascii="Symbol" w:hAnsi="Symbol" w:hint="default"/>
      </w:rPr>
    </w:lvl>
    <w:lvl w:ilvl="1" w:tentative="1" w:tplc="44090003">
      <w:start w:val="1"/>
      <w:numFmt w:val="bullet"/>
      <w:lvlText w:val="o"/>
      <w:lvlJc w:val="left"/>
      <w:pPr>
        <w:ind w:hanging="360" w:left="1440"/>
      </w:pPr>
      <w:rPr>
        <w:rFonts w:ascii="Courier New" w:cs="Courier New" w:hAnsi="Courier New" w:hint="default"/>
      </w:rPr>
    </w:lvl>
    <w:lvl w:ilvl="2" w:tentative="1" w:tplc="44090005">
      <w:start w:val="1"/>
      <w:numFmt w:val="bullet"/>
      <w:lvlText w:val=""/>
      <w:lvlJc w:val="left"/>
      <w:pPr>
        <w:ind w:hanging="360" w:left="2160"/>
      </w:pPr>
      <w:rPr>
        <w:rFonts w:ascii="Wingdings" w:hAnsi="Wingdings" w:hint="default"/>
      </w:rPr>
    </w:lvl>
    <w:lvl w:ilvl="3" w:tentative="1" w:tplc="44090001">
      <w:start w:val="1"/>
      <w:numFmt w:val="bullet"/>
      <w:lvlText w:val=""/>
      <w:lvlJc w:val="left"/>
      <w:pPr>
        <w:ind w:hanging="360" w:left="2880"/>
      </w:pPr>
      <w:rPr>
        <w:rFonts w:ascii="Symbol" w:hAnsi="Symbol" w:hint="default"/>
      </w:rPr>
    </w:lvl>
    <w:lvl w:ilvl="4" w:tentative="1" w:tplc="44090003">
      <w:start w:val="1"/>
      <w:numFmt w:val="bullet"/>
      <w:lvlText w:val="o"/>
      <w:lvlJc w:val="left"/>
      <w:pPr>
        <w:ind w:hanging="360" w:left="3600"/>
      </w:pPr>
      <w:rPr>
        <w:rFonts w:ascii="Courier New" w:cs="Courier New" w:hAnsi="Courier New" w:hint="default"/>
      </w:rPr>
    </w:lvl>
    <w:lvl w:ilvl="5" w:tentative="1" w:tplc="44090005">
      <w:start w:val="1"/>
      <w:numFmt w:val="bullet"/>
      <w:lvlText w:val=""/>
      <w:lvlJc w:val="left"/>
      <w:pPr>
        <w:ind w:hanging="360" w:left="4320"/>
      </w:pPr>
      <w:rPr>
        <w:rFonts w:ascii="Wingdings" w:hAnsi="Wingdings" w:hint="default"/>
      </w:rPr>
    </w:lvl>
    <w:lvl w:ilvl="6" w:tentative="1" w:tplc="44090001">
      <w:start w:val="1"/>
      <w:numFmt w:val="bullet"/>
      <w:lvlText w:val=""/>
      <w:lvlJc w:val="left"/>
      <w:pPr>
        <w:ind w:hanging="360" w:left="5040"/>
      </w:pPr>
      <w:rPr>
        <w:rFonts w:ascii="Symbol" w:hAnsi="Symbol" w:hint="default"/>
      </w:rPr>
    </w:lvl>
    <w:lvl w:ilvl="7" w:tentative="1" w:tplc="44090003">
      <w:start w:val="1"/>
      <w:numFmt w:val="bullet"/>
      <w:lvlText w:val="o"/>
      <w:lvlJc w:val="left"/>
      <w:pPr>
        <w:ind w:hanging="360" w:left="5760"/>
      </w:pPr>
      <w:rPr>
        <w:rFonts w:ascii="Courier New" w:cs="Courier New" w:hAnsi="Courier New" w:hint="default"/>
      </w:rPr>
    </w:lvl>
    <w:lvl w:ilvl="8" w:tentative="1" w:tplc="44090005">
      <w:start w:val="1"/>
      <w:numFmt w:val="bullet"/>
      <w:lvlText w:val=""/>
      <w:lvlJc w:val="left"/>
      <w:pPr>
        <w:ind w:hanging="360" w:left="6480"/>
      </w:pPr>
      <w:rPr>
        <w:rFonts w:ascii="Wingdings" w:hAnsi="Wingdings" w:hint="default"/>
      </w:rPr>
    </w:lvl>
  </w:abstractNum>
  <w:abstractNum w15:restartNumberingAfterBreak="0" w:abstractNumId="21">
    <w:nsid w:val="792E24A2"/>
    <w:multiLevelType w:val="hybridMultilevel"/>
    <w:tmpl w:val="EDAC9E06"/>
    <w:lvl w:ilvl="0" w:tplc="44090019">
      <w:start w:val="1"/>
      <w:numFmt w:val="lowerLetter"/>
      <w:lvlText w:val="%1."/>
      <w:lvlJc w:val="left"/>
      <w:pPr>
        <w:ind w:hanging="360" w:left="1080"/>
      </w:pPr>
      <w:rPr>
        <w:rFonts w:hint="default"/>
      </w:rPr>
    </w:lvl>
    <w:lvl w:ilvl="1" w:tentative="1" w:tplc="FFFFFFFF">
      <w:start w:val="1"/>
      <w:numFmt w:val="bullet"/>
      <w:lvlText w:val="o"/>
      <w:lvlJc w:val="left"/>
      <w:pPr>
        <w:ind w:hanging="360" w:left="1800"/>
      </w:pPr>
      <w:rPr>
        <w:rFonts w:ascii="Courier New" w:cs="Courier New" w:hAnsi="Courier New" w:hint="default"/>
      </w:rPr>
    </w:lvl>
    <w:lvl w:ilvl="2" w:tentative="1" w:tplc="FFFFFFFF">
      <w:start w:val="1"/>
      <w:numFmt w:val="bullet"/>
      <w:lvlText w:val=""/>
      <w:lvlJc w:val="left"/>
      <w:pPr>
        <w:ind w:hanging="360" w:left="2520"/>
      </w:pPr>
      <w:rPr>
        <w:rFonts w:ascii="Wingdings" w:hAnsi="Wingdings" w:hint="default"/>
      </w:rPr>
    </w:lvl>
    <w:lvl w:ilvl="3" w:tentative="1" w:tplc="FFFFFFFF">
      <w:start w:val="1"/>
      <w:numFmt w:val="bullet"/>
      <w:lvlText w:val=""/>
      <w:lvlJc w:val="left"/>
      <w:pPr>
        <w:ind w:hanging="360" w:left="3240"/>
      </w:pPr>
      <w:rPr>
        <w:rFonts w:ascii="Symbol" w:hAnsi="Symbol" w:hint="default"/>
      </w:rPr>
    </w:lvl>
    <w:lvl w:ilvl="4" w:tentative="1" w:tplc="FFFFFFFF">
      <w:start w:val="1"/>
      <w:numFmt w:val="bullet"/>
      <w:lvlText w:val="o"/>
      <w:lvlJc w:val="left"/>
      <w:pPr>
        <w:ind w:hanging="360" w:left="3960"/>
      </w:pPr>
      <w:rPr>
        <w:rFonts w:ascii="Courier New" w:cs="Courier New" w:hAnsi="Courier New" w:hint="default"/>
      </w:rPr>
    </w:lvl>
    <w:lvl w:ilvl="5" w:tentative="1" w:tplc="FFFFFFFF">
      <w:start w:val="1"/>
      <w:numFmt w:val="bullet"/>
      <w:lvlText w:val=""/>
      <w:lvlJc w:val="left"/>
      <w:pPr>
        <w:ind w:hanging="360" w:left="4680"/>
      </w:pPr>
      <w:rPr>
        <w:rFonts w:ascii="Wingdings" w:hAnsi="Wingdings" w:hint="default"/>
      </w:rPr>
    </w:lvl>
    <w:lvl w:ilvl="6" w:tentative="1" w:tplc="FFFFFFFF">
      <w:start w:val="1"/>
      <w:numFmt w:val="bullet"/>
      <w:lvlText w:val=""/>
      <w:lvlJc w:val="left"/>
      <w:pPr>
        <w:ind w:hanging="360" w:left="5400"/>
      </w:pPr>
      <w:rPr>
        <w:rFonts w:ascii="Symbol" w:hAnsi="Symbol" w:hint="default"/>
      </w:rPr>
    </w:lvl>
    <w:lvl w:ilvl="7" w:tentative="1" w:tplc="FFFFFFFF">
      <w:start w:val="1"/>
      <w:numFmt w:val="bullet"/>
      <w:lvlText w:val="o"/>
      <w:lvlJc w:val="left"/>
      <w:pPr>
        <w:ind w:hanging="360" w:left="6120"/>
      </w:pPr>
      <w:rPr>
        <w:rFonts w:ascii="Courier New" w:cs="Courier New" w:hAnsi="Courier New" w:hint="default"/>
      </w:rPr>
    </w:lvl>
    <w:lvl w:ilvl="8" w:tentative="1" w:tplc="FFFFFFFF">
      <w:start w:val="1"/>
      <w:numFmt w:val="bullet"/>
      <w:lvlText w:val=""/>
      <w:lvlJc w:val="left"/>
      <w:pPr>
        <w:ind w:hanging="360" w:left="684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284337513" w:numId="1">
    <w:abstractNumId w:val="12"/>
  </w:num>
  <w:num w16cid:durableId="821317718" w:numId="2">
    <w:abstractNumId w:val="4"/>
  </w:num>
  <w:num w16cid:durableId="464926961" w:numId="3">
    <w:abstractNumId w:val="19"/>
  </w:num>
  <w:num w16cid:durableId="1129125088" w:numId="4">
    <w:abstractNumId w:val="18"/>
  </w:num>
  <w:num w16cid:durableId="1500534509" w:numId="5">
    <w:abstractNumId w:val="12"/>
    <w:lvlOverride w:ilvl="0">
      <w:lvl w:ilvl="0">
        <w:start w:val="1"/>
        <w:numFmt w:val="decimal"/>
        <w:lvlText w:val="%1"/>
        <w:lvlJc w:val="left"/>
        <w:pPr>
          <w:ind w:hanging="360" w:left="360"/>
        </w:pPr>
        <w:rPr>
          <w:rFonts w:hint="default"/>
        </w:rPr>
      </w:lvl>
    </w:lvlOverride>
    <w:lvlOverride w:ilvl="1">
      <w:lvl w:ilvl="1">
        <w:start w:val="1"/>
        <w:numFmt w:val="decimal"/>
        <w:isLgl/>
        <w:lvlText w:val="%1.%2"/>
        <w:lvlJc w:val="left"/>
        <w:pPr>
          <w:ind w:hanging="720" w:left="720"/>
        </w:pPr>
        <w:rPr>
          <w:rFonts w:hint="default"/>
          <w:sz w:val="28"/>
          <w:szCs w:val="28"/>
        </w:rPr>
      </w:lvl>
    </w:lvlOverride>
    <w:lvlOverride w:ilvl="2">
      <w:lvl w:ilvl="2">
        <w:start w:val="1"/>
        <w:numFmt w:val="decimal"/>
        <w:isLgl/>
        <w:lvlText w:val="%1.%2.%3"/>
        <w:lvlJc w:val="left"/>
        <w:pPr>
          <w:ind w:hanging="720" w:left="720"/>
        </w:pPr>
        <w:rPr>
          <w:rFonts w:hint="default"/>
          <w:sz w:val="24"/>
          <w:szCs w:val="24"/>
        </w:rPr>
      </w:lvl>
    </w:lvlOverride>
    <w:lvlOverride w:ilvl="3">
      <w:lvl w:ilvl="3">
        <w:start w:val="1"/>
        <w:numFmt w:val="decimal"/>
        <w:isLgl/>
        <w:lvlText w:val="%1.%2.%3.%4"/>
        <w:lvlJc w:val="left"/>
        <w:pPr>
          <w:ind w:hanging="1080" w:left="1080"/>
        </w:pPr>
        <w:rPr>
          <w:rFonts w:hint="default"/>
          <w:sz w:val="22"/>
          <w:szCs w:val="22"/>
        </w:rPr>
      </w:lvl>
    </w:lvlOverride>
    <w:lvlOverride w:ilvl="4">
      <w:lvl w:ilvl="4">
        <w:start w:val="1"/>
        <w:numFmt w:val="decimal"/>
        <w:isLgl/>
        <w:lvlText w:val="%1.%2.%3.%4.%5"/>
        <w:lvlJc w:val="left"/>
        <w:pPr>
          <w:ind w:hanging="1440" w:left="1440"/>
        </w:pPr>
        <w:rPr>
          <w:rFonts w:hint="default"/>
        </w:rPr>
      </w:lvl>
    </w:lvlOverride>
    <w:lvlOverride w:ilvl="5">
      <w:lvl w:ilvl="5">
        <w:start w:val="1"/>
        <w:numFmt w:val="decimal"/>
        <w:isLgl/>
        <w:lvlText w:val="%1.%2.%3.%4.%5.%6"/>
        <w:lvlJc w:val="left"/>
        <w:pPr>
          <w:ind w:hanging="1440" w:left="1440"/>
        </w:pPr>
        <w:rPr>
          <w:rFonts w:hint="default"/>
        </w:rPr>
      </w:lvl>
    </w:lvlOverride>
    <w:lvlOverride w:ilvl="6">
      <w:lvl w:ilvl="6">
        <w:start w:val="1"/>
        <w:numFmt w:val="decimal"/>
        <w:isLgl/>
        <w:lvlText w:val="%1.%2.%3.%4.%5.%6.%7"/>
        <w:lvlJc w:val="left"/>
        <w:pPr>
          <w:ind w:hanging="1800" w:left="1800"/>
        </w:pPr>
        <w:rPr>
          <w:rFonts w:hint="default"/>
        </w:rPr>
      </w:lvl>
    </w:lvlOverride>
    <w:lvlOverride w:ilvl="7">
      <w:lvl w:ilvl="7">
        <w:start w:val="1"/>
        <w:numFmt w:val="decimal"/>
        <w:isLgl/>
        <w:lvlText w:val="%1.%2.%3.%4.%5.%6.%7.%8"/>
        <w:lvlJc w:val="left"/>
        <w:pPr>
          <w:ind w:hanging="2160" w:left="2160"/>
        </w:pPr>
        <w:rPr>
          <w:rFonts w:hint="default"/>
        </w:rPr>
      </w:lvl>
    </w:lvlOverride>
    <w:lvlOverride w:ilvl="8">
      <w:lvl w:ilvl="8">
        <w:start w:val="1"/>
        <w:numFmt w:val="decimal"/>
        <w:isLgl/>
        <w:lvlText w:val="%1.%2.%3.%4.%5.%6.%7.%8.%9"/>
        <w:lvlJc w:val="left"/>
        <w:pPr>
          <w:ind w:hanging="2160" w:left="2160"/>
        </w:pPr>
        <w:rPr>
          <w:rFonts w:hint="default"/>
        </w:rPr>
      </w:lvl>
    </w:lvlOverride>
  </w:num>
  <w:num w16cid:durableId="475150446" w:numId="6">
    <w:abstractNumId w:val="1"/>
  </w:num>
  <w:num w16cid:durableId="66808394" w:numId="7">
    <w:abstractNumId w:val="13"/>
  </w:num>
  <w:num w16cid:durableId="1268584124" w:numId="8">
    <w:abstractNumId w:val="21"/>
  </w:num>
  <w:num w16cid:durableId="1477911719" w:numId="9">
    <w:abstractNumId w:val="16"/>
  </w:num>
  <w:num w16cid:durableId="1187407567" w:numId="10">
    <w:abstractNumId w:val="2"/>
  </w:num>
  <w:num w16cid:durableId="580062758" w:numId="11">
    <w:abstractNumId w:val="15"/>
  </w:num>
  <w:num w16cid:durableId="586039578" w:numId="12">
    <w:abstractNumId w:val="14"/>
  </w:num>
  <w:num w16cid:durableId="1900895974" w:numId="13">
    <w:abstractNumId w:val="9"/>
  </w:num>
  <w:num w16cid:durableId="1927110550" w:numId="14">
    <w:abstractNumId w:val="5"/>
  </w:num>
  <w:num w16cid:durableId="322776544" w:numId="15">
    <w:abstractNumId w:val="6"/>
  </w:num>
  <w:num w16cid:durableId="158350122" w:numId="16">
    <w:abstractNumId w:val="20"/>
  </w:num>
  <w:num w16cid:durableId="1929120718" w:numId="17">
    <w:abstractNumId w:val="10"/>
  </w:num>
  <w:num w16cid:durableId="832187681" w:numId="18">
    <w:abstractNumId w:val="11"/>
  </w:num>
  <w:num w16cid:durableId="1808931457" w:numId="19">
    <w:abstractNumId w:val="8"/>
  </w:num>
  <w:num w16cid:durableId="2029288212" w:numId="20">
    <w:abstractNumId w:val="17"/>
  </w:num>
  <w:num w16cid:durableId="948707426" w:numId="21">
    <w:abstractNumId w:val="3"/>
  </w:num>
  <w:num w16cid:durableId="354117934" w:numId="22">
    <w:abstractNumId w:val="0"/>
  </w:num>
  <w:num w16cid:durableId="1784835363" w:numId="23">
    <w:abstractNumId w:val="7"/>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2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EC1"/>
    <w:rsid w:val="00003EC5"/>
    <w:rsid w:val="00006019"/>
    <w:rsid w:val="00007538"/>
    <w:rsid w:val="0001031B"/>
    <w:rsid w:val="0001547A"/>
    <w:rsid w:val="00016A09"/>
    <w:rsid w:val="00020A22"/>
    <w:rsid w:val="00024387"/>
    <w:rsid w:val="0002767B"/>
    <w:rsid w:val="000409AB"/>
    <w:rsid w:val="000412FD"/>
    <w:rsid w:val="00044F29"/>
    <w:rsid w:val="00046F45"/>
    <w:rsid w:val="000537E7"/>
    <w:rsid w:val="000601F1"/>
    <w:rsid w:val="00060832"/>
    <w:rsid w:val="00060A31"/>
    <w:rsid w:val="00061016"/>
    <w:rsid w:val="000624A1"/>
    <w:rsid w:val="00064571"/>
    <w:rsid w:val="0006529D"/>
    <w:rsid w:val="00067934"/>
    <w:rsid w:val="0007231F"/>
    <w:rsid w:val="000738C4"/>
    <w:rsid w:val="00083B51"/>
    <w:rsid w:val="000904AE"/>
    <w:rsid w:val="000965AA"/>
    <w:rsid w:val="000A054B"/>
    <w:rsid w:val="000A08FC"/>
    <w:rsid w:val="000A201F"/>
    <w:rsid w:val="000A317C"/>
    <w:rsid w:val="000A69F8"/>
    <w:rsid w:val="000B6FD3"/>
    <w:rsid w:val="000C4573"/>
    <w:rsid w:val="000C4E68"/>
    <w:rsid w:val="000C5B1A"/>
    <w:rsid w:val="000D1AC2"/>
    <w:rsid w:val="000D4053"/>
    <w:rsid w:val="000D4272"/>
    <w:rsid w:val="000D43F1"/>
    <w:rsid w:val="000E60AA"/>
    <w:rsid w:val="000F073C"/>
    <w:rsid w:val="000F1E28"/>
    <w:rsid w:val="000F3FB7"/>
    <w:rsid w:val="000F6AC7"/>
    <w:rsid w:val="00100DCA"/>
    <w:rsid w:val="00104396"/>
    <w:rsid w:val="001062CB"/>
    <w:rsid w:val="00112A1E"/>
    <w:rsid w:val="001224E9"/>
    <w:rsid w:val="0012379D"/>
    <w:rsid w:val="001318A2"/>
    <w:rsid w:val="00137A7F"/>
    <w:rsid w:val="0014098B"/>
    <w:rsid w:val="0014345B"/>
    <w:rsid w:val="00151C35"/>
    <w:rsid w:val="00153FB7"/>
    <w:rsid w:val="0016045F"/>
    <w:rsid w:val="0016358C"/>
    <w:rsid w:val="00170243"/>
    <w:rsid w:val="001720B1"/>
    <w:rsid w:val="00172491"/>
    <w:rsid w:val="00176A2B"/>
    <w:rsid w:val="001809CA"/>
    <w:rsid w:val="00182C11"/>
    <w:rsid w:val="001919A2"/>
    <w:rsid w:val="001A3742"/>
    <w:rsid w:val="001A4DEA"/>
    <w:rsid w:val="001A6F51"/>
    <w:rsid w:val="001B34A8"/>
    <w:rsid w:val="001C33FE"/>
    <w:rsid w:val="001D1EC1"/>
    <w:rsid w:val="001D41AB"/>
    <w:rsid w:val="001D77C2"/>
    <w:rsid w:val="001E150A"/>
    <w:rsid w:val="001E68B0"/>
    <w:rsid w:val="001E72E2"/>
    <w:rsid w:val="001E7E30"/>
    <w:rsid w:val="001F7E56"/>
    <w:rsid w:val="00200F88"/>
    <w:rsid w:val="002033EE"/>
    <w:rsid w:val="00206A45"/>
    <w:rsid w:val="00207023"/>
    <w:rsid w:val="00210ABC"/>
    <w:rsid w:val="00212231"/>
    <w:rsid w:val="00214929"/>
    <w:rsid w:val="002150B3"/>
    <w:rsid w:val="00217881"/>
    <w:rsid w:val="00223CD9"/>
    <w:rsid w:val="002279AD"/>
    <w:rsid w:val="00230F51"/>
    <w:rsid w:val="002438D4"/>
    <w:rsid w:val="00244BC8"/>
    <w:rsid w:val="00254B78"/>
    <w:rsid w:val="00263059"/>
    <w:rsid w:val="00263CCA"/>
    <w:rsid w:val="00265835"/>
    <w:rsid w:val="002717E5"/>
    <w:rsid w:val="002747E2"/>
    <w:rsid w:val="002771FF"/>
    <w:rsid w:val="00282447"/>
    <w:rsid w:val="002824B1"/>
    <w:rsid w:val="0028536A"/>
    <w:rsid w:val="0028570A"/>
    <w:rsid w:val="00285CFA"/>
    <w:rsid w:val="002861F3"/>
    <w:rsid w:val="002870CA"/>
    <w:rsid w:val="00287D42"/>
    <w:rsid w:val="00290C0D"/>
    <w:rsid w:val="002976D2"/>
    <w:rsid w:val="002A3290"/>
    <w:rsid w:val="002A3350"/>
    <w:rsid w:val="002A445F"/>
    <w:rsid w:val="002A6DE5"/>
    <w:rsid w:val="002B1125"/>
    <w:rsid w:val="002C26E0"/>
    <w:rsid w:val="002C3591"/>
    <w:rsid w:val="002C4DBB"/>
    <w:rsid w:val="002C702C"/>
    <w:rsid w:val="002E140C"/>
    <w:rsid w:val="002E1457"/>
    <w:rsid w:val="002E4B7F"/>
    <w:rsid w:val="002E605F"/>
    <w:rsid w:val="002E71E4"/>
    <w:rsid w:val="002E75F5"/>
    <w:rsid w:val="00307A20"/>
    <w:rsid w:val="003114FC"/>
    <w:rsid w:val="00314A06"/>
    <w:rsid w:val="00315906"/>
    <w:rsid w:val="003161D5"/>
    <w:rsid w:val="00316951"/>
    <w:rsid w:val="0032179A"/>
    <w:rsid w:val="00331AE8"/>
    <w:rsid w:val="00333284"/>
    <w:rsid w:val="00334FD7"/>
    <w:rsid w:val="00341F25"/>
    <w:rsid w:val="003446D5"/>
    <w:rsid w:val="00344DD6"/>
    <w:rsid w:val="00345D61"/>
    <w:rsid w:val="00350B89"/>
    <w:rsid w:val="00353666"/>
    <w:rsid w:val="0035399F"/>
    <w:rsid w:val="00356947"/>
    <w:rsid w:val="00356C71"/>
    <w:rsid w:val="00356F95"/>
    <w:rsid w:val="00357770"/>
    <w:rsid w:val="0037051E"/>
    <w:rsid w:val="00370E75"/>
    <w:rsid w:val="00375134"/>
    <w:rsid w:val="0037574C"/>
    <w:rsid w:val="00384FB0"/>
    <w:rsid w:val="00385463"/>
    <w:rsid w:val="00385990"/>
    <w:rsid w:val="00386D9D"/>
    <w:rsid w:val="003911DB"/>
    <w:rsid w:val="0039249C"/>
    <w:rsid w:val="003929BB"/>
    <w:rsid w:val="003948BB"/>
    <w:rsid w:val="00397A47"/>
    <w:rsid w:val="003A209D"/>
    <w:rsid w:val="003A669C"/>
    <w:rsid w:val="003C711C"/>
    <w:rsid w:val="003C78C0"/>
    <w:rsid w:val="003D19FD"/>
    <w:rsid w:val="003D4778"/>
    <w:rsid w:val="003E3F59"/>
    <w:rsid w:val="003E4F55"/>
    <w:rsid w:val="003F4B97"/>
    <w:rsid w:val="00414542"/>
    <w:rsid w:val="00417192"/>
    <w:rsid w:val="00431A59"/>
    <w:rsid w:val="00432A41"/>
    <w:rsid w:val="004361B1"/>
    <w:rsid w:val="00441B5F"/>
    <w:rsid w:val="004535A3"/>
    <w:rsid w:val="00456883"/>
    <w:rsid w:val="00470ACF"/>
    <w:rsid w:val="00474F46"/>
    <w:rsid w:val="004831CD"/>
    <w:rsid w:val="00491E49"/>
    <w:rsid w:val="004A2935"/>
    <w:rsid w:val="004A3D8A"/>
    <w:rsid w:val="004B0655"/>
    <w:rsid w:val="004B3DF6"/>
    <w:rsid w:val="004B47BD"/>
    <w:rsid w:val="004B4AEB"/>
    <w:rsid w:val="004C3671"/>
    <w:rsid w:val="004D2D33"/>
    <w:rsid w:val="004D65AE"/>
    <w:rsid w:val="004D70B0"/>
    <w:rsid w:val="004D7A9D"/>
    <w:rsid w:val="004E3D00"/>
    <w:rsid w:val="004E5A32"/>
    <w:rsid w:val="004E5DFA"/>
    <w:rsid w:val="004E6B80"/>
    <w:rsid w:val="004E7367"/>
    <w:rsid w:val="004E7EE9"/>
    <w:rsid w:val="004F1CE3"/>
    <w:rsid w:val="00502D3B"/>
    <w:rsid w:val="00504B96"/>
    <w:rsid w:val="0051123E"/>
    <w:rsid w:val="00512A19"/>
    <w:rsid w:val="0051351E"/>
    <w:rsid w:val="0051789E"/>
    <w:rsid w:val="0052177A"/>
    <w:rsid w:val="00523485"/>
    <w:rsid w:val="00526679"/>
    <w:rsid w:val="00535180"/>
    <w:rsid w:val="005361FA"/>
    <w:rsid w:val="00547CB0"/>
    <w:rsid w:val="005538EE"/>
    <w:rsid w:val="005541BE"/>
    <w:rsid w:val="005558F1"/>
    <w:rsid w:val="00562D56"/>
    <w:rsid w:val="00571A89"/>
    <w:rsid w:val="00573463"/>
    <w:rsid w:val="005832E6"/>
    <w:rsid w:val="0058784E"/>
    <w:rsid w:val="00587C41"/>
    <w:rsid w:val="00593039"/>
    <w:rsid w:val="00596483"/>
    <w:rsid w:val="005A31CB"/>
    <w:rsid w:val="005A34E5"/>
    <w:rsid w:val="005A3DA9"/>
    <w:rsid w:val="005B2D7B"/>
    <w:rsid w:val="005B3E00"/>
    <w:rsid w:val="005C1E65"/>
    <w:rsid w:val="005C3BA8"/>
    <w:rsid w:val="005C3BF5"/>
    <w:rsid w:val="005C3C10"/>
    <w:rsid w:val="005E11DD"/>
    <w:rsid w:val="005E39B2"/>
    <w:rsid w:val="005E4CD3"/>
    <w:rsid w:val="005E51BB"/>
    <w:rsid w:val="005E6982"/>
    <w:rsid w:val="005E7D9B"/>
    <w:rsid w:val="005F2453"/>
    <w:rsid w:val="005F4582"/>
    <w:rsid w:val="005F4D92"/>
    <w:rsid w:val="00600DFB"/>
    <w:rsid w:val="0060224E"/>
    <w:rsid w:val="006056B4"/>
    <w:rsid w:val="00605920"/>
    <w:rsid w:val="00610B95"/>
    <w:rsid w:val="00614984"/>
    <w:rsid w:val="006159BB"/>
    <w:rsid w:val="0062055D"/>
    <w:rsid w:val="0062099D"/>
    <w:rsid w:val="00620B31"/>
    <w:rsid w:val="0062795D"/>
    <w:rsid w:val="0063557B"/>
    <w:rsid w:val="0064469A"/>
    <w:rsid w:val="00646D5C"/>
    <w:rsid w:val="006479C5"/>
    <w:rsid w:val="006553BD"/>
    <w:rsid w:val="006559DE"/>
    <w:rsid w:val="00657BC6"/>
    <w:rsid w:val="0066001F"/>
    <w:rsid w:val="006641AC"/>
    <w:rsid w:val="00666A40"/>
    <w:rsid w:val="00670F71"/>
    <w:rsid w:val="00673DE7"/>
    <w:rsid w:val="0067434E"/>
    <w:rsid w:val="00676EC4"/>
    <w:rsid w:val="00677BA8"/>
    <w:rsid w:val="006830B2"/>
    <w:rsid w:val="00683ABF"/>
    <w:rsid w:val="00687DCA"/>
    <w:rsid w:val="0069292C"/>
    <w:rsid w:val="006A0BEB"/>
    <w:rsid w:val="006A2843"/>
    <w:rsid w:val="006A6BCF"/>
    <w:rsid w:val="006A7B41"/>
    <w:rsid w:val="006B2900"/>
    <w:rsid w:val="006B5515"/>
    <w:rsid w:val="006B5B7F"/>
    <w:rsid w:val="006C0841"/>
    <w:rsid w:val="006C3C70"/>
    <w:rsid w:val="006D7B04"/>
    <w:rsid w:val="006D7CF9"/>
    <w:rsid w:val="006D7E66"/>
    <w:rsid w:val="006E61BC"/>
    <w:rsid w:val="006F34B2"/>
    <w:rsid w:val="006F5C53"/>
    <w:rsid w:val="007071AB"/>
    <w:rsid w:val="007125D6"/>
    <w:rsid w:val="00712952"/>
    <w:rsid w:val="007159BE"/>
    <w:rsid w:val="00723C5B"/>
    <w:rsid w:val="007247D8"/>
    <w:rsid w:val="00740140"/>
    <w:rsid w:val="00740F87"/>
    <w:rsid w:val="00747BCE"/>
    <w:rsid w:val="00747C72"/>
    <w:rsid w:val="00762D77"/>
    <w:rsid w:val="007635B0"/>
    <w:rsid w:val="00766313"/>
    <w:rsid w:val="00767386"/>
    <w:rsid w:val="00776FE6"/>
    <w:rsid w:val="00780C56"/>
    <w:rsid w:val="00781DB3"/>
    <w:rsid w:val="00782C94"/>
    <w:rsid w:val="00791B4B"/>
    <w:rsid w:val="007B140F"/>
    <w:rsid w:val="007B3555"/>
    <w:rsid w:val="007B4E5C"/>
    <w:rsid w:val="007B614E"/>
    <w:rsid w:val="007C05C7"/>
    <w:rsid w:val="007D0A2E"/>
    <w:rsid w:val="007D5EAD"/>
    <w:rsid w:val="007D676C"/>
    <w:rsid w:val="007E119E"/>
    <w:rsid w:val="007E4C61"/>
    <w:rsid w:val="007F7BC0"/>
    <w:rsid w:val="008023AA"/>
    <w:rsid w:val="00805979"/>
    <w:rsid w:val="008061C0"/>
    <w:rsid w:val="00810A78"/>
    <w:rsid w:val="00811F2E"/>
    <w:rsid w:val="00811FDD"/>
    <w:rsid w:val="00815A93"/>
    <w:rsid w:val="00816813"/>
    <w:rsid w:val="00816864"/>
    <w:rsid w:val="008366BC"/>
    <w:rsid w:val="00843166"/>
    <w:rsid w:val="008446A1"/>
    <w:rsid w:val="008469AF"/>
    <w:rsid w:val="008558D1"/>
    <w:rsid w:val="008565DF"/>
    <w:rsid w:val="00857780"/>
    <w:rsid w:val="0086124D"/>
    <w:rsid w:val="00861BB7"/>
    <w:rsid w:val="00876AC7"/>
    <w:rsid w:val="008924D3"/>
    <w:rsid w:val="008A7674"/>
    <w:rsid w:val="008B04FE"/>
    <w:rsid w:val="008B0D0A"/>
    <w:rsid w:val="008B17EF"/>
    <w:rsid w:val="008B1C89"/>
    <w:rsid w:val="008B53E8"/>
    <w:rsid w:val="008B6514"/>
    <w:rsid w:val="008C0777"/>
    <w:rsid w:val="008D472F"/>
    <w:rsid w:val="008E12E9"/>
    <w:rsid w:val="008E2FE6"/>
    <w:rsid w:val="008E3A3A"/>
    <w:rsid w:val="008F0090"/>
    <w:rsid w:val="00900DB9"/>
    <w:rsid w:val="00903E71"/>
    <w:rsid w:val="009067D5"/>
    <w:rsid w:val="00911375"/>
    <w:rsid w:val="009117C6"/>
    <w:rsid w:val="009168EF"/>
    <w:rsid w:val="00917C0C"/>
    <w:rsid w:val="009310C5"/>
    <w:rsid w:val="00931B49"/>
    <w:rsid w:val="009320F7"/>
    <w:rsid w:val="00935B79"/>
    <w:rsid w:val="00943146"/>
    <w:rsid w:val="009468AC"/>
    <w:rsid w:val="00952778"/>
    <w:rsid w:val="00956D7A"/>
    <w:rsid w:val="00957F96"/>
    <w:rsid w:val="00963E84"/>
    <w:rsid w:val="0096554E"/>
    <w:rsid w:val="0096710A"/>
    <w:rsid w:val="00971BE3"/>
    <w:rsid w:val="00972B02"/>
    <w:rsid w:val="00975499"/>
    <w:rsid w:val="0097565D"/>
    <w:rsid w:val="009802BB"/>
    <w:rsid w:val="00982047"/>
    <w:rsid w:val="009848E1"/>
    <w:rsid w:val="00984D09"/>
    <w:rsid w:val="00985AE9"/>
    <w:rsid w:val="00991B39"/>
    <w:rsid w:val="00991FE8"/>
    <w:rsid w:val="009934C7"/>
    <w:rsid w:val="0099428A"/>
    <w:rsid w:val="00995686"/>
    <w:rsid w:val="009962EC"/>
    <w:rsid w:val="009A1120"/>
    <w:rsid w:val="009A3B15"/>
    <w:rsid w:val="009A6B94"/>
    <w:rsid w:val="009B271A"/>
    <w:rsid w:val="009B494A"/>
    <w:rsid w:val="009B663D"/>
    <w:rsid w:val="009B71E0"/>
    <w:rsid w:val="009B799F"/>
    <w:rsid w:val="009C251B"/>
    <w:rsid w:val="009C4E6C"/>
    <w:rsid w:val="009D72C6"/>
    <w:rsid w:val="009E157F"/>
    <w:rsid w:val="009E411B"/>
    <w:rsid w:val="009E45BB"/>
    <w:rsid w:val="009E5C01"/>
    <w:rsid w:val="009E5C15"/>
    <w:rsid w:val="009E6815"/>
    <w:rsid w:val="009F093B"/>
    <w:rsid w:val="009F1027"/>
    <w:rsid w:val="009F1C8D"/>
    <w:rsid w:val="009F3A1C"/>
    <w:rsid w:val="009F3DCB"/>
    <w:rsid w:val="009F67BE"/>
    <w:rsid w:val="009F692C"/>
    <w:rsid w:val="009F6E5A"/>
    <w:rsid w:val="00A059E1"/>
    <w:rsid w:val="00A122E9"/>
    <w:rsid w:val="00A1585C"/>
    <w:rsid w:val="00A20C4D"/>
    <w:rsid w:val="00A24FA3"/>
    <w:rsid w:val="00A26486"/>
    <w:rsid w:val="00A30015"/>
    <w:rsid w:val="00A31ABB"/>
    <w:rsid w:val="00A414C0"/>
    <w:rsid w:val="00A417B8"/>
    <w:rsid w:val="00A4184C"/>
    <w:rsid w:val="00A4604B"/>
    <w:rsid w:val="00A60AA6"/>
    <w:rsid w:val="00A76A67"/>
    <w:rsid w:val="00A80D55"/>
    <w:rsid w:val="00A825FB"/>
    <w:rsid w:val="00A82FDA"/>
    <w:rsid w:val="00A8649A"/>
    <w:rsid w:val="00A903B1"/>
    <w:rsid w:val="00A90537"/>
    <w:rsid w:val="00A906DB"/>
    <w:rsid w:val="00A907D9"/>
    <w:rsid w:val="00A90A62"/>
    <w:rsid w:val="00A9294D"/>
    <w:rsid w:val="00A95AAF"/>
    <w:rsid w:val="00AA0A00"/>
    <w:rsid w:val="00AA204A"/>
    <w:rsid w:val="00AA72D1"/>
    <w:rsid w:val="00AB2FC1"/>
    <w:rsid w:val="00AB5C26"/>
    <w:rsid w:val="00AC2B27"/>
    <w:rsid w:val="00AC2BB2"/>
    <w:rsid w:val="00AC42D0"/>
    <w:rsid w:val="00AD298D"/>
    <w:rsid w:val="00AE0C57"/>
    <w:rsid w:val="00AE226B"/>
    <w:rsid w:val="00AE75AF"/>
    <w:rsid w:val="00AE7EE4"/>
    <w:rsid w:val="00AF2BC4"/>
    <w:rsid w:val="00AF5DD4"/>
    <w:rsid w:val="00B01BC1"/>
    <w:rsid w:val="00B111B2"/>
    <w:rsid w:val="00B163EE"/>
    <w:rsid w:val="00B166DB"/>
    <w:rsid w:val="00B26D2C"/>
    <w:rsid w:val="00B306DC"/>
    <w:rsid w:val="00B341A9"/>
    <w:rsid w:val="00B3448D"/>
    <w:rsid w:val="00B356F6"/>
    <w:rsid w:val="00B3604F"/>
    <w:rsid w:val="00B41813"/>
    <w:rsid w:val="00B42AC2"/>
    <w:rsid w:val="00B454DB"/>
    <w:rsid w:val="00B47E1E"/>
    <w:rsid w:val="00B47F1B"/>
    <w:rsid w:val="00B515DE"/>
    <w:rsid w:val="00B5223F"/>
    <w:rsid w:val="00B522ED"/>
    <w:rsid w:val="00B53330"/>
    <w:rsid w:val="00B54173"/>
    <w:rsid w:val="00B62C8A"/>
    <w:rsid w:val="00B700C5"/>
    <w:rsid w:val="00B75057"/>
    <w:rsid w:val="00B758EA"/>
    <w:rsid w:val="00B75C3B"/>
    <w:rsid w:val="00B7644D"/>
    <w:rsid w:val="00B82666"/>
    <w:rsid w:val="00B829F9"/>
    <w:rsid w:val="00B844FB"/>
    <w:rsid w:val="00B90CD8"/>
    <w:rsid w:val="00B92706"/>
    <w:rsid w:val="00B95255"/>
    <w:rsid w:val="00B969C4"/>
    <w:rsid w:val="00B97ECB"/>
    <w:rsid w:val="00BA2488"/>
    <w:rsid w:val="00BA385D"/>
    <w:rsid w:val="00BA617C"/>
    <w:rsid w:val="00BB61E8"/>
    <w:rsid w:val="00BC09E5"/>
    <w:rsid w:val="00BC1A8D"/>
    <w:rsid w:val="00BD1D3E"/>
    <w:rsid w:val="00BD23A2"/>
    <w:rsid w:val="00BE0B72"/>
    <w:rsid w:val="00BF15D4"/>
    <w:rsid w:val="00BF4240"/>
    <w:rsid w:val="00BF5823"/>
    <w:rsid w:val="00C0224A"/>
    <w:rsid w:val="00C040EB"/>
    <w:rsid w:val="00C15257"/>
    <w:rsid w:val="00C16F0A"/>
    <w:rsid w:val="00C223BF"/>
    <w:rsid w:val="00C24EF2"/>
    <w:rsid w:val="00C26A31"/>
    <w:rsid w:val="00C32CC4"/>
    <w:rsid w:val="00C356FB"/>
    <w:rsid w:val="00C3623C"/>
    <w:rsid w:val="00C40DAD"/>
    <w:rsid w:val="00C40F1D"/>
    <w:rsid w:val="00C41098"/>
    <w:rsid w:val="00C433E0"/>
    <w:rsid w:val="00C478A3"/>
    <w:rsid w:val="00C5106B"/>
    <w:rsid w:val="00C54015"/>
    <w:rsid w:val="00C5468A"/>
    <w:rsid w:val="00C557DE"/>
    <w:rsid w:val="00C56007"/>
    <w:rsid w:val="00C60F7C"/>
    <w:rsid w:val="00C622A4"/>
    <w:rsid w:val="00C6469C"/>
    <w:rsid w:val="00C65013"/>
    <w:rsid w:val="00C65D14"/>
    <w:rsid w:val="00C75EFE"/>
    <w:rsid w:val="00CA1701"/>
    <w:rsid w:val="00CA5C0F"/>
    <w:rsid w:val="00CA73EE"/>
    <w:rsid w:val="00CA7982"/>
    <w:rsid w:val="00CB091A"/>
    <w:rsid w:val="00CB701E"/>
    <w:rsid w:val="00CB7517"/>
    <w:rsid w:val="00CC456F"/>
    <w:rsid w:val="00CC6B5C"/>
    <w:rsid w:val="00CC7B12"/>
    <w:rsid w:val="00CD0CD4"/>
    <w:rsid w:val="00CD6672"/>
    <w:rsid w:val="00CE2ADC"/>
    <w:rsid w:val="00CE6A1A"/>
    <w:rsid w:val="00CF27E5"/>
    <w:rsid w:val="00D02118"/>
    <w:rsid w:val="00D048A4"/>
    <w:rsid w:val="00D078E8"/>
    <w:rsid w:val="00D1344B"/>
    <w:rsid w:val="00D148B3"/>
    <w:rsid w:val="00D1565B"/>
    <w:rsid w:val="00D16019"/>
    <w:rsid w:val="00D25C48"/>
    <w:rsid w:val="00D3003F"/>
    <w:rsid w:val="00D306BD"/>
    <w:rsid w:val="00D308CB"/>
    <w:rsid w:val="00D33154"/>
    <w:rsid w:val="00D3330A"/>
    <w:rsid w:val="00D40D20"/>
    <w:rsid w:val="00D42747"/>
    <w:rsid w:val="00D5792A"/>
    <w:rsid w:val="00D57980"/>
    <w:rsid w:val="00D600C5"/>
    <w:rsid w:val="00D60497"/>
    <w:rsid w:val="00D6325B"/>
    <w:rsid w:val="00D64BCE"/>
    <w:rsid w:val="00D65753"/>
    <w:rsid w:val="00D66505"/>
    <w:rsid w:val="00D756B8"/>
    <w:rsid w:val="00D756E2"/>
    <w:rsid w:val="00D765D6"/>
    <w:rsid w:val="00D8259B"/>
    <w:rsid w:val="00D86768"/>
    <w:rsid w:val="00D91231"/>
    <w:rsid w:val="00D970DF"/>
    <w:rsid w:val="00DA49D1"/>
    <w:rsid w:val="00DA4D92"/>
    <w:rsid w:val="00DA685F"/>
    <w:rsid w:val="00DB7296"/>
    <w:rsid w:val="00DC65F8"/>
    <w:rsid w:val="00DD1068"/>
    <w:rsid w:val="00DD1B70"/>
    <w:rsid w:val="00DD4347"/>
    <w:rsid w:val="00DD4F22"/>
    <w:rsid w:val="00DD5BF6"/>
    <w:rsid w:val="00DD7747"/>
    <w:rsid w:val="00DF285D"/>
    <w:rsid w:val="00DF4CDA"/>
    <w:rsid w:val="00DF757B"/>
    <w:rsid w:val="00E00E63"/>
    <w:rsid w:val="00E02385"/>
    <w:rsid w:val="00E06E56"/>
    <w:rsid w:val="00E14937"/>
    <w:rsid w:val="00E213D9"/>
    <w:rsid w:val="00E21D17"/>
    <w:rsid w:val="00E3298D"/>
    <w:rsid w:val="00E338C5"/>
    <w:rsid w:val="00E3445D"/>
    <w:rsid w:val="00E35123"/>
    <w:rsid w:val="00E366A5"/>
    <w:rsid w:val="00E412B5"/>
    <w:rsid w:val="00E43FA5"/>
    <w:rsid w:val="00E52370"/>
    <w:rsid w:val="00E54A36"/>
    <w:rsid w:val="00E56DD4"/>
    <w:rsid w:val="00E64322"/>
    <w:rsid w:val="00E65DAA"/>
    <w:rsid w:val="00E67A5D"/>
    <w:rsid w:val="00E70AAC"/>
    <w:rsid w:val="00E81608"/>
    <w:rsid w:val="00E83833"/>
    <w:rsid w:val="00E83C83"/>
    <w:rsid w:val="00E84C1F"/>
    <w:rsid w:val="00E85C5B"/>
    <w:rsid w:val="00E86C29"/>
    <w:rsid w:val="00E87178"/>
    <w:rsid w:val="00E87910"/>
    <w:rsid w:val="00E900B7"/>
    <w:rsid w:val="00EA0E3C"/>
    <w:rsid w:val="00EA15CD"/>
    <w:rsid w:val="00EA7C84"/>
    <w:rsid w:val="00EB6985"/>
    <w:rsid w:val="00EC26B3"/>
    <w:rsid w:val="00EC46C6"/>
    <w:rsid w:val="00ED1F62"/>
    <w:rsid w:val="00ED322F"/>
    <w:rsid w:val="00ED3C2B"/>
    <w:rsid w:val="00ED7303"/>
    <w:rsid w:val="00EE3ED5"/>
    <w:rsid w:val="00EE429F"/>
    <w:rsid w:val="00EE73B8"/>
    <w:rsid w:val="00EF3D58"/>
    <w:rsid w:val="00EF3E87"/>
    <w:rsid w:val="00F03874"/>
    <w:rsid w:val="00F0474B"/>
    <w:rsid w:val="00F07C23"/>
    <w:rsid w:val="00F15920"/>
    <w:rsid w:val="00F16539"/>
    <w:rsid w:val="00F178A1"/>
    <w:rsid w:val="00F21709"/>
    <w:rsid w:val="00F22FE9"/>
    <w:rsid w:val="00F25213"/>
    <w:rsid w:val="00F343B1"/>
    <w:rsid w:val="00F3643A"/>
    <w:rsid w:val="00F40614"/>
    <w:rsid w:val="00F41E75"/>
    <w:rsid w:val="00F65675"/>
    <w:rsid w:val="00F673D4"/>
    <w:rsid w:val="00F70E60"/>
    <w:rsid w:val="00F7179E"/>
    <w:rsid w:val="00F72B2A"/>
    <w:rsid w:val="00F73722"/>
    <w:rsid w:val="00F74A2E"/>
    <w:rsid w:val="00F76D48"/>
    <w:rsid w:val="00F77179"/>
    <w:rsid w:val="00F81054"/>
    <w:rsid w:val="00F85325"/>
    <w:rsid w:val="00F92512"/>
    <w:rsid w:val="00F935C6"/>
    <w:rsid w:val="00F9411C"/>
    <w:rsid w:val="00F946FF"/>
    <w:rsid w:val="00FA2920"/>
    <w:rsid w:val="00FA3D94"/>
    <w:rsid w:val="00FA4FC1"/>
    <w:rsid w:val="00FA6A97"/>
    <w:rsid w:val="00FC52EB"/>
    <w:rsid w:val="00FC78AA"/>
    <w:rsid w:val="00FD09D6"/>
    <w:rsid w:val="00FD1619"/>
    <w:rsid w:val="00FD5BC3"/>
    <w:rsid w:val="00FD727D"/>
    <w:rsid w:val="00FE2D75"/>
    <w:rsid w:val="00FE2F32"/>
    <w:rsid w:val="00FE3498"/>
    <w:rsid w:val="00FE739D"/>
    <w:rsid w:val="00FF3BC9"/>
    <w:rsid w:val="0E7B5973"/>
    <w:rsid w:val="6323EDA0"/>
  </w:rsids>
  <w:themeFontLang w:val="en-MY"/>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kern w:val="2"/>
        <w:sz w:val="24"/>
        <w:szCs w:val="24"/>
        <w:lang w:bidi="ar-SA" w:eastAsia="en-US" w:val="en-MY"/>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0738C4"/>
  </w:style>
  <w:style w:styleId="Heading1" w:type="paragraph">
    <w:name w:val="heading 1"/>
    <w:basedOn w:val="Normal"/>
    <w:next w:val="Normal"/>
    <w:link w:val="Heading1Char"/>
    <w:uiPriority w:val="9"/>
    <w:qFormat/>
    <w:rsid w:val="001D1EC1"/>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Normal"/>
    <w:link w:val="Heading2Char"/>
    <w:uiPriority w:val="9"/>
    <w:unhideWhenUsed/>
    <w:qFormat/>
    <w:rsid w:val="001D1EC1"/>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Normal"/>
    <w:link w:val="Heading3Char"/>
    <w:uiPriority w:val="9"/>
    <w:unhideWhenUsed/>
    <w:qFormat/>
    <w:rsid w:val="001D1EC1"/>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Normal"/>
    <w:link w:val="Heading4Char"/>
    <w:uiPriority w:val="9"/>
    <w:unhideWhenUsed/>
    <w:qFormat/>
    <w:rsid w:val="001D1EC1"/>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Normal"/>
    <w:link w:val="Heading5Char"/>
    <w:uiPriority w:val="9"/>
    <w:semiHidden/>
    <w:unhideWhenUsed/>
    <w:qFormat/>
    <w:rsid w:val="001D1EC1"/>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Normal"/>
    <w:link w:val="Heading6Char"/>
    <w:uiPriority w:val="9"/>
    <w:semiHidden/>
    <w:unhideWhenUsed/>
    <w:qFormat/>
    <w:rsid w:val="001D1EC1"/>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uiPriority w:val="9"/>
    <w:semiHidden/>
    <w:unhideWhenUsed/>
    <w:qFormat/>
    <w:rsid w:val="001D1EC1"/>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Normal"/>
    <w:link w:val="Heading8Char"/>
    <w:uiPriority w:val="9"/>
    <w:semiHidden/>
    <w:unhideWhenUsed/>
    <w:qFormat/>
    <w:rsid w:val="001D1EC1"/>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Normal"/>
    <w:link w:val="Heading9Char"/>
    <w:uiPriority w:val="9"/>
    <w:semiHidden/>
    <w:unhideWhenUsed/>
    <w:qFormat/>
    <w:rsid w:val="001D1EC1"/>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1D1EC1"/>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rsid w:val="001D1EC1"/>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rsid w:val="001D1EC1"/>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rsid w:val="001D1EC1"/>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1D1EC1"/>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1D1EC1"/>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1D1EC1"/>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1D1EC1"/>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1D1EC1"/>
    <w:rPr>
      <w:rFonts w:cstheme="majorBidi" w:eastAsiaTheme="majorEastAsia"/>
      <w:color w:themeColor="text1" w:themeTint="D8" w:val="272727"/>
    </w:rPr>
  </w:style>
  <w:style w:styleId="Title" w:type="paragraph">
    <w:name w:val="Title"/>
    <w:basedOn w:val="Normal"/>
    <w:next w:val="Normal"/>
    <w:link w:val="TitleChar"/>
    <w:uiPriority w:val="10"/>
    <w:qFormat/>
    <w:rsid w:val="001D1EC1"/>
    <w:pPr>
      <w:spacing w:after="80" w:line="240" w:lineRule="auto"/>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1D1EC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1D1EC1"/>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1D1EC1"/>
    <w:rPr>
      <w:rFonts w:cstheme="majorBidi" w:eastAsiaTheme="majorEastAsia"/>
      <w:color w:themeColor="text1" w:themeTint="A6" w:val="595959"/>
      <w:spacing w:val="15"/>
      <w:sz w:val="28"/>
      <w:szCs w:val="28"/>
    </w:rPr>
  </w:style>
  <w:style w:styleId="Quote" w:type="paragraph">
    <w:name w:val="Quote"/>
    <w:basedOn w:val="Normal"/>
    <w:next w:val="Normal"/>
    <w:link w:val="QuoteChar"/>
    <w:uiPriority w:val="29"/>
    <w:qFormat/>
    <w:rsid w:val="001D1EC1"/>
    <w:pPr>
      <w:spacing w:before="160"/>
      <w:jc w:val="center"/>
    </w:pPr>
    <w:rPr>
      <w:i/>
      <w:iCs/>
      <w:color w:themeColor="text1" w:themeTint="BF" w:val="404040"/>
    </w:rPr>
  </w:style>
  <w:style w:customStyle="1" w:styleId="QuoteChar" w:type="character">
    <w:name w:val="Quote Char"/>
    <w:basedOn w:val="DefaultParagraphFont"/>
    <w:link w:val="Quote"/>
    <w:uiPriority w:val="29"/>
    <w:rsid w:val="001D1EC1"/>
    <w:rPr>
      <w:i/>
      <w:iCs/>
      <w:color w:themeColor="text1" w:themeTint="BF" w:val="404040"/>
    </w:rPr>
  </w:style>
  <w:style w:styleId="ListParagraph" w:type="paragraph">
    <w:name w:val="List Paragraph"/>
    <w:basedOn w:val="Normal"/>
    <w:uiPriority w:val="34"/>
    <w:qFormat/>
    <w:rsid w:val="001D1EC1"/>
    <w:pPr>
      <w:ind w:left="720"/>
      <w:contextualSpacing/>
    </w:pPr>
  </w:style>
  <w:style w:styleId="IntenseEmphasis" w:type="character">
    <w:name w:val="Intense Emphasis"/>
    <w:basedOn w:val="DefaultParagraphFont"/>
    <w:uiPriority w:val="21"/>
    <w:qFormat/>
    <w:rsid w:val="001D1EC1"/>
    <w:rPr>
      <w:i/>
      <w:iCs/>
      <w:color w:themeColor="accent1" w:themeShade="BF" w:val="0F4761"/>
    </w:rPr>
  </w:style>
  <w:style w:styleId="IntenseQuote" w:type="paragraph">
    <w:name w:val="Intense Quote"/>
    <w:basedOn w:val="Normal"/>
    <w:next w:val="Normal"/>
    <w:link w:val="IntenseQuoteChar"/>
    <w:uiPriority w:val="30"/>
    <w:qFormat/>
    <w:rsid w:val="001D1EC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1D1EC1"/>
    <w:rPr>
      <w:i/>
      <w:iCs/>
      <w:color w:themeColor="accent1" w:themeShade="BF" w:val="0F4761"/>
    </w:rPr>
  </w:style>
  <w:style w:styleId="IntenseReference" w:type="character">
    <w:name w:val="Intense Reference"/>
    <w:basedOn w:val="DefaultParagraphFont"/>
    <w:uiPriority w:val="32"/>
    <w:qFormat/>
    <w:rsid w:val="001D1EC1"/>
    <w:rPr>
      <w:b/>
      <w:bCs/>
      <w:smallCaps/>
      <w:color w:themeColor="accent1" w:themeShade="BF" w:val="0F4761"/>
      <w:spacing w:val="5"/>
    </w:rPr>
  </w:style>
  <w:style w:styleId="Header" w:type="paragraph">
    <w:name w:val="header"/>
    <w:basedOn w:val="Normal"/>
    <w:link w:val="HeaderChar"/>
    <w:uiPriority w:val="99"/>
    <w:unhideWhenUsed/>
    <w:rsid w:val="00995686"/>
    <w:pPr>
      <w:tabs>
        <w:tab w:pos="4513" w:val="center"/>
        <w:tab w:pos="9026" w:val="right"/>
      </w:tabs>
      <w:spacing w:after="0" w:line="240" w:lineRule="auto"/>
    </w:pPr>
  </w:style>
  <w:style w:customStyle="1" w:styleId="HeaderChar" w:type="character">
    <w:name w:val="Header Char"/>
    <w:basedOn w:val="DefaultParagraphFont"/>
    <w:link w:val="Header"/>
    <w:uiPriority w:val="99"/>
    <w:rsid w:val="00995686"/>
  </w:style>
  <w:style w:styleId="Footer" w:type="paragraph">
    <w:name w:val="footer"/>
    <w:basedOn w:val="Normal"/>
    <w:link w:val="FooterChar"/>
    <w:uiPriority w:val="99"/>
    <w:unhideWhenUsed/>
    <w:rsid w:val="00995686"/>
    <w:pPr>
      <w:tabs>
        <w:tab w:pos="4513" w:val="center"/>
        <w:tab w:pos="9026" w:val="right"/>
      </w:tabs>
      <w:spacing w:after="0" w:line="240" w:lineRule="auto"/>
    </w:pPr>
  </w:style>
  <w:style w:customStyle="1" w:styleId="FooterChar" w:type="character">
    <w:name w:val="Footer Char"/>
    <w:basedOn w:val="DefaultParagraphFont"/>
    <w:link w:val="Footer"/>
    <w:uiPriority w:val="99"/>
    <w:rsid w:val="00995686"/>
  </w:style>
  <w:style w:styleId="TOCHeading" w:type="paragraph">
    <w:name w:val="TOC Heading"/>
    <w:basedOn w:val="Heading1"/>
    <w:next w:val="Normal"/>
    <w:uiPriority w:val="39"/>
    <w:unhideWhenUsed/>
    <w:qFormat/>
    <w:rsid w:val="00EB6985"/>
    <w:pPr>
      <w:spacing w:after="0" w:before="240" w:line="259" w:lineRule="auto"/>
      <w:outlineLvl w:val="9"/>
    </w:pPr>
    <w:rPr>
      <w:kern w:val="0"/>
      <w:sz w:val="32"/>
      <w:szCs w:val="32"/>
      <w:lang w:val="en-US"/>
      <w14:ligatures w14:val="none"/>
    </w:rPr>
  </w:style>
  <w:style w:styleId="Caption" w:type="paragraph">
    <w:name w:val="caption"/>
    <w:aliases w:val="Caption DD Grey Indent,PMO Caption,Picture - Caption,Char Char,Caption Char1,Caption Char3 Char Char,Caption Char2 Char Char Char,Caption Char Char1 Char Char Char,Caption Char1 Char Char Char Char Char,Caption Char Char Char Char Char Char Char"/>
    <w:basedOn w:val="Normal"/>
    <w:next w:val="Normal"/>
    <w:link w:val="CaptionChar"/>
    <w:uiPriority w:val="35"/>
    <w:unhideWhenUsed/>
    <w:qFormat/>
    <w:rsid w:val="00BC09E5"/>
    <w:pPr>
      <w:spacing w:after="200" w:line="240" w:lineRule="auto"/>
    </w:pPr>
    <w:rPr>
      <w:i/>
      <w:iCs/>
      <w:color w:themeColor="text2" w:val="0E2841"/>
      <w:sz w:val="18"/>
      <w:szCs w:val="18"/>
    </w:rPr>
  </w:style>
  <w:style w:customStyle="1" w:styleId="CaptionChar" w:type="character">
    <w:name w:val="Caption Char"/>
    <w:aliases w:val="Caption DD Grey Indent Char,PMO Caption Char,Picture - Caption Char,Char Char Char,Caption Char1 Char,Caption Char3 Char Char Char,Caption Char2 Char Char Char Char,Caption Char Char1 Char Char Char Char"/>
    <w:basedOn w:val="DefaultParagraphFont"/>
    <w:link w:val="Caption"/>
    <w:uiPriority w:val="35"/>
    <w:locked/>
    <w:rsid w:val="00A907D9"/>
    <w:rPr>
      <w:i/>
      <w:iCs/>
      <w:color w:themeColor="text2" w:val="0E2841"/>
      <w:sz w:val="18"/>
      <w:szCs w:val="18"/>
    </w:rPr>
  </w:style>
  <w:style w:customStyle="1" w:styleId="GridTable4-Accent11" w:type="table">
    <w:name w:val="Grid Table 4 - Accent 11"/>
    <w:basedOn w:val="TableNormal"/>
    <w:next w:val="GridTable4-Accent1"/>
    <w:uiPriority w:val="49"/>
    <w:rsid w:val="00712952"/>
    <w:pPr>
      <w:spacing w:after="0" w:line="240" w:lineRule="auto"/>
    </w:pPr>
    <w:rPr>
      <w:rFonts w:eastAsia="DengXian"/>
      <w:kern w:val="0"/>
      <w:sz w:val="22"/>
      <w:szCs w:val="22"/>
      <w:lang w:eastAsia="zh-CN"/>
      <w14:ligatures w14:val="none"/>
    </w:rPr>
    <w:tblPr>
      <w:tblStyleRowBandSize w:val="1"/>
      <w:tblStyleColBandSize w:val="1"/>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Pr>
    <w:tblStylePr w:type="firstRow">
      <w:rPr>
        <w:b/>
        <w:bCs/>
        <w:color w:val="FFFFFF"/>
      </w:rPr>
      <w:tblPr/>
      <w:tcPr>
        <w:tcBorders>
          <w:top w:color="4472C4" w:space="0" w:sz="4" w:val="single"/>
          <w:left w:color="4472C4" w:space="0" w:sz="4" w:val="single"/>
          <w:bottom w:color="4472C4" w:space="0" w:sz="4" w:val="single"/>
          <w:right w:color="4472C4" w:space="0" w:sz="4" w:val="single"/>
          <w:insideH w:val="nil"/>
          <w:insideV w:val="nil"/>
        </w:tcBorders>
        <w:shd w:color="auto" w:fill="4472C4" w:val="clear"/>
      </w:tcPr>
    </w:tblStylePr>
    <w:tblStylePr w:type="lastRow">
      <w:rPr>
        <w:b/>
        <w:bCs/>
      </w:rPr>
      <w:tblPr/>
      <w:tcPr>
        <w:tcBorders>
          <w:top w:color="4472C4" w:space="0" w:sz="4" w:val="double"/>
        </w:tcBorders>
      </w:tcPr>
    </w:tblStylePr>
    <w:tblStylePr w:type="firstCol">
      <w:rPr>
        <w:b/>
        <w:bCs/>
      </w:rPr>
    </w:tblStylePr>
    <w:tblStylePr w:type="lastCol">
      <w:rPr>
        <w:b/>
        <w:bCs/>
      </w:rPr>
    </w:tblStylePr>
    <w:tblStylePr w:type="band1Vert">
      <w:tblPr/>
      <w:tcPr>
        <w:shd w:color="auto" w:fill="D9E2F3" w:val="clear"/>
      </w:tcPr>
    </w:tblStylePr>
    <w:tblStylePr w:type="band1Horz">
      <w:tblPr/>
      <w:tcPr>
        <w:shd w:color="auto" w:fill="D9E2F3" w:val="clear"/>
      </w:tcPr>
    </w:tblStylePr>
  </w:style>
  <w:style w:styleId="GridTable4-Accent1" w:type="table">
    <w:name w:val="Grid Table 4 Accent 1"/>
    <w:basedOn w:val="TableNormal"/>
    <w:uiPriority w:val="49"/>
    <w:rsid w:val="00712952"/>
    <w:pPr>
      <w:spacing w:after="0" w:line="240" w:lineRule="auto"/>
    </w:pPr>
    <w:tblPr>
      <w:tblStyleRowBandSize w:val="1"/>
      <w:tblStyleColBandSize w:val="1"/>
      <w:tblBorders>
        <w:top w:color="45B0E1" w:space="0" w:sz="4" w:themeColor="accent1" w:themeTint="99" w:val="single"/>
        <w:left w:color="45B0E1" w:space="0" w:sz="4" w:themeColor="accent1" w:themeTint="99" w:val="single"/>
        <w:bottom w:color="45B0E1" w:space="0" w:sz="4" w:themeColor="accent1" w:themeTint="99" w:val="single"/>
        <w:right w:color="45B0E1" w:space="0" w:sz="4" w:themeColor="accent1" w:themeTint="99" w:val="single"/>
        <w:insideH w:color="45B0E1" w:space="0" w:sz="4" w:themeColor="accent1" w:themeTint="99" w:val="single"/>
        <w:insideV w:color="45B0E1" w:space="0" w:sz="4" w:themeColor="accent1" w:themeTint="99" w:val="single"/>
      </w:tblBorders>
    </w:tblPr>
    <w:tblStylePr w:type="firstRow">
      <w:rPr>
        <w:b/>
        <w:bCs/>
        <w:color w:themeColor="background1" w:val="FFFFFF"/>
      </w:rPr>
      <w:tblPr/>
      <w:tcPr>
        <w:tcBorders>
          <w:top w:color="156082" w:space="0" w:sz="4" w:themeColor="accent1" w:val="single"/>
          <w:left w:color="156082" w:space="0" w:sz="4" w:themeColor="accent1" w:val="single"/>
          <w:bottom w:color="156082" w:space="0" w:sz="4" w:themeColor="accent1" w:val="single"/>
          <w:right w:color="156082" w:space="0" w:sz="4" w:themeColor="accent1" w:val="single"/>
          <w:insideH w:val="nil"/>
          <w:insideV w:val="nil"/>
        </w:tcBorders>
        <w:shd w:color="auto" w:fill="156082" w:themeFill="accent1" w:val="clear"/>
      </w:tcPr>
    </w:tblStylePr>
    <w:tblStylePr w:type="lastRow">
      <w:rPr>
        <w:b/>
        <w:bCs/>
      </w:rPr>
      <w:tblPr/>
      <w:tcPr>
        <w:tcBorders>
          <w:top w:color="156082" w:space="0" w:sz="4" w:themeColor="accent1" w:val="double"/>
        </w:tcBorders>
      </w:tcPr>
    </w:tblStylePr>
    <w:tblStylePr w:type="firstCol">
      <w:rPr>
        <w:b/>
        <w:bCs/>
      </w:rPr>
    </w:tblStylePr>
    <w:tblStylePr w:type="lastCol">
      <w:rPr>
        <w:b/>
        <w:bCs/>
      </w:rPr>
    </w:tblStylePr>
    <w:tblStylePr w:type="band1Vert">
      <w:tblPr/>
      <w:tcPr>
        <w:shd w:color="auto" w:fill="C1E4F5" w:themeFill="accent1" w:themeFillTint="33" w:val="clear"/>
      </w:tcPr>
    </w:tblStylePr>
    <w:tblStylePr w:type="band1Horz">
      <w:tblPr/>
      <w:tcPr>
        <w:shd w:color="auto" w:fill="C1E4F5" w:themeFill="accent1" w:themeFillTint="33" w:val="clear"/>
      </w:tcPr>
    </w:tblStylePr>
  </w:style>
  <w:style w:customStyle="1" w:styleId="GridTable4-Accent12" w:type="table">
    <w:name w:val="Grid Table 4 - Accent 12"/>
    <w:basedOn w:val="TableNormal"/>
    <w:next w:val="GridTable4-Accent1"/>
    <w:uiPriority w:val="49"/>
    <w:rsid w:val="00F70E60"/>
    <w:pPr>
      <w:spacing w:after="0" w:line="240" w:lineRule="auto"/>
    </w:pPr>
    <w:rPr>
      <w:rFonts w:eastAsia="DengXian"/>
      <w:kern w:val="0"/>
      <w:sz w:val="22"/>
      <w:szCs w:val="22"/>
      <w:lang w:eastAsia="zh-CN"/>
      <w14:ligatures w14:val="none"/>
    </w:rPr>
    <w:tblPr>
      <w:tblStyleRowBandSize w:val="1"/>
      <w:tblStyleColBandSize w:val="1"/>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Pr>
    <w:tblStylePr w:type="firstRow">
      <w:rPr>
        <w:b/>
        <w:bCs/>
        <w:color w:val="FFFFFF"/>
      </w:rPr>
      <w:tblPr/>
      <w:tcPr>
        <w:tcBorders>
          <w:top w:color="4472C4" w:space="0" w:sz="4" w:val="single"/>
          <w:left w:color="4472C4" w:space="0" w:sz="4" w:val="single"/>
          <w:bottom w:color="4472C4" w:space="0" w:sz="4" w:val="single"/>
          <w:right w:color="4472C4" w:space="0" w:sz="4" w:val="single"/>
          <w:insideH w:val="nil"/>
          <w:insideV w:val="nil"/>
        </w:tcBorders>
        <w:shd w:color="auto" w:fill="4472C4" w:val="clear"/>
      </w:tcPr>
    </w:tblStylePr>
    <w:tblStylePr w:type="lastRow">
      <w:rPr>
        <w:b/>
        <w:bCs/>
      </w:rPr>
      <w:tblPr/>
      <w:tcPr>
        <w:tcBorders>
          <w:top w:color="4472C4" w:space="0" w:sz="4" w:val="double"/>
        </w:tcBorders>
      </w:tcPr>
    </w:tblStylePr>
    <w:tblStylePr w:type="firstCol">
      <w:rPr>
        <w:b/>
        <w:bCs/>
      </w:rPr>
    </w:tblStylePr>
    <w:tblStylePr w:type="lastCol">
      <w:rPr>
        <w:b/>
        <w:bCs/>
      </w:rPr>
    </w:tblStylePr>
    <w:tblStylePr w:type="band1Vert">
      <w:tblPr/>
      <w:tcPr>
        <w:shd w:color="auto" w:fill="D9E2F3" w:val="clear"/>
      </w:tcPr>
    </w:tblStylePr>
    <w:tblStylePr w:type="band1Horz">
      <w:tblPr/>
      <w:tcPr>
        <w:shd w:color="auto" w:fill="D9E2F3" w:val="clear"/>
      </w:tcPr>
    </w:tblStylePr>
  </w:style>
  <w:style w:styleId="TableGrid" w:type="table">
    <w:name w:val="Table Grid"/>
    <w:aliases w:val="Tabla Microsoft Servicios,Table Grid (MS Design format),TMR Table,Document Control Table,Table 1,Table1Formatting"/>
    <w:basedOn w:val="TableNormal"/>
    <w:uiPriority w:val="59"/>
    <w:qFormat/>
    <w:rsid w:val="008E12E9"/>
    <w:pPr>
      <w:spacing w:after="0" w:line="240" w:lineRule="auto"/>
    </w:pPr>
    <w:rPr>
      <w:rFonts w:eastAsia="DengXian"/>
      <w:kern w:val="0"/>
      <w:sz w:val="22"/>
      <w:szCs w:val="22"/>
      <w:lang w:eastAsia="zh-CN"/>
      <w14:ligatures w14:val="none"/>
    </w:rPr>
    <w:tblPr/>
  </w:style>
  <w:style w:customStyle="1" w:styleId="GridTable4-Accent110" w:type="table">
    <w:name w:val="Grid Table 4 - Accent 110"/>
    <w:basedOn w:val="TableNormal"/>
    <w:next w:val="GridTable4-Accent1"/>
    <w:uiPriority w:val="49"/>
    <w:rsid w:val="00E83833"/>
    <w:pPr>
      <w:spacing w:after="0" w:line="240" w:lineRule="auto"/>
    </w:pPr>
    <w:rPr>
      <w:rFonts w:eastAsia="DengXian"/>
      <w:kern w:val="0"/>
      <w:sz w:val="22"/>
      <w:szCs w:val="22"/>
      <w:lang w:eastAsia="zh-CN"/>
      <w14:ligatures w14:val="none"/>
    </w:rPr>
    <w:tblPr>
      <w:tblStyleRowBandSize w:val="1"/>
      <w:tblStyleColBandSize w:val="1"/>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Pr>
    <w:tblStylePr w:type="firstRow">
      <w:rPr>
        <w:b/>
        <w:bCs/>
        <w:color w:val="FFFFFF"/>
      </w:rPr>
      <w:tblPr/>
      <w:tcPr>
        <w:tcBorders>
          <w:top w:color="4472C4" w:space="0" w:sz="4" w:val="single"/>
          <w:left w:color="4472C4" w:space="0" w:sz="4" w:val="single"/>
          <w:bottom w:color="4472C4" w:space="0" w:sz="4" w:val="single"/>
          <w:right w:color="4472C4" w:space="0" w:sz="4" w:val="single"/>
          <w:insideH w:val="nil"/>
          <w:insideV w:val="nil"/>
        </w:tcBorders>
        <w:shd w:color="auto" w:fill="4472C4" w:val="clear"/>
      </w:tcPr>
    </w:tblStylePr>
    <w:tblStylePr w:type="lastRow">
      <w:rPr>
        <w:b/>
        <w:bCs/>
      </w:rPr>
      <w:tblPr/>
      <w:tcPr>
        <w:tcBorders>
          <w:top w:color="4472C4" w:space="0" w:sz="4" w:val="double"/>
        </w:tcBorders>
      </w:tcPr>
    </w:tblStylePr>
    <w:tblStylePr w:type="firstCol">
      <w:rPr>
        <w:b/>
        <w:bCs/>
      </w:rPr>
    </w:tblStylePr>
    <w:tblStylePr w:type="lastCol">
      <w:rPr>
        <w:b/>
        <w:bCs/>
      </w:rPr>
    </w:tblStylePr>
    <w:tblStylePr w:type="band1Vert">
      <w:tblPr/>
      <w:tcPr>
        <w:shd w:color="auto" w:fill="D9E2F3" w:val="clear"/>
      </w:tcPr>
    </w:tblStylePr>
    <w:tblStylePr w:type="band1Horz">
      <w:tblPr/>
      <w:tcPr>
        <w:shd w:color="auto" w:fill="D9E2F3" w:val="clear"/>
      </w:tcPr>
    </w:tblStylePr>
  </w:style>
  <w:style w:customStyle="1" w:styleId="GridTable4-Accent13" w:type="table">
    <w:name w:val="Grid Table 4 - Accent 13"/>
    <w:basedOn w:val="TableNormal"/>
    <w:next w:val="GridTable4-Accent1"/>
    <w:uiPriority w:val="49"/>
    <w:rsid w:val="00263059"/>
    <w:pPr>
      <w:spacing w:after="0" w:line="240" w:lineRule="auto"/>
    </w:pPr>
    <w:rPr>
      <w:rFonts w:eastAsia="DengXian"/>
      <w:kern w:val="0"/>
      <w:sz w:val="22"/>
      <w:szCs w:val="22"/>
      <w:lang w:eastAsia="zh-CN"/>
      <w14:ligatures w14:val="none"/>
    </w:rPr>
    <w:tblPr>
      <w:tblStyleRowBandSize w:val="1"/>
      <w:tblStyleColBandSize w:val="1"/>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Pr>
    <w:tblStylePr w:type="firstRow">
      <w:rPr>
        <w:b/>
        <w:bCs/>
        <w:color w:val="FFFFFF"/>
      </w:rPr>
      <w:tblPr/>
      <w:tcPr>
        <w:tcBorders>
          <w:top w:color="4472C4" w:space="0" w:sz="4" w:val="single"/>
          <w:left w:color="4472C4" w:space="0" w:sz="4" w:val="single"/>
          <w:bottom w:color="4472C4" w:space="0" w:sz="4" w:val="single"/>
          <w:right w:color="4472C4" w:space="0" w:sz="4" w:val="single"/>
          <w:insideH w:val="nil"/>
          <w:insideV w:val="nil"/>
        </w:tcBorders>
        <w:shd w:color="auto" w:fill="4472C4" w:val="clear"/>
      </w:tcPr>
    </w:tblStylePr>
    <w:tblStylePr w:type="lastRow">
      <w:rPr>
        <w:b/>
        <w:bCs/>
      </w:rPr>
      <w:tblPr/>
      <w:tcPr>
        <w:tcBorders>
          <w:top w:color="4472C4" w:space="0" w:sz="4" w:val="double"/>
        </w:tcBorders>
      </w:tcPr>
    </w:tblStylePr>
    <w:tblStylePr w:type="firstCol">
      <w:rPr>
        <w:b/>
        <w:bCs/>
      </w:rPr>
    </w:tblStylePr>
    <w:tblStylePr w:type="lastCol">
      <w:rPr>
        <w:b/>
        <w:bCs/>
      </w:rPr>
    </w:tblStylePr>
    <w:tblStylePr w:type="band1Vert">
      <w:tblPr/>
      <w:tcPr>
        <w:shd w:color="auto" w:fill="D9E2F3" w:val="clear"/>
      </w:tcPr>
    </w:tblStylePr>
    <w:tblStylePr w:type="band1Horz">
      <w:tblPr/>
      <w:tcPr>
        <w:shd w:color="auto" w:fill="D9E2F3" w:val="clear"/>
      </w:tcPr>
    </w:tblStylePr>
  </w:style>
  <w:style w:customStyle="1" w:styleId="GridTable5Dark-Accent11" w:type="table">
    <w:name w:val="Grid Table 5 Dark - Accent 11"/>
    <w:basedOn w:val="TableNormal"/>
    <w:next w:val="GridTable5Dark-Accent1"/>
    <w:uiPriority w:val="50"/>
    <w:rsid w:val="00956D7A"/>
    <w:pPr>
      <w:spacing w:after="0" w:line="240" w:lineRule="auto"/>
    </w:pPr>
    <w:rPr>
      <w:rFonts w:eastAsia="DengXian"/>
      <w:kern w:val="0"/>
      <w:sz w:val="22"/>
      <w:szCs w:val="22"/>
      <w:lang w:eastAsia="zh-CN"/>
      <w14:ligatures w14:val="none"/>
    </w:rPr>
    <w:tblPr>
      <w:tblStyleRowBandSize w:val="1"/>
      <w:tblStyleColBandSize w:val="1"/>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Pr>
    <w:tcPr>
      <w:shd w:color="auto" w:fill="D9E2F3" w:val="clear"/>
    </w:tcPr>
    <w:tblStylePr w:type="firstRow">
      <w:rPr>
        <w:b/>
        <w:bCs/>
        <w:color w:val="FFFFFF"/>
      </w:rPr>
      <w:tblPr/>
      <w:tcPr>
        <w:tcBorders>
          <w:top w:color="FFFFFF" w:space="0" w:sz="4" w:val="single"/>
          <w:left w:color="FFFFFF" w:space="0" w:sz="4" w:val="single"/>
          <w:right w:color="FFFFFF" w:space="0" w:sz="4" w:val="single"/>
          <w:insideH w:val="nil"/>
          <w:insideV w:val="nil"/>
        </w:tcBorders>
        <w:shd w:color="auto" w:fill="4472C4" w:val="clear"/>
      </w:tcPr>
    </w:tblStylePr>
    <w:tblStylePr w:type="lastRow">
      <w:rPr>
        <w:b/>
        <w:bCs/>
        <w:color w:val="FFFFFF"/>
      </w:rPr>
      <w:tblPr/>
      <w:tcPr>
        <w:tcBorders>
          <w:left w:color="FFFFFF" w:space="0" w:sz="4" w:val="single"/>
          <w:bottom w:color="FFFFFF" w:space="0" w:sz="4" w:val="single"/>
          <w:right w:color="FFFFFF" w:space="0" w:sz="4" w:val="single"/>
          <w:insideH w:val="nil"/>
          <w:insideV w:val="nil"/>
        </w:tcBorders>
        <w:shd w:color="auto" w:fill="4472C4" w:val="clear"/>
      </w:tcPr>
    </w:tblStylePr>
    <w:tblStylePr w:type="firstCol">
      <w:rPr>
        <w:b/>
        <w:bCs/>
        <w:color w:val="FFFFFF"/>
      </w:rPr>
      <w:tblPr/>
      <w:tcPr>
        <w:tcBorders>
          <w:top w:color="FFFFFF" w:space="0" w:sz="4" w:val="single"/>
          <w:left w:color="FFFFFF" w:space="0" w:sz="4" w:val="single"/>
          <w:bottom w:color="FFFFFF" w:space="0" w:sz="4" w:val="single"/>
          <w:insideV w:val="nil"/>
        </w:tcBorders>
        <w:shd w:color="auto" w:fill="4472C4" w:val="clear"/>
      </w:tcPr>
    </w:tblStylePr>
    <w:tblStylePr w:type="lastCol">
      <w:rPr>
        <w:b/>
        <w:bCs/>
        <w:color w:val="FFFFFF"/>
      </w:rPr>
      <w:tblPr/>
      <w:tcPr>
        <w:tcBorders>
          <w:top w:color="FFFFFF" w:space="0" w:sz="4" w:val="single"/>
          <w:bottom w:color="FFFFFF" w:space="0" w:sz="4" w:val="single"/>
          <w:right w:color="FFFFFF" w:space="0" w:sz="4" w:val="single"/>
          <w:insideV w:val="nil"/>
        </w:tcBorders>
        <w:shd w:color="auto" w:fill="4472C4" w:val="clear"/>
      </w:tcPr>
    </w:tblStylePr>
    <w:tblStylePr w:type="band1Vert">
      <w:tblPr/>
      <w:tcPr>
        <w:shd w:color="auto" w:fill="B4C6E7" w:val="clear"/>
      </w:tcPr>
    </w:tblStylePr>
    <w:tblStylePr w:type="band1Horz">
      <w:tblPr/>
      <w:tcPr>
        <w:shd w:color="auto" w:fill="B4C6E7" w:val="clear"/>
      </w:tcPr>
    </w:tblStylePr>
  </w:style>
  <w:style w:styleId="GridTable5Dark-Accent1" w:type="table">
    <w:name w:val="Grid Table 5 Dark Accent 1"/>
    <w:basedOn w:val="TableNormal"/>
    <w:uiPriority w:val="50"/>
    <w:rsid w:val="00956D7A"/>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1E4F5" w:themeFill="accen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156082" w:themeFill="accen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156082" w:themeFill="accen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156082" w:themeFill="accen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156082" w:themeFill="accent1" w:val="clear"/>
      </w:tcPr>
    </w:tblStylePr>
    <w:tblStylePr w:type="band1Vert">
      <w:tblPr/>
      <w:tcPr>
        <w:shd w:color="auto" w:fill="83CAEB" w:themeFill="accent1" w:themeFillTint="66" w:val="clear"/>
      </w:tcPr>
    </w:tblStylePr>
    <w:tblStylePr w:type="band1Horz">
      <w:tblPr/>
      <w:tcPr>
        <w:shd w:color="auto" w:fill="83CAEB" w:themeFill="accent1" w:themeFillTint="66" w:val="clear"/>
      </w:tcPr>
    </w:tblStylePr>
  </w:style>
  <w:style w:customStyle="1" w:styleId="GridTable4-Accent14" w:type="table">
    <w:name w:val="Grid Table 4 - Accent 14"/>
    <w:basedOn w:val="TableNormal"/>
    <w:next w:val="GridTable4-Accent1"/>
    <w:uiPriority w:val="49"/>
    <w:rsid w:val="00CE2ADC"/>
    <w:pPr>
      <w:spacing w:after="0" w:line="240" w:lineRule="auto"/>
    </w:pPr>
    <w:rPr>
      <w:rFonts w:eastAsia="DengXian"/>
      <w:kern w:val="0"/>
      <w:sz w:val="22"/>
      <w:szCs w:val="22"/>
      <w:lang w:eastAsia="zh-CN"/>
      <w14:ligatures w14:val="none"/>
    </w:rPr>
    <w:tblPr>
      <w:tblStyleRowBandSize w:val="1"/>
      <w:tblStyleColBandSize w:val="1"/>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Pr>
    <w:tblStylePr w:type="firstRow">
      <w:rPr>
        <w:b/>
        <w:bCs/>
        <w:color w:val="FFFFFF"/>
      </w:rPr>
      <w:tblPr/>
      <w:tcPr>
        <w:tcBorders>
          <w:top w:color="4472C4" w:space="0" w:sz="4" w:val="single"/>
          <w:left w:color="4472C4" w:space="0" w:sz="4" w:val="single"/>
          <w:bottom w:color="4472C4" w:space="0" w:sz="4" w:val="single"/>
          <w:right w:color="4472C4" w:space="0" w:sz="4" w:val="single"/>
          <w:insideH w:val="nil"/>
          <w:insideV w:val="nil"/>
        </w:tcBorders>
        <w:shd w:color="auto" w:fill="4472C4" w:val="clear"/>
      </w:tcPr>
    </w:tblStylePr>
    <w:tblStylePr w:type="lastRow">
      <w:rPr>
        <w:b/>
        <w:bCs/>
      </w:rPr>
      <w:tblPr/>
      <w:tcPr>
        <w:tcBorders>
          <w:top w:color="4472C4" w:space="0" w:sz="4" w:val="double"/>
        </w:tcBorders>
      </w:tcPr>
    </w:tblStylePr>
    <w:tblStylePr w:type="firstCol">
      <w:rPr>
        <w:b/>
        <w:bCs/>
      </w:rPr>
    </w:tblStylePr>
    <w:tblStylePr w:type="lastCol">
      <w:rPr>
        <w:b/>
        <w:bCs/>
      </w:rPr>
    </w:tblStylePr>
    <w:tblStylePr w:type="band1Vert">
      <w:tblPr/>
      <w:tcPr>
        <w:shd w:color="auto" w:fill="D9E2F3" w:val="clear"/>
      </w:tcPr>
    </w:tblStylePr>
    <w:tblStylePr w:type="band1Horz">
      <w:tblPr/>
      <w:tcPr>
        <w:shd w:color="auto" w:fill="D9E2F3" w:val="clear"/>
      </w:tcPr>
    </w:tblStylePr>
  </w:style>
  <w:style w:customStyle="1" w:styleId="GridTable4-Accent15" w:type="table">
    <w:name w:val="Grid Table 4 - Accent 15"/>
    <w:basedOn w:val="TableNormal"/>
    <w:next w:val="GridTable4-Accent1"/>
    <w:uiPriority w:val="49"/>
    <w:rsid w:val="00F81054"/>
    <w:pPr>
      <w:spacing w:after="0" w:line="240" w:lineRule="auto"/>
    </w:pPr>
    <w:rPr>
      <w:rFonts w:eastAsia="DengXian"/>
      <w:kern w:val="0"/>
      <w:sz w:val="22"/>
      <w:szCs w:val="22"/>
      <w:lang w:eastAsia="zh-CN"/>
      <w14:ligatures w14:val="none"/>
    </w:rPr>
    <w:tblPr>
      <w:tblStyleRowBandSize w:val="1"/>
      <w:tblStyleColBandSize w:val="1"/>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Pr>
    <w:tblStylePr w:type="firstRow">
      <w:rPr>
        <w:b/>
        <w:bCs/>
        <w:color w:val="FFFFFF"/>
      </w:rPr>
      <w:tblPr/>
      <w:tcPr>
        <w:tcBorders>
          <w:top w:color="4472C4" w:space="0" w:sz="4" w:val="single"/>
          <w:left w:color="4472C4" w:space="0" w:sz="4" w:val="single"/>
          <w:bottom w:color="4472C4" w:space="0" w:sz="4" w:val="single"/>
          <w:right w:color="4472C4" w:space="0" w:sz="4" w:val="single"/>
          <w:insideH w:val="nil"/>
          <w:insideV w:val="nil"/>
        </w:tcBorders>
        <w:shd w:color="auto" w:fill="4472C4" w:val="clear"/>
      </w:tcPr>
    </w:tblStylePr>
    <w:tblStylePr w:type="lastRow">
      <w:rPr>
        <w:b/>
        <w:bCs/>
      </w:rPr>
      <w:tblPr/>
      <w:tcPr>
        <w:tcBorders>
          <w:top w:color="4472C4" w:space="0" w:sz="4" w:val="double"/>
        </w:tcBorders>
      </w:tcPr>
    </w:tblStylePr>
    <w:tblStylePr w:type="firstCol">
      <w:rPr>
        <w:b/>
        <w:bCs/>
      </w:rPr>
    </w:tblStylePr>
    <w:tblStylePr w:type="lastCol">
      <w:rPr>
        <w:b/>
        <w:bCs/>
      </w:rPr>
    </w:tblStylePr>
    <w:tblStylePr w:type="band1Vert">
      <w:tblPr/>
      <w:tcPr>
        <w:shd w:color="auto" w:fill="D9E2F3" w:val="clear"/>
      </w:tcPr>
    </w:tblStylePr>
    <w:tblStylePr w:type="band1Horz">
      <w:tblPr/>
      <w:tcPr>
        <w:shd w:color="auto" w:fill="D9E2F3" w:val="clear"/>
      </w:tcPr>
    </w:tblStylePr>
  </w:style>
  <w:style w:customStyle="1" w:styleId="GridTable4-Accent16" w:type="table">
    <w:name w:val="Grid Table 4 - Accent 16"/>
    <w:basedOn w:val="TableNormal"/>
    <w:next w:val="GridTable4-Accent1"/>
    <w:uiPriority w:val="49"/>
    <w:rsid w:val="0002767B"/>
    <w:pPr>
      <w:spacing w:after="0" w:line="240" w:lineRule="auto"/>
    </w:pPr>
    <w:rPr>
      <w:rFonts w:eastAsia="DengXian"/>
      <w:kern w:val="0"/>
      <w:sz w:val="22"/>
      <w:szCs w:val="22"/>
      <w:lang w:eastAsia="zh-CN"/>
      <w14:ligatures w14:val="none"/>
    </w:rPr>
    <w:tblPr>
      <w:tblStyleRowBandSize w:val="1"/>
      <w:tblStyleColBandSize w:val="1"/>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Pr>
    <w:tblStylePr w:type="firstRow">
      <w:rPr>
        <w:b/>
        <w:bCs/>
        <w:color w:val="FFFFFF"/>
      </w:rPr>
      <w:tblPr/>
      <w:tcPr>
        <w:tcBorders>
          <w:top w:color="4472C4" w:space="0" w:sz="4" w:val="single"/>
          <w:left w:color="4472C4" w:space="0" w:sz="4" w:val="single"/>
          <w:bottom w:color="4472C4" w:space="0" w:sz="4" w:val="single"/>
          <w:right w:color="4472C4" w:space="0" w:sz="4" w:val="single"/>
          <w:insideH w:val="nil"/>
          <w:insideV w:val="nil"/>
        </w:tcBorders>
        <w:shd w:color="auto" w:fill="4472C4" w:val="clear"/>
      </w:tcPr>
    </w:tblStylePr>
    <w:tblStylePr w:type="lastRow">
      <w:rPr>
        <w:b/>
        <w:bCs/>
      </w:rPr>
      <w:tblPr/>
      <w:tcPr>
        <w:tcBorders>
          <w:top w:color="4472C4" w:space="0" w:sz="4" w:val="double"/>
        </w:tcBorders>
      </w:tcPr>
    </w:tblStylePr>
    <w:tblStylePr w:type="firstCol">
      <w:rPr>
        <w:b/>
        <w:bCs/>
      </w:rPr>
    </w:tblStylePr>
    <w:tblStylePr w:type="lastCol">
      <w:rPr>
        <w:b/>
        <w:bCs/>
      </w:rPr>
    </w:tblStylePr>
    <w:tblStylePr w:type="band1Vert">
      <w:tblPr/>
      <w:tcPr>
        <w:shd w:color="auto" w:fill="D9E2F3" w:val="clear"/>
      </w:tcPr>
    </w:tblStylePr>
    <w:tblStylePr w:type="band1Horz">
      <w:tblPr/>
      <w:tcPr>
        <w:shd w:color="auto" w:fill="D9E2F3" w:val="clear"/>
      </w:tcPr>
    </w:tblStylePr>
  </w:style>
  <w:style w:customStyle="1" w:styleId="GridTable4-Accent17" w:type="table">
    <w:name w:val="Grid Table 4 - Accent 17"/>
    <w:basedOn w:val="TableNormal"/>
    <w:next w:val="GridTable4-Accent1"/>
    <w:uiPriority w:val="49"/>
    <w:rsid w:val="00A4184C"/>
    <w:pPr>
      <w:spacing w:after="0" w:line="240" w:lineRule="auto"/>
    </w:pPr>
    <w:rPr>
      <w:rFonts w:eastAsia="DengXian"/>
      <w:kern w:val="0"/>
      <w:sz w:val="22"/>
      <w:szCs w:val="22"/>
      <w:lang w:eastAsia="zh-CN"/>
      <w14:ligatures w14:val="none"/>
    </w:rPr>
    <w:tblPr>
      <w:tblStyleRowBandSize w:val="1"/>
      <w:tblStyleColBandSize w:val="1"/>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Pr>
    <w:tblStylePr w:type="firstRow">
      <w:rPr>
        <w:b/>
        <w:bCs/>
        <w:color w:val="FFFFFF"/>
      </w:rPr>
      <w:tblPr/>
      <w:tcPr>
        <w:tcBorders>
          <w:top w:color="4472C4" w:space="0" w:sz="4" w:val="single"/>
          <w:left w:color="4472C4" w:space="0" w:sz="4" w:val="single"/>
          <w:bottom w:color="4472C4" w:space="0" w:sz="4" w:val="single"/>
          <w:right w:color="4472C4" w:space="0" w:sz="4" w:val="single"/>
          <w:insideH w:val="nil"/>
          <w:insideV w:val="nil"/>
        </w:tcBorders>
        <w:shd w:color="auto" w:fill="4472C4" w:val="clear"/>
      </w:tcPr>
    </w:tblStylePr>
    <w:tblStylePr w:type="lastRow">
      <w:rPr>
        <w:b/>
        <w:bCs/>
      </w:rPr>
      <w:tblPr/>
      <w:tcPr>
        <w:tcBorders>
          <w:top w:color="4472C4" w:space="0" w:sz="4" w:val="double"/>
        </w:tcBorders>
      </w:tcPr>
    </w:tblStylePr>
    <w:tblStylePr w:type="firstCol">
      <w:rPr>
        <w:b/>
        <w:bCs/>
      </w:rPr>
    </w:tblStylePr>
    <w:tblStylePr w:type="lastCol">
      <w:rPr>
        <w:b/>
        <w:bCs/>
      </w:rPr>
    </w:tblStylePr>
    <w:tblStylePr w:type="band1Vert">
      <w:tblPr/>
      <w:tcPr>
        <w:shd w:color="auto" w:fill="D9E2F3" w:val="clear"/>
      </w:tcPr>
    </w:tblStylePr>
    <w:tblStylePr w:type="band1Horz">
      <w:tblPr/>
      <w:tcPr>
        <w:shd w:color="auto" w:fill="D9E2F3" w:val="clear"/>
      </w:tcPr>
    </w:tblStylePr>
  </w:style>
  <w:style w:customStyle="1" w:styleId="GridTable4-Accent18" w:type="table">
    <w:name w:val="Grid Table 4 - Accent 18"/>
    <w:basedOn w:val="TableNormal"/>
    <w:next w:val="GridTable4-Accent1"/>
    <w:uiPriority w:val="49"/>
    <w:rsid w:val="002033EE"/>
    <w:pPr>
      <w:spacing w:after="0" w:line="240" w:lineRule="auto"/>
    </w:pPr>
    <w:rPr>
      <w:rFonts w:eastAsia="DengXian"/>
      <w:kern w:val="0"/>
      <w:sz w:val="22"/>
      <w:szCs w:val="22"/>
      <w:lang w:eastAsia="zh-CN"/>
      <w14:ligatures w14:val="none"/>
    </w:rPr>
    <w:tblPr>
      <w:tblStyleRowBandSize w:val="1"/>
      <w:tblStyleColBandSize w:val="1"/>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Pr>
    <w:tblStylePr w:type="firstRow">
      <w:rPr>
        <w:b/>
        <w:bCs/>
        <w:color w:val="FFFFFF"/>
      </w:rPr>
      <w:tblPr/>
      <w:tcPr>
        <w:tcBorders>
          <w:top w:color="4472C4" w:space="0" w:sz="4" w:val="single"/>
          <w:left w:color="4472C4" w:space="0" w:sz="4" w:val="single"/>
          <w:bottom w:color="4472C4" w:space="0" w:sz="4" w:val="single"/>
          <w:right w:color="4472C4" w:space="0" w:sz="4" w:val="single"/>
          <w:insideH w:val="nil"/>
          <w:insideV w:val="nil"/>
        </w:tcBorders>
        <w:shd w:color="auto" w:fill="4472C4" w:val="clear"/>
      </w:tcPr>
    </w:tblStylePr>
    <w:tblStylePr w:type="lastRow">
      <w:rPr>
        <w:b/>
        <w:bCs/>
      </w:rPr>
      <w:tblPr/>
      <w:tcPr>
        <w:tcBorders>
          <w:top w:color="4472C4" w:space="0" w:sz="4" w:val="double"/>
        </w:tcBorders>
      </w:tcPr>
    </w:tblStylePr>
    <w:tblStylePr w:type="firstCol">
      <w:rPr>
        <w:b/>
        <w:bCs/>
      </w:rPr>
    </w:tblStylePr>
    <w:tblStylePr w:type="lastCol">
      <w:rPr>
        <w:b/>
        <w:bCs/>
      </w:rPr>
    </w:tblStylePr>
    <w:tblStylePr w:type="band1Vert">
      <w:tblPr/>
      <w:tcPr>
        <w:shd w:color="auto" w:fill="D9E2F3" w:val="clear"/>
      </w:tcPr>
    </w:tblStylePr>
    <w:tblStylePr w:type="band1Horz">
      <w:tblPr/>
      <w:tcPr>
        <w:shd w:color="auto" w:fill="D9E2F3" w:val="clear"/>
      </w:tcPr>
    </w:tblStylePr>
  </w:style>
  <w:style w:customStyle="1" w:styleId="GridTable4-Accent19" w:type="table">
    <w:name w:val="Grid Table 4 - Accent 19"/>
    <w:basedOn w:val="TableNormal"/>
    <w:next w:val="GridTable4-Accent1"/>
    <w:uiPriority w:val="49"/>
    <w:rsid w:val="00A059E1"/>
    <w:pPr>
      <w:spacing w:after="0" w:line="240" w:lineRule="auto"/>
    </w:pPr>
    <w:rPr>
      <w:rFonts w:eastAsia="DengXian"/>
      <w:kern w:val="0"/>
      <w:sz w:val="22"/>
      <w:szCs w:val="22"/>
      <w:lang w:eastAsia="zh-CN"/>
      <w14:ligatures w14:val="none"/>
    </w:rPr>
    <w:tblPr>
      <w:tblStyleRowBandSize w:val="1"/>
      <w:tblStyleColBandSize w:val="1"/>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Pr>
    <w:tblStylePr w:type="firstRow">
      <w:rPr>
        <w:b/>
        <w:bCs/>
        <w:color w:val="FFFFFF"/>
      </w:rPr>
      <w:tblPr/>
      <w:tcPr>
        <w:tcBorders>
          <w:top w:color="4472C4" w:space="0" w:sz="4" w:val="single"/>
          <w:left w:color="4472C4" w:space="0" w:sz="4" w:val="single"/>
          <w:bottom w:color="4472C4" w:space="0" w:sz="4" w:val="single"/>
          <w:right w:color="4472C4" w:space="0" w:sz="4" w:val="single"/>
          <w:insideH w:val="nil"/>
          <w:insideV w:val="nil"/>
        </w:tcBorders>
        <w:shd w:color="auto" w:fill="4472C4" w:val="clear"/>
      </w:tcPr>
    </w:tblStylePr>
    <w:tblStylePr w:type="lastRow">
      <w:rPr>
        <w:b/>
        <w:bCs/>
      </w:rPr>
      <w:tblPr/>
      <w:tcPr>
        <w:tcBorders>
          <w:top w:color="4472C4" w:space="0" w:sz="4" w:val="double"/>
        </w:tcBorders>
      </w:tcPr>
    </w:tblStylePr>
    <w:tblStylePr w:type="firstCol">
      <w:rPr>
        <w:b/>
        <w:bCs/>
      </w:rPr>
    </w:tblStylePr>
    <w:tblStylePr w:type="lastCol">
      <w:rPr>
        <w:b/>
        <w:bCs/>
      </w:rPr>
    </w:tblStylePr>
    <w:tblStylePr w:type="band1Vert">
      <w:tblPr/>
      <w:tcPr>
        <w:shd w:color="auto" w:fill="D9E2F3" w:val="clear"/>
      </w:tcPr>
    </w:tblStylePr>
    <w:tblStylePr w:type="band1Horz">
      <w:tblPr/>
      <w:tcPr>
        <w:shd w:color="auto" w:fill="D9E2F3" w:val="clear"/>
      </w:tcPr>
    </w:tblStylePr>
  </w:style>
  <w:style w:customStyle="1" w:styleId="GridTable5Dark-Accent12" w:type="table">
    <w:name w:val="Grid Table 5 Dark - Accent 12"/>
    <w:basedOn w:val="TableNormal"/>
    <w:next w:val="GridTable5Dark-Accent1"/>
    <w:uiPriority w:val="50"/>
    <w:rsid w:val="00D57980"/>
    <w:pPr>
      <w:spacing w:after="0" w:line="240" w:lineRule="auto"/>
    </w:pPr>
    <w:rPr>
      <w:rFonts w:eastAsia="DengXian"/>
      <w:kern w:val="0"/>
      <w:sz w:val="22"/>
      <w:szCs w:val="22"/>
      <w:lang w:eastAsia="zh-CN"/>
      <w14:ligatures w14:val="none"/>
    </w:rPr>
    <w:tblPr>
      <w:tblStyleRowBandSize w:val="1"/>
      <w:tblStyleColBandSize w:val="1"/>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Pr>
    <w:tcPr>
      <w:shd w:color="auto" w:fill="D9E2F3" w:val="clear"/>
    </w:tcPr>
    <w:tblStylePr w:type="firstRow">
      <w:rPr>
        <w:b/>
        <w:bCs/>
        <w:color w:val="FFFFFF"/>
      </w:rPr>
      <w:tblPr/>
      <w:tcPr>
        <w:tcBorders>
          <w:top w:color="FFFFFF" w:space="0" w:sz="4" w:val="single"/>
          <w:left w:color="FFFFFF" w:space="0" w:sz="4" w:val="single"/>
          <w:right w:color="FFFFFF" w:space="0" w:sz="4" w:val="single"/>
          <w:insideH w:val="nil"/>
          <w:insideV w:val="nil"/>
        </w:tcBorders>
        <w:shd w:color="auto" w:fill="4472C4" w:val="clear"/>
      </w:tcPr>
    </w:tblStylePr>
    <w:tblStylePr w:type="lastRow">
      <w:rPr>
        <w:b/>
        <w:bCs/>
        <w:color w:val="FFFFFF"/>
      </w:rPr>
      <w:tblPr/>
      <w:tcPr>
        <w:tcBorders>
          <w:left w:color="FFFFFF" w:space="0" w:sz="4" w:val="single"/>
          <w:bottom w:color="FFFFFF" w:space="0" w:sz="4" w:val="single"/>
          <w:right w:color="FFFFFF" w:space="0" w:sz="4" w:val="single"/>
          <w:insideH w:val="nil"/>
          <w:insideV w:val="nil"/>
        </w:tcBorders>
        <w:shd w:color="auto" w:fill="4472C4" w:val="clear"/>
      </w:tcPr>
    </w:tblStylePr>
    <w:tblStylePr w:type="firstCol">
      <w:rPr>
        <w:b/>
        <w:bCs/>
        <w:color w:val="FFFFFF"/>
      </w:rPr>
      <w:tblPr/>
      <w:tcPr>
        <w:tcBorders>
          <w:top w:color="FFFFFF" w:space="0" w:sz="4" w:val="single"/>
          <w:left w:color="FFFFFF" w:space="0" w:sz="4" w:val="single"/>
          <w:bottom w:color="FFFFFF" w:space="0" w:sz="4" w:val="single"/>
          <w:insideV w:val="nil"/>
        </w:tcBorders>
        <w:shd w:color="auto" w:fill="4472C4" w:val="clear"/>
      </w:tcPr>
    </w:tblStylePr>
    <w:tblStylePr w:type="lastCol">
      <w:rPr>
        <w:b/>
        <w:bCs/>
        <w:color w:val="FFFFFF"/>
      </w:rPr>
      <w:tblPr/>
      <w:tcPr>
        <w:tcBorders>
          <w:top w:color="FFFFFF" w:space="0" w:sz="4" w:val="single"/>
          <w:bottom w:color="FFFFFF" w:space="0" w:sz="4" w:val="single"/>
          <w:right w:color="FFFFFF" w:space="0" w:sz="4" w:val="single"/>
          <w:insideV w:val="nil"/>
        </w:tcBorders>
        <w:shd w:color="auto" w:fill="4472C4" w:val="clear"/>
      </w:tcPr>
    </w:tblStylePr>
    <w:tblStylePr w:type="band1Vert">
      <w:tblPr/>
      <w:tcPr>
        <w:shd w:color="auto" w:fill="B4C6E7" w:val="clear"/>
      </w:tcPr>
    </w:tblStylePr>
    <w:tblStylePr w:type="band1Horz">
      <w:tblPr/>
      <w:tcPr>
        <w:shd w:color="auto" w:fill="B4C6E7" w:val="clear"/>
      </w:tcPr>
    </w:tblStylePr>
  </w:style>
  <w:style w:customStyle="1" w:styleId="GridTable5Dark-Accent13" w:type="table">
    <w:name w:val="Grid Table 5 Dark - Accent 13"/>
    <w:basedOn w:val="TableNormal"/>
    <w:next w:val="GridTable5Dark-Accent1"/>
    <w:uiPriority w:val="50"/>
    <w:rsid w:val="00200F88"/>
    <w:pPr>
      <w:spacing w:after="0" w:line="240" w:lineRule="auto"/>
    </w:pPr>
    <w:rPr>
      <w:rFonts w:eastAsia="DengXian"/>
      <w:kern w:val="0"/>
      <w:sz w:val="22"/>
      <w:szCs w:val="22"/>
      <w:lang w:eastAsia="zh-CN"/>
      <w14:ligatures w14:val="none"/>
    </w:rPr>
    <w:tblPr>
      <w:tblStyleRowBandSize w:val="1"/>
      <w:tblStyleColBandSize w:val="1"/>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Pr>
    <w:tcPr>
      <w:shd w:color="auto" w:fill="D9E2F3" w:val="clear"/>
    </w:tcPr>
    <w:tblStylePr w:type="firstRow">
      <w:rPr>
        <w:b/>
        <w:bCs/>
        <w:color w:val="FFFFFF"/>
      </w:rPr>
      <w:tblPr/>
      <w:tcPr>
        <w:tcBorders>
          <w:top w:color="FFFFFF" w:space="0" w:sz="4" w:val="single"/>
          <w:left w:color="FFFFFF" w:space="0" w:sz="4" w:val="single"/>
          <w:right w:color="FFFFFF" w:space="0" w:sz="4" w:val="single"/>
          <w:insideH w:val="nil"/>
          <w:insideV w:val="nil"/>
        </w:tcBorders>
        <w:shd w:color="auto" w:fill="4472C4" w:val="clear"/>
      </w:tcPr>
    </w:tblStylePr>
    <w:tblStylePr w:type="lastRow">
      <w:rPr>
        <w:b/>
        <w:bCs/>
        <w:color w:val="FFFFFF"/>
      </w:rPr>
      <w:tblPr/>
      <w:tcPr>
        <w:tcBorders>
          <w:left w:color="FFFFFF" w:space="0" w:sz="4" w:val="single"/>
          <w:bottom w:color="FFFFFF" w:space="0" w:sz="4" w:val="single"/>
          <w:right w:color="FFFFFF" w:space="0" w:sz="4" w:val="single"/>
          <w:insideH w:val="nil"/>
          <w:insideV w:val="nil"/>
        </w:tcBorders>
        <w:shd w:color="auto" w:fill="4472C4" w:val="clear"/>
      </w:tcPr>
    </w:tblStylePr>
    <w:tblStylePr w:type="firstCol">
      <w:rPr>
        <w:b/>
        <w:bCs/>
        <w:color w:val="FFFFFF"/>
      </w:rPr>
      <w:tblPr/>
      <w:tcPr>
        <w:tcBorders>
          <w:top w:color="FFFFFF" w:space="0" w:sz="4" w:val="single"/>
          <w:left w:color="FFFFFF" w:space="0" w:sz="4" w:val="single"/>
          <w:bottom w:color="FFFFFF" w:space="0" w:sz="4" w:val="single"/>
          <w:insideV w:val="nil"/>
        </w:tcBorders>
        <w:shd w:color="auto" w:fill="4472C4" w:val="clear"/>
      </w:tcPr>
    </w:tblStylePr>
    <w:tblStylePr w:type="lastCol">
      <w:rPr>
        <w:b/>
        <w:bCs/>
        <w:color w:val="FFFFFF"/>
      </w:rPr>
      <w:tblPr/>
      <w:tcPr>
        <w:tcBorders>
          <w:top w:color="FFFFFF" w:space="0" w:sz="4" w:val="single"/>
          <w:bottom w:color="FFFFFF" w:space="0" w:sz="4" w:val="single"/>
          <w:right w:color="FFFFFF" w:space="0" w:sz="4" w:val="single"/>
          <w:insideV w:val="nil"/>
        </w:tcBorders>
        <w:shd w:color="auto" w:fill="4472C4" w:val="clear"/>
      </w:tcPr>
    </w:tblStylePr>
    <w:tblStylePr w:type="band1Vert">
      <w:tblPr/>
      <w:tcPr>
        <w:shd w:color="auto" w:fill="B4C6E7" w:val="clear"/>
      </w:tcPr>
    </w:tblStylePr>
    <w:tblStylePr w:type="band1Horz">
      <w:tblPr/>
      <w:tcPr>
        <w:shd w:color="auto" w:fill="B4C6E7" w:val="clear"/>
      </w:tcPr>
    </w:tblStylePr>
  </w:style>
  <w:style w:styleId="Revision" w:type="paragraph">
    <w:name w:val="Revision"/>
    <w:hidden/>
    <w:uiPriority w:val="99"/>
    <w:semiHidden/>
    <w:rsid w:val="00AE226B"/>
    <w:pPr>
      <w:spacing w:after="0" w:line="240" w:lineRule="auto"/>
    </w:pPr>
  </w:style>
  <w:style w:customStyle="1" w:styleId="GridTable4-Accent111" w:type="table">
    <w:name w:val="Grid Table 4 - Accent 111"/>
    <w:basedOn w:val="TableNormal"/>
    <w:next w:val="GridTable4-Accent1"/>
    <w:uiPriority w:val="49"/>
    <w:rsid w:val="004361B1"/>
    <w:pPr>
      <w:spacing w:after="0" w:line="240" w:lineRule="auto"/>
    </w:pPr>
    <w:rPr>
      <w:rFonts w:eastAsia="DengXian"/>
      <w:kern w:val="0"/>
      <w:sz w:val="22"/>
      <w:szCs w:val="22"/>
      <w:lang w:eastAsia="zh-CN"/>
      <w14:ligatures w14:val="none"/>
    </w:rPr>
    <w:tblPr>
      <w:tblStyleRowBandSize w:val="1"/>
      <w:tblStyleColBandSize w:val="1"/>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Pr>
    <w:tblStylePr w:type="firstRow">
      <w:rPr>
        <w:b/>
        <w:bCs/>
        <w:color w:val="FFFFFF"/>
      </w:rPr>
      <w:tblPr/>
      <w:tcPr>
        <w:tcBorders>
          <w:top w:color="4472C4" w:space="0" w:sz="4" w:val="single"/>
          <w:left w:color="4472C4" w:space="0" w:sz="4" w:val="single"/>
          <w:bottom w:color="4472C4" w:space="0" w:sz="4" w:val="single"/>
          <w:right w:color="4472C4" w:space="0" w:sz="4" w:val="single"/>
          <w:insideH w:val="nil"/>
          <w:insideV w:val="nil"/>
        </w:tcBorders>
        <w:shd w:color="auto" w:fill="4472C4" w:val="clear"/>
      </w:tcPr>
    </w:tblStylePr>
    <w:tblStylePr w:type="lastRow">
      <w:rPr>
        <w:b/>
        <w:bCs/>
      </w:rPr>
      <w:tblPr/>
      <w:tcPr>
        <w:tcBorders>
          <w:top w:color="4472C4" w:space="0" w:sz="4" w:val="double"/>
        </w:tcBorders>
      </w:tcPr>
    </w:tblStylePr>
    <w:tblStylePr w:type="firstCol">
      <w:rPr>
        <w:b/>
        <w:bCs/>
      </w:rPr>
    </w:tblStylePr>
    <w:tblStylePr w:type="lastCol">
      <w:rPr>
        <w:b/>
        <w:bCs/>
      </w:rPr>
    </w:tblStylePr>
    <w:tblStylePr w:type="band1Vert">
      <w:tblPr/>
      <w:tcPr>
        <w:shd w:color="auto" w:fill="D9E2F3" w:val="clear"/>
      </w:tcPr>
    </w:tblStylePr>
    <w:tblStylePr w:type="band1Horz">
      <w:tblPr/>
      <w:tcPr>
        <w:shd w:color="auto" w:fill="D9E2F3" w:val="clear"/>
      </w:tcPr>
    </w:tblStylePr>
  </w:style>
  <w:style w:customStyle="1" w:styleId="GridTable4-Accent112" w:type="table">
    <w:name w:val="Grid Table 4 - Accent 112"/>
    <w:basedOn w:val="TableNormal"/>
    <w:next w:val="GridTable4-Accent1"/>
    <w:uiPriority w:val="49"/>
    <w:rsid w:val="009117C6"/>
    <w:pPr>
      <w:spacing w:after="0" w:line="240" w:lineRule="auto"/>
    </w:pPr>
    <w:rPr>
      <w:rFonts w:eastAsia="DengXian"/>
      <w:kern w:val="0"/>
      <w:sz w:val="22"/>
      <w:szCs w:val="22"/>
      <w:lang w:eastAsia="zh-CN"/>
      <w14:ligatures w14:val="none"/>
    </w:rPr>
    <w:tblPr>
      <w:tblStyleRowBandSize w:val="1"/>
      <w:tblStyleColBandSize w:val="1"/>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Pr>
    <w:tblStylePr w:type="firstRow">
      <w:rPr>
        <w:b/>
        <w:bCs/>
        <w:color w:val="FFFFFF"/>
      </w:rPr>
      <w:tblPr/>
      <w:tcPr>
        <w:tcBorders>
          <w:top w:color="4472C4" w:space="0" w:sz="4" w:val="single"/>
          <w:left w:color="4472C4" w:space="0" w:sz="4" w:val="single"/>
          <w:bottom w:color="4472C4" w:space="0" w:sz="4" w:val="single"/>
          <w:right w:color="4472C4" w:space="0" w:sz="4" w:val="single"/>
          <w:insideH w:val="nil"/>
          <w:insideV w:val="nil"/>
        </w:tcBorders>
        <w:shd w:color="auto" w:fill="4472C4" w:val="clear"/>
      </w:tcPr>
    </w:tblStylePr>
    <w:tblStylePr w:type="lastRow">
      <w:rPr>
        <w:b/>
        <w:bCs/>
      </w:rPr>
      <w:tblPr/>
      <w:tcPr>
        <w:tcBorders>
          <w:top w:color="4472C4" w:space="0" w:sz="4" w:val="double"/>
        </w:tcBorders>
      </w:tcPr>
    </w:tblStylePr>
    <w:tblStylePr w:type="firstCol">
      <w:rPr>
        <w:b/>
        <w:bCs/>
      </w:rPr>
    </w:tblStylePr>
    <w:tblStylePr w:type="lastCol">
      <w:rPr>
        <w:b/>
        <w:bCs/>
      </w:rPr>
    </w:tblStylePr>
    <w:tblStylePr w:type="band1Vert">
      <w:tblPr/>
      <w:tcPr>
        <w:shd w:color="auto" w:fill="D9E2F3" w:val="clear"/>
      </w:tcPr>
    </w:tblStylePr>
    <w:tblStylePr w:type="band1Horz">
      <w:tblPr/>
      <w:tcPr>
        <w:shd w:color="auto" w:fill="D9E2F3" w:val="clear"/>
      </w:tcPr>
    </w:tblStylePr>
  </w:style>
  <w:style w:styleId="Hyperlink" w:type="character">
    <w:name w:val="Hyperlink"/>
    <w:basedOn w:val="DefaultParagraphFont"/>
    <w:uiPriority w:val="99"/>
    <w:unhideWhenUsed/>
    <w:rsid w:val="00C0224A"/>
    <w:rPr>
      <w:color w:themeColor="hyperlink" w:val="467886"/>
      <w:u w:val="single"/>
    </w:rPr>
  </w:style>
  <w:style w:styleId="UnresolvedMention" w:type="character">
    <w:name w:val="Unresolved Mention"/>
    <w:basedOn w:val="DefaultParagraphFont"/>
    <w:uiPriority w:val="99"/>
    <w:semiHidden/>
    <w:unhideWhenUsed/>
    <w:rsid w:val="000C4E68"/>
    <w:rPr>
      <w:color w:val="605E5C"/>
      <w:shd w:color="auto" w:fill="E1DFDD" w:val="clear"/>
    </w:rPr>
  </w:style>
  <w:style w:styleId="TOC1" w:type="paragraph">
    <w:name w:val="toc 1"/>
    <w:basedOn w:val="Normal"/>
    <w:next w:val="Normal"/>
    <w:autoRedefine/>
    <w:uiPriority w:val="39"/>
    <w:unhideWhenUsed/>
    <w:rsid w:val="00D1565B"/>
    <w:pPr>
      <w:spacing w:after="100"/>
    </w:pPr>
  </w:style>
  <w:style w:styleId="TOC2" w:type="paragraph">
    <w:name w:val="toc 2"/>
    <w:basedOn w:val="Normal"/>
    <w:next w:val="Normal"/>
    <w:autoRedefine/>
    <w:uiPriority w:val="39"/>
    <w:unhideWhenUsed/>
    <w:rsid w:val="00D1565B"/>
    <w:pPr>
      <w:spacing w:after="100"/>
      <w:ind w:left="240"/>
    </w:pPr>
  </w:style>
  <w:style w:styleId="TableofFigures" w:type="paragraph">
    <w:name w:val="table of figures"/>
    <w:basedOn w:val="Normal"/>
    <w:next w:val="Normal"/>
    <w:uiPriority w:val="99"/>
    <w:unhideWhenUsed/>
    <w:rsid w:val="00431A59"/>
    <w:pPr>
      <w:spacing w:after="0"/>
    </w:pPr>
  </w:style>
  <w:style w:styleId="CommentReference" w:type="character">
    <w:name w:val="annotation reference"/>
    <w:basedOn w:val="DefaultParagraphFont"/>
    <w:uiPriority w:val="99"/>
    <w:semiHidden/>
    <w:unhideWhenUsed/>
    <w:rsid w:val="00D756B8"/>
    <w:rPr>
      <w:sz w:val="16"/>
      <w:szCs w:val="16"/>
    </w:rPr>
  </w:style>
  <w:style w:styleId="CommentText" w:type="paragraph">
    <w:name w:val="annotation text"/>
    <w:basedOn w:val="Normal"/>
    <w:link w:val="CommentTextChar"/>
    <w:uiPriority w:val="99"/>
    <w:unhideWhenUsed/>
    <w:rsid w:val="00D756B8"/>
    <w:pPr>
      <w:spacing w:line="240" w:lineRule="auto"/>
    </w:pPr>
    <w:rPr>
      <w:sz w:val="20"/>
      <w:szCs w:val="20"/>
    </w:rPr>
  </w:style>
  <w:style w:customStyle="1" w:styleId="CommentTextChar" w:type="character">
    <w:name w:val="Comment Text Char"/>
    <w:basedOn w:val="DefaultParagraphFont"/>
    <w:link w:val="CommentText"/>
    <w:uiPriority w:val="99"/>
    <w:rsid w:val="00D756B8"/>
    <w:rPr>
      <w:sz w:val="20"/>
      <w:szCs w:val="20"/>
    </w:rPr>
  </w:style>
  <w:style w:styleId="CommentSubject" w:type="paragraph">
    <w:name w:val="annotation subject"/>
    <w:basedOn w:val="CommentText"/>
    <w:next w:val="CommentText"/>
    <w:link w:val="CommentSubjectChar"/>
    <w:uiPriority w:val="99"/>
    <w:semiHidden/>
    <w:unhideWhenUsed/>
    <w:rsid w:val="00D756B8"/>
    <w:rPr>
      <w:b/>
      <w:bCs/>
    </w:rPr>
  </w:style>
  <w:style w:customStyle="1" w:styleId="CommentSubjectChar" w:type="character">
    <w:name w:val="Comment Subject Char"/>
    <w:basedOn w:val="CommentTextChar"/>
    <w:link w:val="CommentSubject"/>
    <w:uiPriority w:val="99"/>
    <w:semiHidden/>
    <w:rsid w:val="00D756B8"/>
    <w:rPr>
      <w:b/>
      <w:bCs/>
      <w:sz w:val="20"/>
      <w:szCs w:val="20"/>
    </w:rPr>
  </w:style>
  <w:style w:styleId="Mention" w:type="character">
    <w:name w:val="Mention"/>
    <w:basedOn w:val="DefaultParagraphFont"/>
    <w:uiPriority w:val="99"/>
    <w:unhideWhenUsed/>
    <w:rsid w:val="00D756B8"/>
    <w:rPr>
      <w:color w:val="2B579A"/>
      <w:shd w:color="auto" w:fill="E1DFDD" w:val="clear"/>
    </w:rPr>
  </w:style>
  <w:style w:styleId="TOC3" w:type="paragraph">
    <w:name w:val="toc 3"/>
    <w:basedOn w:val="Normal"/>
    <w:next w:val="Normal"/>
    <w:autoRedefine/>
    <w:uiPriority w:val="39"/>
    <w:unhideWhenUsed/>
    <w:rsid w:val="00153FB7"/>
    <w:pPr>
      <w:spacing w:after="100"/>
      <w:ind w:left="48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1" Type="http://schemas.openxmlformats.org/officeDocument/2006/relationships/numbering" Target="numbering.xml"/><Relationship Id="rId20" Type="http://schemas.openxmlformats.org/officeDocument/2006/relationships/styles" Target="styles.xml"/><Relationship Id="rId19" Type="http://schemas.openxmlformats.org/officeDocument/2006/relationships/settings" Target="settings.xml"/><Relationship Id="rId18" Type="http://schemas.openxmlformats.org/officeDocument/2006/relationships/webSettings" Target="webSettings.xml"/><Relationship Id="rId17" Type="http://schemas.openxmlformats.org/officeDocument/2006/relationships/fontTable" Target="fontTable.xml"/><Relationship Id="rId16" Type="http://schemas.openxmlformats.org/officeDocument/2006/relationships/theme" Target="theme/theme1.xml"/><Relationship Id="rId15" Type="http://schemas.openxmlformats.org/officeDocument/2006/relationships/footnotes" Target="footnotes.xml"/><Relationship Id="rId14" Type="http://schemas.openxmlformats.org/officeDocument/2006/relationships/comments" Target="comments.xml"/><Relationship Id="rId13" Type="http://schemas.openxmlformats.org/officeDocument/2006/relationships/header" Target="header2.xml"/><Relationship Id="rId12" Type="http://schemas.openxmlformats.org/officeDocument/2006/relationships/footer" Target="footer1.xml"/><Relationship Id="rId11" Type="http://schemas.openxmlformats.org/officeDocument/2006/relationships/header" Target="header1.xml"/><Relationship Id="rId51" Type="http://schemas.openxmlformats.org/officeDocument/2006/relationships/image" Target="media/rId51.png"/><Relationship Id="rId27" Type="http://schemas.openxmlformats.org/officeDocument/2006/relationships/image" Target="media/rId27.png"/><Relationship Id="rId46" Type="http://schemas.openxmlformats.org/officeDocument/2006/relationships/image" Target="media/rId46.png"/><Relationship Id="rId31" Type="http://schemas.openxmlformats.org/officeDocument/2006/relationships/image" Target="media/rId31.png"/><Relationship Id="rId123" Type="http://schemas.openxmlformats.org/officeDocument/2006/relationships/hyperlink" Target="https://learn.microsoft.com/en-us/azure/active-directory/" TargetMode="External"/><Relationship Id="rId132" Type="http://schemas.openxmlformats.org/officeDocument/2006/relationships/hyperlink" Target="https://learn.microsoft.com/en-us/azure/active-directory/authentication/howto-mfa-getstarted" TargetMode="External"/><Relationship Id="rId129" Type="http://schemas.openxmlformats.org/officeDocument/2006/relationships/hyperlink" Target="https://learn.microsoft.com/en-us/azure/active-directory/conditional-access/overview" TargetMode="External"/><Relationship Id="rId127" Type="http://schemas.openxmlformats.org/officeDocument/2006/relationships/hyperlink" Target="https://learn.microsoft.com/en-us/azure/active-directory/enterprise-users/licensing-service-limits" TargetMode="External"/><Relationship Id="rId131" Type="http://schemas.openxmlformats.org/officeDocument/2006/relationships/hyperlink" Target="https://learn.microsoft.com/en-us/azure/active-directory/enterprise-users/security-best-practices" TargetMode="External"/><Relationship Id="rId133" Type="http://schemas.openxmlformats.org/officeDocument/2006/relationships/hyperlink" Target="https://learn.microsoft.com/en-us/azure/active-directory/privileged-identity-management/pim-configure" TargetMode="External"/><Relationship Id="rId183" Type="http://schemas.openxmlformats.org/officeDocument/2006/relationships/hyperlink" Target="https://learn.microsoft.com/en-us/azure/architecture/data-guide/big-data/data-integration-patterns" TargetMode="External"/><Relationship Id="rId98" Type="http://schemas.openxmlformats.org/officeDocument/2006/relationships/hyperlink" Target="https://learn.microsoft.com/en-us/azure/architecture/topics/compute" TargetMode="External"/><Relationship Id="rId124" Type="http://schemas.openxmlformats.org/officeDocument/2006/relationships/hyperlink" Target="https://learn.microsoft.com/en-us/azure/architecture/topics/identity" TargetMode="External"/><Relationship Id="rId111" Type="http://schemas.openxmlformats.org/officeDocument/2006/relationships/hyperlink" Target="https://learn.microsoft.com/en-us/azure/architecture/topics/network" TargetMode="External"/><Relationship Id="rId136" Type="http://schemas.openxmlformats.org/officeDocument/2006/relationships/hyperlink" Target="https://learn.microsoft.com/en-us/azure/azure-monitor/" TargetMode="External"/><Relationship Id="rId146" Type="http://schemas.openxmlformats.org/officeDocument/2006/relationships/hyperlink" Target="https://learn.microsoft.com/en-us/azure/azure-monitor/alerts/alerts-overview" TargetMode="External"/><Relationship Id="rId145" Type="http://schemas.openxmlformats.org/officeDocument/2006/relationships/hyperlink" Target="https://learn.microsoft.com/en-us/azure/azure-monitor/app/app-insights-overview" TargetMode="External"/><Relationship Id="rId144" Type="http://schemas.openxmlformats.org/officeDocument/2006/relationships/hyperlink" Target="https://learn.microsoft.com/en-us/azure/azure-monitor/best-practices" TargetMode="External"/><Relationship Id="rId138" Type="http://schemas.openxmlformats.org/officeDocument/2006/relationships/hyperlink" Target="https://learn.microsoft.com/en-us/azure/azure-monitor/essentials/activity-log" TargetMode="External"/><Relationship Id="rId142" Type="http://schemas.openxmlformats.org/officeDocument/2006/relationships/hyperlink" Target="https://learn.microsoft.com/en-us/azure/azure-monitor/essentials/diagnostic-settings" TargetMode="External"/><Relationship Id="rId140" Type="http://schemas.openxmlformats.org/officeDocument/2006/relationships/hyperlink" Target="https://learn.microsoft.com/en-us/azure/azure-monitor/limits" TargetMode="External"/><Relationship Id="rId137" Type="http://schemas.openxmlformats.org/officeDocument/2006/relationships/hyperlink" Target="https://learn.microsoft.com/en-us/azure/azure-monitor/logs/log-analytics-overview" TargetMode="External"/><Relationship Id="rId141" Type="http://schemas.openxmlformats.org/officeDocument/2006/relationships/hyperlink" Target="https://learn.microsoft.com/en-us/azure/azure-monitor/logs/log-analytics-workspace-limits" TargetMode="External"/><Relationship Id="rId102" Type="http://schemas.openxmlformats.org/officeDocument/2006/relationships/hyperlink" Target="https://learn.microsoft.com/en-us/azure/azure-resource-manager/management/azure-subscription-service-limits" TargetMode="External"/><Relationship Id="rId114" Type="http://schemas.openxmlformats.org/officeDocument/2006/relationships/hyperlink" Target="https://learn.microsoft.com/en-us/azure/azure-resource-manager/management/azure-subscription-service-limits#networking-limits" TargetMode="External"/><Relationship Id="rId155" Type="http://schemas.openxmlformats.org/officeDocument/2006/relationships/hyperlink" Target="https://learn.microsoft.com/en-us/azure/azure-resource-manager/management/lock-resources#limits" TargetMode="External"/><Relationship Id="rId158" Type="http://schemas.openxmlformats.org/officeDocument/2006/relationships/hyperlink" Target="https://learn.microsoft.com/en-us/azure/cost-management-billing/" TargetMode="External"/><Relationship Id="rId107" Type="http://schemas.openxmlformats.org/officeDocument/2006/relationships/hyperlink" Target="https://learn.microsoft.com/en-us/azure/cost-management-billing/reservations/save-compute-costs-reserved-vm-instances" TargetMode="External"/><Relationship Id="rId182" Type="http://schemas.openxmlformats.org/officeDocument/2006/relationships/hyperlink" Target="https://learn.microsoft.com/en-us/azure/data-factory/best-practices" TargetMode="External"/><Relationship Id="rId175" Type="http://schemas.openxmlformats.org/officeDocument/2006/relationships/hyperlink" Target="https://learn.microsoft.com/en-us/azure/data-factory/introduction" TargetMode="External"/><Relationship Id="rId184" Type="http://schemas.openxmlformats.org/officeDocument/2006/relationships/hyperlink" Target="https://learn.microsoft.com/en-us/azure/data-factory/monitor-visually" TargetMode="External"/><Relationship Id="rId179" Type="http://schemas.openxmlformats.org/officeDocument/2006/relationships/hyperlink" Target="https://learn.microsoft.com/en-us/azure/data-factory/quotas" TargetMode="External"/><Relationship Id="rId112" Type="http://schemas.openxmlformats.org/officeDocument/2006/relationships/hyperlink" Target="https://learn.microsoft.com/en-us/azure/expressroute/" TargetMode="External"/><Relationship Id="rId149" Type="http://schemas.openxmlformats.org/officeDocument/2006/relationships/hyperlink" Target="https://learn.microsoft.com/en-us/azure/governance/" TargetMode="External"/><Relationship Id="rId159" Type="http://schemas.openxmlformats.org/officeDocument/2006/relationships/hyperlink" Target="https://learn.microsoft.com/en-us/azure/governance/blueprints/overview" TargetMode="External"/><Relationship Id="rId151" Type="http://schemas.openxmlformats.org/officeDocument/2006/relationships/hyperlink" Target="https://learn.microsoft.com/en-us/azure/governance/management-groups/overview" TargetMode="External"/><Relationship Id="rId154" Type="http://schemas.openxmlformats.org/officeDocument/2006/relationships/hyperlink" Target="https://learn.microsoft.com/en-us/azure/governance/management-groups/overview#management-group-limits" TargetMode="External"/><Relationship Id="rId150" Type="http://schemas.openxmlformats.org/officeDocument/2006/relationships/hyperlink" Target="https://learn.microsoft.com/en-us/azure/governance/policy/" TargetMode="External"/><Relationship Id="rId153" Type="http://schemas.openxmlformats.org/officeDocument/2006/relationships/hyperlink" Target="https://learn.microsoft.com/en-us/azure/governance/policy/concepts/definition-structure#limits" TargetMode="External"/><Relationship Id="rId157" Type="http://schemas.openxmlformats.org/officeDocument/2006/relationships/hyperlink" Target="https://learn.microsoft.com/en-us/azure/governance/resource-consistency/" TargetMode="External"/><Relationship Id="rId120" Type="http://schemas.openxmlformats.org/officeDocument/2006/relationships/hyperlink" Target="https://learn.microsoft.com/en-us/azure/load-balancer/load-balancer-overview" TargetMode="External"/><Relationship Id="rId125" Type="http://schemas.openxmlformats.org/officeDocument/2006/relationships/hyperlink" Target="https://learn.microsoft.com/en-us/azure/security-center/" TargetMode="External"/><Relationship Id="rId118" Type="http://schemas.openxmlformats.org/officeDocument/2006/relationships/hyperlink" Target="https://learn.microsoft.com/en-us/azure/security/fundamentals/network-best-practices" TargetMode="External"/><Relationship Id="rId128" Type="http://schemas.openxmlformats.org/officeDocument/2006/relationships/hyperlink" Target="https://learn.microsoft.com/en-us/azure/security/fundamentals/subscription-service-limits" TargetMode="External"/><Relationship Id="rId177" Type="http://schemas.openxmlformats.org/officeDocument/2006/relationships/hyperlink" Target="https://learn.microsoft.com/en-us/azure/synapse-analytics/" TargetMode="External"/><Relationship Id="rId180" Type="http://schemas.openxmlformats.org/officeDocument/2006/relationships/hyperlink" Target="https://learn.microsoft.com/en-us/azure/synapse-analytics/limits" TargetMode="External"/><Relationship Id="rId97" Type="http://schemas.openxmlformats.org/officeDocument/2006/relationships/hyperlink" Target="https://learn.microsoft.com/en-us/azure/virtual-machines/" TargetMode="External"/><Relationship Id="rId103" Type="http://schemas.openxmlformats.org/officeDocument/2006/relationships/hyperlink" Target="https://learn.microsoft.com/en-us/azure/virtual-machines/availability-zone-support" TargetMode="External"/><Relationship Id="rId106" Type="http://schemas.openxmlformats.org/officeDocument/2006/relationships/hyperlink" Target="https://learn.microsoft.com/en-us/azure/virtual-machines/disks-types" TargetMode="External"/><Relationship Id="rId101" Type="http://schemas.openxmlformats.org/officeDocument/2006/relationships/hyperlink" Target="https://learn.microsoft.com/en-us/azure/virtual-machines/quotas" TargetMode="External"/><Relationship Id="rId99" Type="http://schemas.openxmlformats.org/officeDocument/2006/relationships/hyperlink" Target="https://learn.microsoft.com/en-us/azure/virtual-machines/sizes" TargetMode="External"/><Relationship Id="rId105" Type="http://schemas.openxmlformats.org/officeDocument/2006/relationships/hyperlink" Target="https://learn.microsoft.com/en-us/azure/virtual-machines/windows/best-practices" TargetMode="External"/><Relationship Id="rId110" Type="http://schemas.openxmlformats.org/officeDocument/2006/relationships/hyperlink" Target="https://learn.microsoft.com/en-us/azure/virtual-network/" TargetMode="External"/><Relationship Id="rId115" Type="http://schemas.openxmlformats.org/officeDocument/2006/relationships/hyperlink" Target="https://learn.microsoft.com/en-us/azure/virtual-network/virtual-network-peering-overview#requirements-and-constraints" TargetMode="External"/><Relationship Id="rId116" Type="http://schemas.openxmlformats.org/officeDocument/2006/relationships/hyperlink" Target="https://learn.microsoft.com/en-us/azure/virtual-network/virtual-network-public-ip-address" TargetMode="External"/><Relationship Id="rId119" Type="http://schemas.openxmlformats.org/officeDocument/2006/relationships/hyperlink" Target="https://learn.microsoft.com/en-us/azure/vpn-gateway/" TargetMode="External"/><Relationship Id="rId162" Type="http://schemas.openxmlformats.org/officeDocument/2006/relationships/hyperlink" Target="https://learn.microsoft.com/en-us/fabric/" TargetMode="External"/><Relationship Id="rId164" Type="http://schemas.openxmlformats.org/officeDocument/2006/relationships/hyperlink" Target="https://learn.microsoft.com/en-us/fabric/admin-portal/" TargetMode="External"/><Relationship Id="rId172" Type="http://schemas.openxmlformats.org/officeDocument/2006/relationships/hyperlink" Target="https://learn.microsoft.com/en-us/fabric/admin-portal/roles" TargetMode="External"/><Relationship Id="rId163" Type="http://schemas.openxmlformats.org/officeDocument/2006/relationships/hyperlink" Target="https://learn.microsoft.com/en-us/fabric/architecture/" TargetMode="External"/><Relationship Id="rId176" Type="http://schemas.openxmlformats.org/officeDocument/2006/relationships/hyperlink" Target="https://learn.microsoft.com/en-us/fabric/dataflows/" TargetMode="External"/><Relationship Id="rId168" Type="http://schemas.openxmlformats.org/officeDocument/2006/relationships/hyperlink" Target="https://learn.microsoft.com/en-us/fabric/dataflows/service-limits" TargetMode="External"/><Relationship Id="rId171" Type="http://schemas.openxmlformats.org/officeDocument/2006/relationships/hyperlink" Target="https://learn.microsoft.com/en-us/fabric/monitoring/" TargetMode="External"/><Relationship Id="rId170" Type="http://schemas.openxmlformats.org/officeDocument/2006/relationships/hyperlink" Target="https://learn.microsoft.com/en-us/fabric/security/" TargetMode="External"/><Relationship Id="rId166" Type="http://schemas.openxmlformats.org/officeDocument/2006/relationships/hyperlink" Target="https://learn.microsoft.com/en-us/fabric/service-limits" TargetMode="External"/><Relationship Id="rId167" Type="http://schemas.openxmlformats.org/officeDocument/2006/relationships/hyperlink" Target="https://learn.microsoft.com/en-us/fabric/workspaces/service-limits" TargetMode="External"/><Relationship Id="rId1" Type="http://schemas.openxmlformats.org/officeDocument/2006/relationships/image" Target="media/image2.png"/><Relationship Id="rId2" Type="http://schemas.openxmlformats.org/officeDocument/2006/relationships/image" Target="media/image3.jpg"/></Relationships>
</file>

<file path=word/_rels/footnotes.xml.rels><?xml version='1.0' encoding='UTF-8' standalone='yes'?>
<Relationships xmlns="http://schemas.openxmlformats.org/package/2006/relationships"><Relationship Id="rId123" Type="http://schemas.openxmlformats.org/officeDocument/2006/relationships/hyperlink" Target="https://learn.microsoft.com/en-us/azure/active-directory/" TargetMode="External"/><Relationship Id="rId132" Type="http://schemas.openxmlformats.org/officeDocument/2006/relationships/hyperlink" Target="https://learn.microsoft.com/en-us/azure/active-directory/authentication/howto-mfa-getstarted" TargetMode="External"/><Relationship Id="rId129" Type="http://schemas.openxmlformats.org/officeDocument/2006/relationships/hyperlink" Target="https://learn.microsoft.com/en-us/azure/active-directory/conditional-access/overview" TargetMode="External"/><Relationship Id="rId127" Type="http://schemas.openxmlformats.org/officeDocument/2006/relationships/hyperlink" Target="https://learn.microsoft.com/en-us/azure/active-directory/enterprise-users/licensing-service-limits" TargetMode="External"/><Relationship Id="rId131" Type="http://schemas.openxmlformats.org/officeDocument/2006/relationships/hyperlink" Target="https://learn.microsoft.com/en-us/azure/active-directory/enterprise-users/security-best-practices" TargetMode="External"/><Relationship Id="rId133" Type="http://schemas.openxmlformats.org/officeDocument/2006/relationships/hyperlink" Target="https://learn.microsoft.com/en-us/azure/active-directory/privileged-identity-management/pim-configure" TargetMode="External"/><Relationship Id="rId183" Type="http://schemas.openxmlformats.org/officeDocument/2006/relationships/hyperlink" Target="https://learn.microsoft.com/en-us/azure/architecture/data-guide/big-data/data-integration-patterns" TargetMode="External"/><Relationship Id="rId98" Type="http://schemas.openxmlformats.org/officeDocument/2006/relationships/hyperlink" Target="https://learn.microsoft.com/en-us/azure/architecture/topics/compute" TargetMode="External"/><Relationship Id="rId124" Type="http://schemas.openxmlformats.org/officeDocument/2006/relationships/hyperlink" Target="https://learn.microsoft.com/en-us/azure/architecture/topics/identity" TargetMode="External"/><Relationship Id="rId111" Type="http://schemas.openxmlformats.org/officeDocument/2006/relationships/hyperlink" Target="https://learn.microsoft.com/en-us/azure/architecture/topics/network" TargetMode="External"/><Relationship Id="rId136" Type="http://schemas.openxmlformats.org/officeDocument/2006/relationships/hyperlink" Target="https://learn.microsoft.com/en-us/azure/azure-monitor/" TargetMode="External"/><Relationship Id="rId146" Type="http://schemas.openxmlformats.org/officeDocument/2006/relationships/hyperlink" Target="https://learn.microsoft.com/en-us/azure/azure-monitor/alerts/alerts-overview" TargetMode="External"/><Relationship Id="rId145" Type="http://schemas.openxmlformats.org/officeDocument/2006/relationships/hyperlink" Target="https://learn.microsoft.com/en-us/azure/azure-monitor/app/app-insights-overview" TargetMode="External"/><Relationship Id="rId144" Type="http://schemas.openxmlformats.org/officeDocument/2006/relationships/hyperlink" Target="https://learn.microsoft.com/en-us/azure/azure-monitor/best-practices" TargetMode="External"/><Relationship Id="rId138" Type="http://schemas.openxmlformats.org/officeDocument/2006/relationships/hyperlink" Target="https://learn.microsoft.com/en-us/azure/azure-monitor/essentials/activity-log" TargetMode="External"/><Relationship Id="rId142" Type="http://schemas.openxmlformats.org/officeDocument/2006/relationships/hyperlink" Target="https://learn.microsoft.com/en-us/azure/azure-monitor/essentials/diagnostic-settings" TargetMode="External"/><Relationship Id="rId140" Type="http://schemas.openxmlformats.org/officeDocument/2006/relationships/hyperlink" Target="https://learn.microsoft.com/en-us/azure/azure-monitor/limits" TargetMode="External"/><Relationship Id="rId137" Type="http://schemas.openxmlformats.org/officeDocument/2006/relationships/hyperlink" Target="https://learn.microsoft.com/en-us/azure/azure-monitor/logs/log-analytics-overview" TargetMode="External"/><Relationship Id="rId141" Type="http://schemas.openxmlformats.org/officeDocument/2006/relationships/hyperlink" Target="https://learn.microsoft.com/en-us/azure/azure-monitor/logs/log-analytics-workspace-limits" TargetMode="External"/><Relationship Id="rId102" Type="http://schemas.openxmlformats.org/officeDocument/2006/relationships/hyperlink" Target="https://learn.microsoft.com/en-us/azure/azure-resource-manager/management/azure-subscription-service-limits" TargetMode="External"/><Relationship Id="rId114" Type="http://schemas.openxmlformats.org/officeDocument/2006/relationships/hyperlink" Target="https://learn.microsoft.com/en-us/azure/azure-resource-manager/management/azure-subscription-service-limits#networking-limits" TargetMode="External"/><Relationship Id="rId155" Type="http://schemas.openxmlformats.org/officeDocument/2006/relationships/hyperlink" Target="https://learn.microsoft.com/en-us/azure/azure-resource-manager/management/lock-resources#limits" TargetMode="External"/><Relationship Id="rId158" Type="http://schemas.openxmlformats.org/officeDocument/2006/relationships/hyperlink" Target="https://learn.microsoft.com/en-us/azure/cost-management-billing/" TargetMode="External"/><Relationship Id="rId107" Type="http://schemas.openxmlformats.org/officeDocument/2006/relationships/hyperlink" Target="https://learn.microsoft.com/en-us/azure/cost-management-billing/reservations/save-compute-costs-reserved-vm-instances" TargetMode="External"/><Relationship Id="rId182" Type="http://schemas.openxmlformats.org/officeDocument/2006/relationships/hyperlink" Target="https://learn.microsoft.com/en-us/azure/data-factory/best-practices" TargetMode="External"/><Relationship Id="rId175" Type="http://schemas.openxmlformats.org/officeDocument/2006/relationships/hyperlink" Target="https://learn.microsoft.com/en-us/azure/data-factory/introduction" TargetMode="External"/><Relationship Id="rId184" Type="http://schemas.openxmlformats.org/officeDocument/2006/relationships/hyperlink" Target="https://learn.microsoft.com/en-us/azure/data-factory/monitor-visually" TargetMode="External"/><Relationship Id="rId179" Type="http://schemas.openxmlformats.org/officeDocument/2006/relationships/hyperlink" Target="https://learn.microsoft.com/en-us/azure/data-factory/quotas" TargetMode="External"/><Relationship Id="rId112" Type="http://schemas.openxmlformats.org/officeDocument/2006/relationships/hyperlink" Target="https://learn.microsoft.com/en-us/azure/expressroute/" TargetMode="External"/><Relationship Id="rId149" Type="http://schemas.openxmlformats.org/officeDocument/2006/relationships/hyperlink" Target="https://learn.microsoft.com/en-us/azure/governance/" TargetMode="External"/><Relationship Id="rId159" Type="http://schemas.openxmlformats.org/officeDocument/2006/relationships/hyperlink" Target="https://learn.microsoft.com/en-us/azure/governance/blueprints/overview" TargetMode="External"/><Relationship Id="rId151" Type="http://schemas.openxmlformats.org/officeDocument/2006/relationships/hyperlink" Target="https://learn.microsoft.com/en-us/azure/governance/management-groups/overview" TargetMode="External"/><Relationship Id="rId154" Type="http://schemas.openxmlformats.org/officeDocument/2006/relationships/hyperlink" Target="https://learn.microsoft.com/en-us/azure/governance/management-groups/overview#management-group-limits" TargetMode="External"/><Relationship Id="rId150" Type="http://schemas.openxmlformats.org/officeDocument/2006/relationships/hyperlink" Target="https://learn.microsoft.com/en-us/azure/governance/policy/" TargetMode="External"/><Relationship Id="rId153" Type="http://schemas.openxmlformats.org/officeDocument/2006/relationships/hyperlink" Target="https://learn.microsoft.com/en-us/azure/governance/policy/concepts/definition-structure#limits" TargetMode="External"/><Relationship Id="rId157" Type="http://schemas.openxmlformats.org/officeDocument/2006/relationships/hyperlink" Target="https://learn.microsoft.com/en-us/azure/governance/resource-consistency/" TargetMode="External"/><Relationship Id="rId120" Type="http://schemas.openxmlformats.org/officeDocument/2006/relationships/hyperlink" Target="https://learn.microsoft.com/en-us/azure/load-balancer/load-balancer-overview" TargetMode="External"/><Relationship Id="rId125" Type="http://schemas.openxmlformats.org/officeDocument/2006/relationships/hyperlink" Target="https://learn.microsoft.com/en-us/azure/security-center/" TargetMode="External"/><Relationship Id="rId118" Type="http://schemas.openxmlformats.org/officeDocument/2006/relationships/hyperlink" Target="https://learn.microsoft.com/en-us/azure/security/fundamentals/network-best-practices" TargetMode="External"/><Relationship Id="rId128" Type="http://schemas.openxmlformats.org/officeDocument/2006/relationships/hyperlink" Target="https://learn.microsoft.com/en-us/azure/security/fundamentals/subscription-service-limits" TargetMode="External"/><Relationship Id="rId177" Type="http://schemas.openxmlformats.org/officeDocument/2006/relationships/hyperlink" Target="https://learn.microsoft.com/en-us/azure/synapse-analytics/" TargetMode="External"/><Relationship Id="rId180" Type="http://schemas.openxmlformats.org/officeDocument/2006/relationships/hyperlink" Target="https://learn.microsoft.com/en-us/azure/synapse-analytics/limits" TargetMode="External"/><Relationship Id="rId97" Type="http://schemas.openxmlformats.org/officeDocument/2006/relationships/hyperlink" Target="https://learn.microsoft.com/en-us/azure/virtual-machines/" TargetMode="External"/><Relationship Id="rId103" Type="http://schemas.openxmlformats.org/officeDocument/2006/relationships/hyperlink" Target="https://learn.microsoft.com/en-us/azure/virtual-machines/availability-zone-support" TargetMode="External"/><Relationship Id="rId106" Type="http://schemas.openxmlformats.org/officeDocument/2006/relationships/hyperlink" Target="https://learn.microsoft.com/en-us/azure/virtual-machines/disks-types" TargetMode="External"/><Relationship Id="rId101" Type="http://schemas.openxmlformats.org/officeDocument/2006/relationships/hyperlink" Target="https://learn.microsoft.com/en-us/azure/virtual-machines/quotas" TargetMode="External"/><Relationship Id="rId99" Type="http://schemas.openxmlformats.org/officeDocument/2006/relationships/hyperlink" Target="https://learn.microsoft.com/en-us/azure/virtual-machines/sizes" TargetMode="External"/><Relationship Id="rId105" Type="http://schemas.openxmlformats.org/officeDocument/2006/relationships/hyperlink" Target="https://learn.microsoft.com/en-us/azure/virtual-machines/windows/best-practices" TargetMode="External"/><Relationship Id="rId110" Type="http://schemas.openxmlformats.org/officeDocument/2006/relationships/hyperlink" Target="https://learn.microsoft.com/en-us/azure/virtual-network/" TargetMode="External"/><Relationship Id="rId115" Type="http://schemas.openxmlformats.org/officeDocument/2006/relationships/hyperlink" Target="https://learn.microsoft.com/en-us/azure/virtual-network/virtual-network-peering-overview#requirements-and-constraints" TargetMode="External"/><Relationship Id="rId116" Type="http://schemas.openxmlformats.org/officeDocument/2006/relationships/hyperlink" Target="https://learn.microsoft.com/en-us/azure/virtual-network/virtual-network-public-ip-address" TargetMode="External"/><Relationship Id="rId119" Type="http://schemas.openxmlformats.org/officeDocument/2006/relationships/hyperlink" Target="https://learn.microsoft.com/en-us/azure/vpn-gateway/" TargetMode="External"/><Relationship Id="rId162" Type="http://schemas.openxmlformats.org/officeDocument/2006/relationships/hyperlink" Target="https://learn.microsoft.com/en-us/fabric/" TargetMode="External"/><Relationship Id="rId164" Type="http://schemas.openxmlformats.org/officeDocument/2006/relationships/hyperlink" Target="https://learn.microsoft.com/en-us/fabric/admin-portal/" TargetMode="External"/><Relationship Id="rId172" Type="http://schemas.openxmlformats.org/officeDocument/2006/relationships/hyperlink" Target="https://learn.microsoft.com/en-us/fabric/admin-portal/roles" TargetMode="External"/><Relationship Id="rId163" Type="http://schemas.openxmlformats.org/officeDocument/2006/relationships/hyperlink" Target="https://learn.microsoft.com/en-us/fabric/architecture/" TargetMode="External"/><Relationship Id="rId176" Type="http://schemas.openxmlformats.org/officeDocument/2006/relationships/hyperlink" Target="https://learn.microsoft.com/en-us/fabric/dataflows/" TargetMode="External"/><Relationship Id="rId168" Type="http://schemas.openxmlformats.org/officeDocument/2006/relationships/hyperlink" Target="https://learn.microsoft.com/en-us/fabric/dataflows/service-limits" TargetMode="External"/><Relationship Id="rId171" Type="http://schemas.openxmlformats.org/officeDocument/2006/relationships/hyperlink" Target="https://learn.microsoft.com/en-us/fabric/monitoring/" TargetMode="External"/><Relationship Id="rId170" Type="http://schemas.openxmlformats.org/officeDocument/2006/relationships/hyperlink" Target="https://learn.microsoft.com/en-us/fabric/security/" TargetMode="External"/><Relationship Id="rId166" Type="http://schemas.openxmlformats.org/officeDocument/2006/relationships/hyperlink" Target="https://learn.microsoft.com/en-us/fabric/service-limits" TargetMode="External"/><Relationship Id="rId167" Type="http://schemas.openxmlformats.org/officeDocument/2006/relationships/hyperlink" Target="https://learn.microsoft.com/en-us/fabric/workspaces/service-limit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1</Words>
  <Characters>12</Characters>
  <Application>Microsoft Office Word</Application>
  <DocSecurity>0</DocSecurity>
  <Lines>1</Lines>
  <Paragraphs>1</Paragraphs>
  <ScaleCrop>false</ScaleCrop>
  <Company/>
  <LinksUpToDate>false</LinksUpToDate>
  <CharactersWithSpaces>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2026-04-03T04:27:17Z</dcterms:created>
  <dcterms:modified xsi:type="dcterms:W3CDTF">2026-04-03T04:27:17Z</dcterms:modified>
</cp:coreProperties>
</file>

<file path=docProps/custom.xml><?xml version="1.0" encoding="utf-8"?>
<Properties xmlns="http://schemas.openxmlformats.org/officeDocument/2006/custom-properties" xmlns:vt="http://schemas.openxmlformats.org/officeDocument/2006/docPropsVTypes"/>
</file>