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ms-power-bi-fabric"/>
    <w:p>
      <w:pPr>
        <w:pBdr>
          <w:bottom w:val="single" w:sz="144" w:space="1" w:color="000000"/>
        </w:pBdr>
      </w:pPr>
    </w:p>
    <w:p>
      <w:pPr>
        <w:spacing w:before="120"/>
        <w:jc w:val="both"/>
      </w:pPr>
      <w:r>
        <w:rPr>
          <w:rFonts w:ascii="Segoe UI" w:hAnsi="Segoe UI"/>
          <w:color w:val="000000"/>
          <w:sz w:val="44"/>
        </w:rPr>
        <w:t>Power BI &amp; Fabric</w:t>
      </w:r>
    </w:p>
    <w:p>
      <w:pPr>
        <w:spacing w:before="480"/>
        <w:jc w:val="both"/>
      </w:pPr>
      <w:r>
        <w:rPr>
          <w:rFonts w:ascii="Segoe UI" w:hAnsi="Segoe UI"/>
          <w:color w:val="000000"/>
          <w:sz w:val="44"/>
        </w:rPr>
        <w:t>Planning &amp; Design Document</w:t>
      </w:r>
    </w:p>
    <w:p>
      <w:pPr>
        <w:spacing w:before="800"/>
      </w:pPr>
      <w:r>
        <w:rPr>
          <w:rFonts w:ascii="Segoe UI" w:hAnsi="Segoe UI"/>
          <w:sz w:val="22"/>
        </w:rPr>
        <w:drawing>
          <wp:inline>
            <wp:extent cx="1371600" cy="1371600"/>
            <wp:docPr id="78" name="Picture 78"/>
            <wp:cNvGraphicFramePr>
              <a:graphicFrameLocks noChangeAspect="1"/>
            </wp:cNvGraphicFramePr>
            <a:graphic>
              <a:graphicData uri="http://schemas.openxmlformats.org/drawingml/2006/picture">
                <pic:pic>
                  <pic:nvPicPr>
                    <pic:cNvPr id="0" name="ums-logo.png"/>
                    <pic:cNvPicPr/>
                  </pic:nvPicPr>
                  <pic:blipFill>
                    <a:blip r:embed="rId1"/>
                    <a:stretch>
                      <a:fillRect/>
                    </a:stretch>
                  </pic:blipFill>
                  <pic:spPr>
                    <a:xfrm>
                      <a:off x="0" y="0"/>
                      <a:ext cx="1371600" cy="1371600"/>
                    </a:xfrm>
                    <a:prstGeom prst="rect"/>
                  </pic:spPr>
                </pic:pic>
              </a:graphicData>
            </a:graphic>
          </wp:inline>
        </w:drawing>
      </w:r>
    </w:p>
    <w:p/>
    <w:p/>
    <w:p/>
    <w:p/>
    <w:p>
      <w:pPr>
        <w:pBdr>
          <w:bottom w:val="single" w:sz="8" w:space="1" w:color="000000"/>
        </w:pBdr>
      </w:pPr>
    </w:p>
    <w:p>
      <w:pPr>
        <w:spacing w:before="120"/>
        <w:jc w:val="both"/>
      </w:pPr>
      <w:r>
        <w:rPr>
          <w:rFonts w:ascii="Segoe UI" w:hAnsi="Segoe UI"/>
          <w:b/>
          <w:sz w:val="22"/>
        </w:rPr>
        <w:t>Abstract</w:t>
      </w:r>
    </w:p>
    <w:p>
      <w:pPr>
        <w:spacing w:before="120"/>
        <w:jc w:val="both"/>
      </w:pPr>
      <w:r>
        <w:rPr>
          <w:rFonts w:ascii="Segoe UI" w:hAnsi="Segoe UI"/>
          <w:sz w:val="22"/>
        </w:rPr>
        <w:t>This document defines the Planning and Design for UMS Power BI &amp; Fabric project.</w:t>
      </w:r>
    </w:p>
    <w:p/>
    <w:p/>
    <w:p>
      <w:pPr>
        <w:jc w:val="both"/>
      </w:pPr>
      <w:r>
        <w:rPr>
          <w:rFonts w:ascii="Segoe UI" w:hAnsi="Segoe UI"/>
          <w:sz w:val="22"/>
        </w:rPr>
        <w:t>Prepared By</w:t>
      </w:r>
    </w:p>
    <w:p>
      <w:pPr>
        <w:spacing w:before="200"/>
      </w:pPr>
      <w:r>
        <w:rPr>
          <w:rFonts w:ascii="Segoe UI" w:hAnsi="Segoe UI"/>
          <w:sz w:val="22"/>
        </w:rPr>
        <w:drawing>
          <wp:inline>
            <wp:extent cx="1371600" cy="312516"/>
            <wp:docPr id="79" name="Picture 79"/>
            <wp:cNvGraphicFramePr>
              <a:graphicFrameLocks noChangeAspect="1"/>
            </wp:cNvGraphicFramePr>
            <a:graphic>
              <a:graphicData uri="http://schemas.openxmlformats.org/drawingml/2006/picture">
                <pic:pic>
                  <pic:nvPicPr>
                    <pic:cNvPr id="0" name="enfrasys-logo.jpg"/>
                    <pic:cNvPicPr/>
                  </pic:nvPicPr>
                  <pic:blipFill>
                    <a:blip r:embed="rId2"/>
                    <a:stretch>
                      <a:fillRect/>
                    </a:stretch>
                  </pic:blipFill>
                  <pic:spPr>
                    <a:xfrm>
                      <a:off x="0" y="0"/>
                      <a:ext cx="1371600" cy="312516"/>
                    </a:xfrm>
                    <a:prstGeom prst="rect"/>
                  </pic:spPr>
                </pic:pic>
              </a:graphicData>
            </a:graphic>
          </wp:inline>
        </w:drawing>
      </w:r>
    </w:p>
    <w:p>
      <w:r>
        <w:rPr>
          <w:rFonts w:ascii="Segoe UI" w:hAnsi="Segoe UI"/>
          <w:sz w:val="22"/>
        </w:rPr>
        <w:br w:type="page"/>
      </w:r>
    </w:p>
    <w:p>
      <w:pPr>
        <w:jc w:val="both"/>
      </w:pPr>
      <w:r>
        <w:rPr>
          <w:rFonts w:ascii="Segoe UI" w:hAnsi="Segoe UI"/>
          <w:b/>
          <w:sz w:val="28"/>
        </w:rPr>
        <w:t>Change Record</w:t>
      </w:r>
    </w:p>
    <w:tbl>
      <w:tblPr>
        <w:tblStyle w:val="GridTable4-Accent11"/>
        <w:tblW w:type="auto" w:w="0"/>
        <w:tblLayout w:type="autofit"/>
        <w:tblLook w:firstColumn="1" w:firstRow="1" w:lastColumn="0" w:lastRow="0" w:noHBand="0" w:noVBand="1" w:val="04A0"/>
      </w:tblPr>
      <w:tblGrid>
        <w:gridCol w:w="2256"/>
        <w:gridCol w:w="2256"/>
        <w:gridCol w:w="2256"/>
        <w:gridCol w:w="2256"/>
      </w:tblGrid>
      <w:tr>
        <w:tc>
          <w:tcPr>
            <w:tcW w:type="dxa" w:w="2256"/>
          </w:tcPr>
          <w:p>
            <w:r>
              <w:rPr>
                <w:rFonts w:ascii="Segoe UI" w:hAnsi="Segoe UI"/>
                <w:sz w:val="22"/>
              </w:rPr>
              <w:t>Date</w:t>
            </w:r>
          </w:p>
        </w:tc>
        <w:tc>
          <w:tcPr>
            <w:tcW w:type="dxa" w:w="2256"/>
          </w:tcPr>
          <w:p>
            <w:r>
              <w:rPr>
                <w:rFonts w:ascii="Segoe UI" w:hAnsi="Segoe UI"/>
                <w:sz w:val="22"/>
              </w:rPr>
              <w:t>Author</w:t>
            </w:r>
          </w:p>
        </w:tc>
        <w:tc>
          <w:tcPr>
            <w:tcW w:type="dxa" w:w="2256"/>
          </w:tcPr>
          <w:p>
            <w:r>
              <w:rPr>
                <w:rFonts w:ascii="Segoe UI" w:hAnsi="Segoe UI"/>
                <w:sz w:val="22"/>
              </w:rPr>
              <w:t>Version</w:t>
            </w:r>
          </w:p>
        </w:tc>
        <w:tc>
          <w:tcPr>
            <w:tcW w:type="dxa" w:w="2256"/>
          </w:tcPr>
          <w:p>
            <w:r>
              <w:rPr>
                <w:rFonts w:ascii="Segoe UI" w:hAnsi="Segoe UI"/>
                <w:sz w:val="22"/>
              </w:rPr>
              <w:t>Change Reference</w:t>
            </w:r>
          </w:p>
        </w:tc>
      </w:tr>
      <w:tr>
        <w:tc>
          <w:tcPr>
            <w:tcW w:type="dxa" w:w="2256"/>
          </w:tcPr>
          <w:p>
            <w:r>
              <w:rPr>
                <w:rFonts w:ascii="Segoe UI" w:hAnsi="Segoe UI"/>
                <w:sz w:val="22"/>
              </w:rPr>
              <w:t>[change-record-date]</w:t>
            </w:r>
          </w:p>
        </w:tc>
        <w:tc>
          <w:tcPr>
            <w:tcW w:type="dxa" w:w="2256"/>
          </w:tcPr>
          <w:p>
            <w:r>
              <w:rPr>
                <w:rFonts w:ascii="Segoe UI" w:hAnsi="Segoe UI"/>
                <w:sz w:val="22"/>
              </w:rPr>
              <w:t>[change-record-author]</w:t>
            </w:r>
          </w:p>
        </w:tc>
        <w:tc>
          <w:tcPr>
            <w:tcW w:type="dxa" w:w="2256"/>
          </w:tcPr>
          <w:p>
            <w:r>
              <w:rPr>
                <w:rFonts w:ascii="Segoe UI" w:hAnsi="Segoe UI"/>
                <w:sz w:val="22"/>
              </w:rPr>
              <w:t>[change-record-version]</w:t>
            </w:r>
          </w:p>
        </w:tc>
        <w:tc>
          <w:tcPr>
            <w:tcW w:type="dxa" w:w="2256"/>
          </w:tcPr>
          <w:p>
            <w:r>
              <w:rPr>
                <w:rFonts w:ascii="Segoe UI" w:hAnsi="Segoe UI"/>
                <w:sz w:val="22"/>
              </w:rPr>
              <w:t>[change-record-reference]</w:t>
            </w:r>
          </w:p>
        </w:tc>
      </w:tr>
      <w:tr>
        <w:tc>
          <w:tcPr>
            <w:tcW w:type="dxa" w:w="2256"/>
          </w:tcPr>
          <w:p/>
        </w:tc>
        <w:tc>
          <w:tcPr>
            <w:tcW w:type="dxa" w:w="2256"/>
          </w:tcPr>
          <w:p/>
        </w:tc>
        <w:tc>
          <w:tcPr>
            <w:tcW w:type="dxa" w:w="2256"/>
          </w:tcPr>
          <w:p/>
        </w:tc>
        <w:tc>
          <w:tcPr>
            <w:tcW w:type="dxa" w:w="2256"/>
          </w:tcPr>
          <w:p/>
        </w:tc>
      </w:tr>
    </w:tbl>
    <w:p>
      <w:pPr>
        <w:spacing w:before="240"/>
      </w:pPr>
    </w:p>
    <w:p>
      <w:pPr>
        <w:jc w:val="both"/>
      </w:pPr>
      <w:r>
        <w:rPr>
          <w:rFonts w:ascii="Segoe UI" w:hAnsi="Segoe UI"/>
          <w:b/>
          <w:sz w:val="28"/>
        </w:rPr>
        <w:t>Distribution List</w:t>
      </w:r>
    </w:p>
    <w:tbl>
      <w:tblPr>
        <w:tblStyle w:val="GridTable4-Accent11"/>
        <w:tblW w:type="auto" w:w="0"/>
        <w:tblLayout w:type="autofit"/>
        <w:tblLook w:firstColumn="1" w:firstRow="1" w:lastColumn="0" w:lastRow="0" w:noHBand="0" w:noVBand="1" w:val="04A0"/>
      </w:tblPr>
      <w:tblGrid>
        <w:gridCol w:w="4513"/>
        <w:gridCol w:w="4513"/>
      </w:tblGrid>
      <w:tr>
        <w:tc>
          <w:tcPr>
            <w:tcW w:type="dxa" w:w="4513"/>
          </w:tcPr>
          <w:p>
            <w:r>
              <w:rPr>
                <w:rFonts w:ascii="Segoe UI" w:hAnsi="Segoe UI"/>
                <w:sz w:val="22"/>
              </w:rPr>
              <w:t>Name</w:t>
            </w:r>
          </w:p>
        </w:tc>
        <w:tc>
          <w:tcPr>
            <w:tcW w:type="dxa" w:w="4513"/>
          </w:tcPr>
          <w:p>
            <w:r>
              <w:rPr>
                <w:rFonts w:ascii="Segoe UI" w:hAnsi="Segoe UI"/>
                <w:sz w:val="22"/>
              </w:rPr>
              <w:t>Position/ Team</w:t>
            </w:r>
          </w:p>
        </w:tc>
      </w:tr>
      <w:tr>
        <w:tc>
          <w:tcPr>
            <w:tcW w:type="dxa" w:w="4513"/>
          </w:tcPr>
          <w:p>
            <w:r>
              <w:rPr>
                <w:rFonts w:ascii="Segoe UI" w:hAnsi="Segoe UI"/>
                <w:sz w:val="22"/>
              </w:rPr>
              <w:t>[Client/Entity/Company Name]</w:t>
            </w:r>
          </w:p>
        </w:tc>
        <w:tc>
          <w:tcPr>
            <w:tcW w:type="dxa" w:w="4513"/>
          </w:tcPr>
          <w:p>
            <w:r>
              <w:rPr>
                <w:rFonts w:ascii="Segoe UI" w:hAnsi="Segoe UI"/>
                <w:sz w:val="22"/>
              </w:rPr>
              <w:t>[Client/Entity/Company Position]</w:t>
            </w:r>
          </w:p>
        </w:tc>
      </w:tr>
      <w:tr>
        <w:tc>
          <w:tcPr>
            <w:tcW w:type="dxa" w:w="4513"/>
          </w:tcPr>
          <w:p>
            <w:r>
              <w:rPr>
                <w:rFonts w:ascii="Segoe UI" w:hAnsi="Segoe UI"/>
                <w:sz w:val="22"/>
              </w:rPr>
            </w:r>
          </w:p>
        </w:tc>
        <w:tc>
          <w:tcPr>
            <w:tcW w:type="dxa" w:w="4513"/>
          </w:tcPr>
          <w:p>
            <w:r>
              <w:rPr>
                <w:rFonts w:ascii="Segoe UI" w:hAnsi="Segoe UI"/>
                <w:sz w:val="22"/>
              </w:rPr>
            </w:r>
          </w:p>
        </w:tc>
      </w:tr>
    </w:tbl>
    <w:p>
      <w:pPr>
        <w:spacing w:before="480"/>
      </w:pPr>
    </w:p>
    <w:p>
      <w:pPr>
        <w:spacing w:before="240"/>
        <w:ind w:left="3312"/>
        <w:jc w:val="both"/>
      </w:pPr>
      <w:r>
        <w:rPr>
          <w:rFonts w:ascii="Segoe UI" w:hAnsi="Segoe UI"/>
          <w:b/>
          <w:sz w:val="14"/>
        </w:rPr>
        <w:t>Terms of Use</w:t>
      </w:r>
    </w:p>
    <w:p>
      <w:pPr>
        <w:ind w:left="3312"/>
        <w:jc w:val="both"/>
      </w:pPr>
      <w:r>
        <w:rPr>
          <w:rFonts w:ascii="Segoe UI" w:hAnsi="Segoe UI"/>
          <w:sz w:val="14"/>
        </w:rPr>
        <w:t>This work may be used "as-is" by any interested party. You may copy, adapt, and redistribute this document for non-commercial use or for your own internal use in a commercial setting. However, you may not republish this document, nor may you publish or distribute any adaptation of this document for other than non-commercial use or your own internal use, without first obtaining express written approval from Enfrasys Solutions Sdn Bhd.</w:t>
      </w:r>
    </w:p>
    <w:p>
      <w:pPr>
        <w:spacing w:before="240"/>
        <w:ind w:left="3312"/>
        <w:jc w:val="both"/>
      </w:pPr>
      <w:r>
        <w:rPr>
          <w:rFonts w:ascii="Segoe UI" w:hAnsi="Segoe UI"/>
          <w:b/>
          <w:sz w:val="14"/>
        </w:rPr>
        <w:t>Disclaimer</w:t>
      </w:r>
    </w:p>
    <w:p>
      <w:pPr>
        <w:ind w:left="3312"/>
        <w:jc w:val="both"/>
      </w:pPr>
      <w:r>
        <w:rPr>
          <w:rFonts w:ascii="Segoe UI" w:hAnsi="Segoe UI"/>
          <w:sz w:val="14"/>
        </w:rPr>
        <w:t>The Author and Enfrasys Solutions Sdn Bhd shall have neither liability nor responsibility to any person or entity with respect to the loss or damages arising from the information contained in this work. This work may include inaccuracies or typographical errors and solely represent the opinions of the Author. Changes are periodically made to this document without notice.Due to the rapid growth of various technologies, the Author and Enfrasys Solutions Sdn Bhd cannot guarantee the accuracy of the information presented after the date of publication.</w:t>
      </w:r>
    </w:p>
    <w:p>
      <w:pPr>
        <w:spacing w:before="240"/>
        <w:ind w:left="3312"/>
        <w:jc w:val="both"/>
      </w:pPr>
      <w:r>
        <w:rPr>
          <w:rFonts w:ascii="Segoe UI" w:hAnsi="Segoe UI"/>
          <w:b/>
          <w:sz w:val="14"/>
        </w:rPr>
        <w:t>Trademarks</w:t>
      </w:r>
    </w:p>
    <w:p>
      <w:pPr>
        <w:ind w:left="3312"/>
        <w:jc w:val="both"/>
      </w:pPr>
      <w:r>
        <w:rPr>
          <w:rFonts w:ascii="Segoe UI" w:hAnsi="Segoe UI"/>
          <w:sz w:val="14"/>
        </w:rPr>
        <w:t>The names of actual companies, service marks, trademarks or products mentioned herein may be the trademarks of their respective owners. Use of terms within this work should not be regarded as affecting the validity of any trademark or service mark. Enfrasys Consulting may have patents, patent applications, trademarks, copyrights, or other intellectual property rights covering subject matter in this document. Except as expressly provided in any written license agreement from Enfrasys Solutions Sdn Bhd, the furnishing of this document does not give you any license to those items.</w:t>
      </w:r>
    </w:p>
    <w:p>
      <w:r>
        <w:rPr>
          <w:rFonts w:ascii="Segoe UI" w:hAnsi="Segoe UI"/>
          <w:sz w:val="22"/>
        </w:rPr>
        <w:br w:type="page"/>
      </w:r>
    </w:p>
    <w:p>
      <w:pPr>
        <w:pStyle w:val="Heading1"/>
      </w:pPr>
      <w:r>
        <w:rPr>
          <w:rFonts w:ascii="Segoe UI" w:hAnsi="Segoe UI"/>
          <w:b w:val="0"/>
          <w:sz w:val="30"/>
        </w:rPr>
        <w:t>1.0 Design Document Sign Off</w:t>
      </w:r>
    </w:p>
    <w:p>
      <w:pPr>
        <w:spacing w:before="240"/>
        <w:jc w:val="both"/>
      </w:pPr>
      <w:r>
        <w:rPr>
          <w:rFonts w:ascii="Segoe UI" w:hAnsi="Segoe UI"/>
          <w:sz w:val="22"/>
        </w:rPr>
        <w:t>We hereby acknowledge that the design document for UMS Power BI &amp; Fabric has been reviewed, and all key aspects have been addressed satisfactorily.</w:t>
      </w:r>
    </w:p>
    <w:p>
      <w:pPr>
        <w:spacing w:before="240"/>
        <w:jc w:val="both"/>
      </w:pPr>
      <w:r>
        <w:rPr>
          <w:rFonts w:ascii="Segoe UI" w:hAnsi="Segoe UI"/>
          <w:sz w:val="22"/>
        </w:rPr>
        <w:t>This document has been prepared, reviewed, accepted, and signed off by the following individuals:</w:t>
      </w:r>
    </w:p>
    <w:p>
      <w:pPr>
        <w:spacing w:before="80"/>
      </w:pPr>
    </w:p>
    <w:tbl>
      <w:tblPr>
        <w:tblStyle w:val="TableGrid"/>
        <w:tblW w:type="auto" w:w="0"/>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513"/>
        <w:gridCol w:w="4513"/>
      </w:tblGrid>
      <w:tr>
        <w:tc>
          <w:tcPr>
            <w:tcW w:type="dxa" w:w="4513"/>
          </w:tcPr>
          <w:p>
            <w:r>
              <w:rPr>
                <w:rFonts w:ascii="Segoe UI" w:hAnsi="Segoe UI"/>
                <w:sz w:val="22"/>
              </w:rPr>
              <w:t>Prepared by:</w:t>
              <w:br/>
              <w:br/>
            </w:r>
            <w:r>
              <w:rPr>
                <w:rFonts w:ascii="Segoe UI" w:hAnsi="Segoe UI"/>
                <w:b/>
                <w:sz w:val="22"/>
              </w:rPr>
              <w:t>Enfrasys Solutions Sdn Bhd</w:t>
            </w:r>
            <w:r>
              <w:rPr>
                <w:rFonts w:ascii="Segoe UI" w:hAnsi="Segoe UI"/>
                <w:sz w:val="22"/>
              </w:rPr>
              <w:br/>
              <w:br/>
              <w:t>Signature:</w:t>
              <w:br/>
              <w:br/>
              <w:br/>
              <w:br/>
              <w:br/>
              <w:t>___________________________</w:t>
              <w:br/>
              <w:t>Name:</w:t>
              <w:br/>
              <w:t>Designation:</w:t>
              <w:br/>
              <w:t>Date:</w:t>
            </w:r>
          </w:p>
        </w:tc>
        <w:tc>
          <w:tcPr>
            <w:tcW w:type="dxa" w:w="4513"/>
          </w:tcPr>
          <w:p>
            <w:r>
              <w:rPr>
                <w:rFonts w:ascii="Segoe UI" w:hAnsi="Segoe UI"/>
                <w:sz w:val="22"/>
              </w:rPr>
              <w:t>Verified by:</w:t>
              <w:br/>
              <w:br/>
            </w:r>
            <w:r>
              <w:rPr>
                <w:rFonts w:ascii="Segoe UI" w:hAnsi="Segoe UI"/>
                <w:b/>
                <w:sz w:val="22"/>
              </w:rPr>
              <w:t>Enfrasys Solutions Sdn Bhd</w:t>
            </w:r>
            <w:r>
              <w:rPr>
                <w:rFonts w:ascii="Segoe UI" w:hAnsi="Segoe UI"/>
                <w:sz w:val="22"/>
              </w:rPr>
              <w:br/>
              <w:br/>
              <w:t>Signature:</w:t>
              <w:br/>
              <w:br/>
              <w:br/>
              <w:br/>
              <w:br/>
              <w:t>___________________________</w:t>
              <w:br/>
              <w:t>Name:</w:t>
              <w:br/>
              <w:t>Designation:</w:t>
              <w:br/>
              <w:t>Date:</w:t>
            </w:r>
          </w:p>
        </w:tc>
      </w:tr>
    </w:tbl>
    <w:p>
      <w:r>
        <w:rPr>
          <w:rFonts w:ascii="Segoe UI" w:hAnsi="Segoe UI"/>
          <w:sz w:val="22"/>
        </w:rPr>
        <w:br w:type="page"/>
      </w:r>
    </w:p>
    <w:tbl>
      <w:tblPr>
        <w:tblStyle w:val="TableGrid"/>
        <w:tblW w:type="auto" w:w="0"/>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513"/>
        <w:gridCol w:w="4513"/>
      </w:tblGrid>
      <w:tr>
        <w:tc>
          <w:tcPr>
            <w:tcW w:type="dxa" w:w="9026"/>
            <w:gridSpan w:val="2"/>
          </w:tcPr>
          <w:p>
            <w:r>
              <w:rPr>
                <w:rFonts w:ascii="Segoe UI" w:hAnsi="Segoe UI"/>
                <w:sz w:val="22"/>
              </w:rPr>
            </w:r>
            <w:r>
              <w:rPr>
                <w:rFonts w:ascii="Segoe UI" w:hAnsi="Segoe UI"/>
                <w:b/>
                <w:sz w:val="22"/>
              </w:rPr>
              <w:t>Reviewed by:</w:t>
              <w:br/>
            </w:r>
            <w:r>
              <w:rPr>
                <w:rFonts w:ascii="Segoe UI" w:hAnsi="Segoe UI"/>
                <w:sz w:val="22"/>
              </w:rPr>
              <w:br/>
              <w:br/>
            </w:r>
          </w:p>
        </w:tc>
      </w:tr>
      <w:tr>
        <w:tc>
          <w:tcPr>
            <w:tcW w:type="dxa" w:w="4513"/>
          </w:tcPr>
          <w:p>
            <w:r>
              <w:rPr>
                <w:rFonts w:ascii="Segoe UI" w:hAnsi="Segoe UI"/>
                <w:sz w:val="22"/>
              </w:rPr>
            </w:r>
            <w:r>
              <w:rPr>
                <w:rFonts w:ascii="Segoe UI" w:hAnsi="Segoe UI"/>
                <w:b/>
                <w:sz w:val="22"/>
              </w:rPr>
              <w:t>Name</w:t>
            </w:r>
          </w:p>
        </w:tc>
        <w:tc>
          <w:tcPr>
            <w:tcW w:type="dxa" w:w="4513"/>
          </w:tcPr>
          <w:p>
            <w:r>
              <w:rPr>
                <w:rFonts w:ascii="Segoe UI" w:hAnsi="Segoe UI"/>
                <w:sz w:val="22"/>
              </w:rPr>
            </w:r>
            <w:r>
              <w:rPr>
                <w:rFonts w:ascii="Segoe UI" w:hAnsi="Segoe UI"/>
                <w:b/>
                <w:sz w:val="22"/>
              </w:rPr>
              <w:t>Signature</w:t>
            </w:r>
          </w:p>
        </w:tc>
      </w:tr>
      <w:tr>
        <w:tc>
          <w:tcPr>
            <w:tcW w:type="dxa" w:w="4513"/>
          </w:tcPr>
          <w:p>
            <w:r>
              <w:rPr>
                <w:rFonts w:ascii="Segoe UI" w:hAnsi="Segoe UI"/>
                <w:sz w:val="22"/>
              </w:rPr>
              <w:t>Name:</w:t>
              <w:br/>
              <w:br/>
              <w:t>Designation:</w:t>
              <w:br/>
              <w:br/>
              <w:t>Date:</w:t>
            </w:r>
          </w:p>
        </w:tc>
        <w:tc>
          <w:tcPr>
            <w:tcW w:type="dxa" w:w="4513"/>
          </w:tcPr>
          <w:p>
            <w:r>
              <w:rPr>
                <w:rFonts w:ascii="Segoe UI" w:hAnsi="Segoe UI"/>
                <w:sz w:val="22"/>
              </w:rPr>
              <w:br/>
              <w:br/>
              <w:br/>
              <w:br/>
              <w:br/>
              <w:t>___________________________</w:t>
            </w:r>
          </w:p>
        </w:tc>
      </w:tr>
      <w:tr>
        <w:tc>
          <w:tcPr>
            <w:tcW w:type="dxa" w:w="4513"/>
          </w:tcPr>
          <w:p>
            <w:r>
              <w:rPr>
                <w:rFonts w:ascii="Segoe UI" w:hAnsi="Segoe UI"/>
                <w:sz w:val="22"/>
              </w:rPr>
            </w:r>
            <w:r>
              <w:rPr>
                <w:rFonts w:ascii="Segoe UI" w:hAnsi="Segoe UI"/>
                <w:b/>
                <w:sz w:val="22"/>
              </w:rPr>
              <w:t>Verified by:</w:t>
              <w:br/>
              <w:br/>
            </w:r>
            <w:r>
              <w:rPr>
                <w:rFonts w:ascii="Segoe UI" w:hAnsi="Segoe UI"/>
                <w:sz w:val="22"/>
              </w:rPr>
              <w:t>[Designation]</w:t>
              <w:br/>
              <w:br/>
              <w:t>[client]</w:t>
              <w:br/>
              <w:br/>
              <w:t>Signature:</w:t>
              <w:br/>
              <w:br/>
              <w:br/>
              <w:br/>
              <w:br/>
              <w:t>___________________________</w:t>
              <w:br/>
              <w:t>Name:</w:t>
              <w:br/>
              <w:br/>
              <w:t>Designation:</w:t>
              <w:br/>
              <w:br/>
              <w:t>Date:</w:t>
            </w:r>
          </w:p>
        </w:tc>
        <w:tc>
          <w:tcPr>
            <w:tcW w:type="dxa" w:w="4513"/>
          </w:tcPr>
          <w:p>
            <w:r>
              <w:rPr>
                <w:rFonts w:ascii="Segoe UI" w:hAnsi="Segoe UI"/>
                <w:sz w:val="22"/>
              </w:rPr>
            </w:r>
            <w:r>
              <w:rPr>
                <w:rFonts w:ascii="Segoe UI" w:hAnsi="Segoe UI"/>
                <w:b/>
                <w:sz w:val="22"/>
              </w:rPr>
              <w:t>Approved by:</w:t>
              <w:br/>
              <w:br/>
            </w:r>
            <w:r>
              <w:rPr>
                <w:rFonts w:ascii="Segoe UI" w:hAnsi="Segoe UI"/>
                <w:sz w:val="22"/>
              </w:rPr>
              <w:t>[Designation]</w:t>
              <w:br/>
              <w:br/>
              <w:t>[client]</w:t>
              <w:br/>
              <w:br/>
              <w:t>Signature:</w:t>
              <w:br/>
              <w:br/>
              <w:br/>
              <w:br/>
              <w:br/>
              <w:t>___________________________</w:t>
              <w:br/>
              <w:t>Name:</w:t>
              <w:br/>
              <w:br/>
              <w:t>Designation:</w:t>
              <w:br/>
              <w:br/>
              <w:t>Date:</w:t>
            </w:r>
          </w:p>
        </w:tc>
      </w:tr>
    </w:tbl>
    <w:p>
      <w:r>
        <w:rPr>
          <w:rFonts w:ascii="Segoe UI" w:hAnsi="Segoe UI"/>
          <w:sz w:val="22"/>
        </w:rPr>
        <w:br w:type="page"/>
      </w:r>
    </w:p>
    <w:bookmarkEnd w:id="22"/>
    <w:bookmarkStart w:id="26" w:name="executive-summary"/>
    <w:p>
      <w:pPr>
        <w:pStyle w:val="Heading1"/>
        <w:pageBreakBefore/>
      </w:pPr>
      <w:r>
        <w:rPr>
          <w:rFonts w:ascii="Segoe UI" w:hAnsi="Segoe UI"/>
          <w:b w:val="0"/>
          <w:sz w:val="30"/>
        </w:rPr>
        <w:t xml:space="preserve">2.0 Executive Summary</w:t>
      </w:r>
    </w:p>
    <w:p>
      <w:pPr>
        <w:pStyle w:val="FirstParagraph"/>
        <w:jc w:val="both"/>
      </w:pPr>
      <w:r>
        <w:rPr>
          <w:rFonts w:ascii="Segoe UI" w:hAnsi="Segoe UI"/>
          <w:sz w:val="22"/>
        </w:rPr>
        <w:t xml:space="preserve">This section provides a concise overview of the project context, the purpose of this solution design document, and the intended audience for Universiti Malaysia Sabah’s Microsoft Fabric implementation.</w:t>
      </w:r>
    </w:p>
    <w:bookmarkStart w:id="23" w:name="project-overview"/>
    <w:p>
      <w:pPr>
        <w:pStyle w:val="Heading2"/>
      </w:pPr>
      <w:r>
        <w:rPr>
          <w:rFonts w:ascii="Segoe UI" w:hAnsi="Segoe UI"/>
          <w:b w:val="0"/>
          <w:sz w:val="28"/>
        </w:rPr>
        <w:t xml:space="preserve">2.1 Project Overview</w:t>
      </w:r>
    </w:p>
    <w:p>
      <w:pPr>
        <w:pStyle w:val="FirstParagraph"/>
        <w:jc w:val="both"/>
      </w:pPr>
      <w:r>
        <w:rPr>
          <w:rFonts w:ascii="Segoe UI" w:hAnsi="Segoe UI"/>
          <w:sz w:val="22"/>
        </w:rPr>
        <w:t xml:space="preserve">Universiti Malaysia Sabah (UMS) has initiated a strategic project to modernize its data analytics capabilities by leveraging Microsoft Fabric. The business context centers on enhancing data-driven decision-making and operational efficiency within UMS’s academic and administrative domains. The project scope encompasses the full data workflow—beginning with data ingestion, progressing through transformation and orchestration, and culminating in advanced analytics and visualization.</w:t>
      </w:r>
    </w:p>
    <w:p>
      <w:pPr>
        <w:pStyle w:val="BodyText"/>
        <w:jc w:val="both"/>
      </w:pPr>
      <w:r>
        <w:rPr>
          <w:rFonts w:ascii="Segoe UI" w:hAnsi="Segoe UI"/>
          <w:sz w:val="22"/>
        </w:rPr>
        <w:t xml:space="preserve">The primary objectives are to establish a dedicated Microsoft Fabric workspace tailored to UMS’s requirements, implement robust ETL (Extract, Transform, Load) pipelines for seamless data integration, and enable machine learning processes for predictive analytics. Integration with Power BI is a core component, ensuring that business users can access actionable insights via intuitive dashboards and reports. The solution will utilize Fabric Data Factory for data orchestration, Fabric Synapse for big data analytics, and Fabric Data Science for machine learning applications, aligning UMS’s cloud adoption strategy with Microsoft’s latest platform capabilities.</w:t>
      </w:r>
    </w:p>
    <w:bookmarkEnd w:id="23"/>
    <w:bookmarkStart w:id="24" w:name="document-purpose"/>
    <w:p>
      <w:pPr>
        <w:pStyle w:val="Heading2"/>
      </w:pPr>
      <w:r>
        <w:rPr>
          <w:rFonts w:ascii="Segoe UI" w:hAnsi="Segoe UI"/>
          <w:b w:val="0"/>
          <w:sz w:val="28"/>
        </w:rPr>
        <w:t xml:space="preserve">2.2 Document Purpose</w:t>
      </w:r>
    </w:p>
    <w:p>
      <w:pPr>
        <w:pStyle w:val="FirstParagraph"/>
        <w:jc w:val="both"/>
      </w:pPr>
      <w:r>
        <w:rPr>
          <w:rFonts w:ascii="Segoe UI" w:hAnsi="Segoe UI"/>
          <w:sz w:val="22"/>
        </w:rPr>
        <w:t xml:space="preserve">The purpose of this Solution Design Document is to provide a comprehensive, authoritative blueprint for implementing Microsoft Fabric at UMS. It details the architectural decisions, component configurations, workflow designs, and governance strategies that will guide the project from initial deployment through operational maturity. This document serves as a foundational reference for all subsequent phases, including implementation, testing, and ongoing management, ensuring that all stakeholders are aligned on technical and business objectives. It is intended to mitigate risks, clarify responsibilities, and establish best practices for the Fabric environment, thereby supporting UMS’s long-term data strategy.</w:t>
      </w:r>
    </w:p>
    <w:bookmarkEnd w:id="24"/>
    <w:bookmarkStart w:id="25" w:name="document-audience"/>
    <w:p>
      <w:pPr>
        <w:pStyle w:val="Heading2"/>
      </w:pPr>
      <w:r>
        <w:rPr>
          <w:rFonts w:ascii="Segoe UI" w:hAnsi="Segoe UI"/>
          <w:b w:val="0"/>
          <w:sz w:val="28"/>
        </w:rPr>
        <w:t xml:space="preserve">2.3 Document Audience</w:t>
      </w:r>
    </w:p>
    <w:p>
      <w:pPr>
        <w:pStyle w:val="FirstParagraph"/>
        <w:jc w:val="both"/>
      </w:pPr>
      <w:r>
        <w:rPr>
          <w:rFonts w:ascii="Segoe UI" w:hAnsi="Segoe UI"/>
          <w:sz w:val="22"/>
        </w:rPr>
        <w:t xml:space="preserve">This document is intended for a broad stakeholder group involved in the UMS Microsoft Fabric project. The primary audience includes:</w:t>
      </w:r>
    </w:p>
    <w:p>
      <w:pPr>
        <w:pStyle w:val="Compact"/>
        <w:numPr>
          <w:ilvl w:val="0"/>
          <w:numId w:val="1001"/>
        </w:numPr>
        <w:jc w:val="both"/>
      </w:pPr>
      <w:r>
        <w:rPr>
          <w:rFonts w:ascii="Segoe UI" w:hAnsi="Segoe UI"/>
          <w:sz w:val="22"/>
        </w:rPr>
        <w:t xml:space="preserve">Universiti Malaysia Sabah (UMS) executive sponsors, business users, and IT administrators responsible for data analytics and platform management.</w:t>
      </w:r>
    </w:p>
    <w:p>
      <w:pPr>
        <w:pStyle w:val="Compact"/>
        <w:numPr>
          <w:ilvl w:val="0"/>
          <w:numId w:val="1001"/>
        </w:numPr>
        <w:jc w:val="both"/>
      </w:pPr>
      <w:r>
        <w:rPr>
          <w:rFonts w:ascii="Segoe UI" w:hAnsi="Segoe UI"/>
          <w:sz w:val="22"/>
        </w:rPr>
        <w:t xml:space="preserve">Enfrasys Solutions architects, engineers, and project managers overseeing solution design and implementation.</w:t>
      </w:r>
    </w:p>
    <w:p>
      <w:pPr>
        <w:pStyle w:val="Compact"/>
        <w:numPr>
          <w:ilvl w:val="0"/>
          <w:numId w:val="1001"/>
        </w:numPr>
        <w:jc w:val="both"/>
      </w:pPr>
      <w:r>
        <w:rPr>
          <w:rFonts w:ascii="Segoe UI" w:hAnsi="Segoe UI"/>
          <w:sz w:val="22"/>
        </w:rPr>
        <w:t xml:space="preserve">UMS business analysts and data scientists leveraging Fabric and Power BI for analytics and machine learning.</w:t>
      </w:r>
    </w:p>
    <w:p>
      <w:pPr>
        <w:pStyle w:val="Compact"/>
        <w:numPr>
          <w:ilvl w:val="0"/>
          <w:numId w:val="1001"/>
        </w:numPr>
        <w:jc w:val="both"/>
      </w:pPr>
      <w:r>
        <w:rPr>
          <w:rFonts w:ascii="Segoe UI" w:hAnsi="Segoe UI"/>
          <w:sz w:val="22"/>
        </w:rPr>
        <w:t xml:space="preserve">UMS IT operations and security teams tasked with maintaining, securing, and governing the Fabric environment.</w:t>
      </w:r>
    </w:p>
    <w:p>
      <w:pPr>
        <w:pStyle w:val="FirstParagraph"/>
        <w:jc w:val="both"/>
      </w:pPr>
      <w:r>
        <w:rPr>
          <w:rFonts w:ascii="Segoe UI" w:hAnsi="Segoe UI"/>
          <w:sz w:val="22"/>
        </w:rPr>
        <w:t xml:space="preserve">By addressing the needs of these stakeholder groups, the document ensures clarity, accountability, and alignment throughout the project lifecycle.</w:t>
      </w:r>
    </w:p>
    <w:bookmarkEnd w:id="25"/>
    <w:bookmarkEnd w:id="26"/>
    <w:bookmarkStart w:id="32" w:name="network-design-and-decision"/>
    <w:p>
      <w:pPr>
        <w:pStyle w:val="Heading1"/>
        <w:pageBreakBefore/>
      </w:pPr>
      <w:r>
        <w:rPr>
          <w:rFonts w:ascii="Segoe UI" w:hAnsi="Segoe UI"/>
          <w:b w:val="0"/>
          <w:sz w:val="30"/>
        </w:rPr>
        <w:t xml:space="preserve">3.0 Network Design and Decision</w:t>
      </w:r>
    </w:p>
    <w:p>
      <w:pPr>
        <w:pStyle w:val="FirstParagraph"/>
        <w:jc w:val="both"/>
      </w:pPr>
      <w:r>
        <w:rPr>
          <w:rFonts w:ascii="Segoe UI" w:hAnsi="Segoe UI"/>
          <w:sz w:val="22"/>
        </w:rPr>
        <w:t xml:space="preserve">This section details the network architecture and connectivity decisions for Universiti Malaysia Sabah (UMS), focusing on secure data movement between on-premises and Microsoft Fabric environments.</w:t>
      </w:r>
    </w:p>
    <w:bookmarkStart w:id="30" w:name="network-connectivity-overview"/>
    <w:p>
      <w:pPr>
        <w:pStyle w:val="Heading2"/>
      </w:pPr>
      <w:r>
        <w:rPr>
          <w:rFonts w:ascii="Segoe UI" w:hAnsi="Segoe UI"/>
          <w:b w:val="0"/>
          <w:sz w:val="28"/>
        </w:rPr>
        <w:t xml:space="preserve">3.1 Network Connectivity Overview</w:t>
      </w:r>
    </w:p>
    <w:p>
      <w:pPr>
        <w:pStyle w:val="FirstParagraph"/>
        <w:jc w:val="both"/>
      </w:pPr>
      <w:r>
        <w:rPr>
          <w:rFonts w:ascii="Segoe UI" w:hAnsi="Segoe UI"/>
          <w:sz w:val="22"/>
        </w:rPr>
        <w:t xml:space="preserve">UMS shall implement a logical network flow that securely connects the UMS Staging Area (SQL Server 2017), the On-Premises Data Gateway (OPDG), and Microsoft Fabric. This design prioritizes secure, reliable data transfer and minimal exposure of on-premises resources.</w:t>
      </w:r>
    </w:p>
    <w:p>
      <w:pPr>
        <w:pStyle w:val="BodyText"/>
        <w:jc w:val="both"/>
      </w:pPr>
      <w:r>
        <w:rPr>
          <w:rFonts w:ascii="Segoe UI" w:hAnsi="Segoe UI"/>
          <w:sz w:val="22"/>
        </w:rPr>
        <w:t xml:space="preserve">The network architecture is anchored by the UMS Staging Area, which hosts the Microsoft SQL Server 2017 data warehouse. This environment is strictly on-premises, ensuring that sensitive institutional data remains within the UMS-controlled perimeter until transfer is required. To facilitate integration with Microsoft Fabric, UMS will deploy the OPDG agent within a dedicated Virtual Machine. The gateway acts as an intermediary, enabling secure outbound connectivity to the cloud while eliminating the need for inbound port exposure—a critical best practice for reducing attack surface and preventing unauthorized access.</w:t>
      </w:r>
    </w:p>
    <w:p>
      <w:pPr>
        <w:pStyle w:val="BodyText"/>
        <w:jc w:val="both"/>
      </w:pPr>
      <w:r>
        <w:rPr>
          <w:rFonts w:ascii="Segoe UI" w:hAnsi="Segoe UI"/>
          <w:sz w:val="22"/>
        </w:rPr>
        <w:t xml:space="preserve">The OPDG establishes a persistent outbound connection to Microsoft Fabric, specifically targeting workloads such as Data Factory, Synapse, Power BI, and OneLake. This connection is encrypted and authenticated, leveraging Microsoft’s recommended security protocols. The data flow originates from the SQL Server, passes through the OPDG, and is delivered to Fabric for further processing, analytics, and integration. This architecture ensures data integrity, confidentiality, and compliance with UMS’s internal governance policies.</w:t>
      </w:r>
    </w:p>
    <w:p>
      <w:pPr>
        <w:pStyle w:val="BodyText"/>
        <w:jc w:val="both"/>
      </w:pPr>
      <w:r>
        <w:rPr>
          <w:rFonts w:ascii="Segoe UI" w:hAnsi="Segoe UI"/>
          <w:sz w:val="22"/>
        </w:rPr>
        <w:t xml:space="preserve">Operationally, this design supports scalable data movement by decoupling on-premises and cloud environments. It allows UMS to maintain control over data egress, monitor gateway activity, and enforce network segmentation. The network flow is depicted in the following architecture diagram, which illustrates the relationship and data movement between the UMS Staging Area, OPDG, and Fabric:</w:t>
      </w:r>
    </w:p>
    <w:p>
      <w:pPr>
        <w:pStyle w:val="BodyText"/>
      </w:pPr>
      <w:r>
        <w:rPr>
          <w:rFonts w:ascii="Segoe UI" w:hAnsi="Segoe UI"/>
          <w:sz w:val="22"/>
        </w:rPr>
        <w:drawing>
          <wp:inline>
            <wp:extent cx="5727700" cy="2472613"/>
            <wp:effectExtent b="0" l="0" r="0" t="0"/>
            <wp:docPr descr="" title="" id="28" name="Picture"/>
            <a:graphic>
              <a:graphicData uri="http://schemas.openxmlformats.org/drawingml/2006/picture">
                <pic:pic>
                  <pic:nvPicPr>
                    <pic:cNvPr descr="C:\Users\MuhammadIdzhansKhair\OneDrive%20-%20ENFRASYS\Documents\project-internal\design-document-converter\extraction-output\images\slide_011_img_004.png" id="29" name="Picture"/>
                    <pic:cNvPicPr>
                      <a:picLocks noChangeArrowheads="1" noChangeAspect="1"/>
                    </pic:cNvPicPr>
                  </pic:nvPicPr>
                  <pic:blipFill>
                    <a:blip r:embed="rId27"/>
                    <a:stretch>
                      <a:fillRect/>
                    </a:stretch>
                  </pic:blipFill>
                  <pic:spPr bwMode="auto">
                    <a:xfrm>
                      <a:off x="0" y="0"/>
                      <a:ext cx="5727700" cy="2472613"/>
                    </a:xfrm>
                    <a:prstGeom prst="rect">
                      <a:avLst/>
                    </a:prstGeom>
                    <a:noFill/>
                    <a:ln w="9525">
                      <a:noFill/>
                      <a:headEnd/>
                      <a:tailEnd/>
                    </a:ln>
                  </pic:spPr>
                </pic:pic>
              </a:graphicData>
            </a:graphic>
          </wp:inline>
        </w:drawing>
      </w:r>
    </w:p>
    <w:p>
      <w:pPr>
        <w:pStyle w:val="BodyText"/>
        <w:jc w:val="both"/>
      </w:pPr>
      <w:r>
        <w:rPr>
          <w:rFonts w:ascii="Segoe UI" w:hAnsi="Segoe UI"/>
          <w:sz w:val="22"/>
        </w:rPr>
        <w:t xml:space="preserve">This topology enables UMS to leverage cloud analytics while maintaining robust security and operational oversight of on-premises resources.</w:t>
      </w:r>
    </w:p>
    <w:bookmarkEnd w:id="30"/>
    <w:bookmarkStart w:id="31" w:name="microsoft-fabric-data-gateway"/>
    <w:p>
      <w:pPr>
        <w:pStyle w:val="Heading2"/>
      </w:pPr>
      <w:r>
        <w:rPr>
          <w:rFonts w:ascii="Segoe UI" w:hAnsi="Segoe UI"/>
          <w:b w:val="0"/>
          <w:sz w:val="28"/>
        </w:rPr>
        <w:t xml:space="preserve">3.2 Microsoft Fabric Data Gateway</w:t>
      </w:r>
    </w:p>
    <w:p>
      <w:pPr>
        <w:pStyle w:val="FirstParagraph"/>
        <w:jc w:val="both"/>
      </w:pPr>
      <w:r>
        <w:rPr>
          <w:rFonts w:ascii="Segoe UI" w:hAnsi="Segoe UI"/>
          <w:sz w:val="22"/>
        </w:rPr>
        <w:t xml:space="preserve">Universiti Malaysia Sabah shall deploy the On-Premises Data Gateway (OPDG) as the critical bridge between the UMS Staging Area and Microsoft Fabric. The OPDG is installed on a purpose-built Virtual Machine, designed to meet Microsoft’s performance and security requirements for gateway operations.</w:t>
      </w:r>
    </w:p>
    <w:p>
      <w:pPr>
        <w:pStyle w:val="BodyText"/>
        <w:jc w:val="both"/>
      </w:pPr>
      <w:r>
        <w:rPr>
          <w:rFonts w:ascii="Segoe UI" w:hAnsi="Segoe UI"/>
          <w:sz w:val="22"/>
        </w:rPr>
        <w:t xml:space="preserve">The OPDG’s primary role is to facilitate secure, reliable data transfer from the on-premises SQL Server 2017 to Fabric services. It operates exclusively via outbound connections, ensuring that no inbound ports are exposed on the UMS network. This approach aligns with Microsoft’s best practices for gateway deployment and minimizes vulnerability to external threats. The gateway agent authenticates using Azure Active Directory credentials, and all traffic is encrypted using TLS, providing assurance of data confidentiality during transit.</w:t>
      </w:r>
    </w:p>
    <w:p>
      <w:pPr>
        <w:pStyle w:val="BodyText"/>
        <w:jc w:val="both"/>
      </w:pPr>
      <w:r>
        <w:rPr>
          <w:rFonts w:ascii="Segoe UI" w:hAnsi="Segoe UI"/>
          <w:sz w:val="22"/>
        </w:rPr>
        <w:t xml:space="preserve">From a configuration perspective, the OPDG VM must be provisioned with sufficient resources to handle peak data transfer loads. It should be monitored for availability, throughput, and latency, with alerts configured for any operational anomalies. UMS administrators are responsible for maintaining the gateway’s OS patching, agent updates, and credential rotation, ensuring continuous compliance and operational readiness.</w:t>
      </w:r>
    </w:p>
    <w:p>
      <w:pPr>
        <w:pStyle w:val="BodyText"/>
        <w:jc w:val="both"/>
      </w:pPr>
      <w:r>
        <w:rPr>
          <w:rFonts w:ascii="Segoe UI" w:hAnsi="Segoe UI"/>
          <w:sz w:val="22"/>
        </w:rPr>
        <w:t xml:space="preserve">The following table outlines the VM specifications recommended for the OPDG deployment, ensuring optimal performance and security:</w:t>
      </w:r>
    </w:p>
    <w:p>
      <w:pPr>
        <w:pStyle w:val="BodyText"/>
        <w:jc w:val="both"/>
      </w:pPr>
      <w:r>
        <w:rPr>
          <w:rFonts w:ascii="Segoe UI" w:hAnsi="Segoe UI"/>
          <w:sz w:val="22"/>
        </w:rPr>
        <w:t xml:space="preserve">The VM specification table below provides a concise summary of the required resources for the OPDG host.</w:t>
      </w:r>
    </w:p>
    <w:tbl>
      <w:tblPr>
        <w:tblStyle w:val="GridTable4-Accent11"/>
        <w:tblW w:type="auto" w:w="0"/>
        <w:tblLayout w:type="autofit"/>
        <w:tblLook w:firstRow="1" w:lastRow="0" w:firstColumn="1" w:lastColumn="0" w:noHBand="0" w:noVBand="1" w:val="04A0"/>
      </w:tblPr>
      <w:tblGrid>
        <w:gridCol w:w="3960"/>
        <w:gridCol w:w="3960"/>
      </w:tblGrid>
      <w:tr>
        <w:trPr>
          <w:tblHeader w:val="on"/>
        </w:trPr>
        <w:tc>
          <w:tcPr/>
          <w:p>
            <w:pPr>
              <w:pStyle w:val="Compact"/>
            </w:pPr>
            <w:r>
              <w:rPr>
                <w:rFonts w:ascii="Segoe UI" w:hAnsi="Segoe UI"/>
                <w:sz w:val="22"/>
              </w:rPr>
              <w:t xml:space="preserve">Component</w:t>
            </w:r>
          </w:p>
        </w:tc>
        <w:tc>
          <w:tcPr/>
          <w:p>
            <w:pPr>
              <w:pStyle w:val="Compact"/>
            </w:pPr>
            <w:r>
              <w:rPr>
                <w:rFonts w:ascii="Segoe UI" w:hAnsi="Segoe UI"/>
                <w:sz w:val="22"/>
              </w:rPr>
              <w:t xml:space="preserve">Specification</w:t>
            </w:r>
          </w:p>
        </w:tc>
      </w:tr>
      <w:tr>
        <w:tc>
          <w:tcPr/>
          <w:p>
            <w:pPr>
              <w:pStyle w:val="Compact"/>
            </w:pPr>
            <w:r>
              <w:rPr>
                <w:rFonts w:ascii="Segoe UI" w:hAnsi="Segoe UI"/>
                <w:sz w:val="22"/>
              </w:rPr>
              <w:t xml:space="preserve">VM Size</w:t>
            </w:r>
          </w:p>
        </w:tc>
        <w:tc>
          <w:tcPr/>
          <w:p>
            <w:pPr>
              <w:pStyle w:val="Compact"/>
            </w:pPr>
            <w:r>
              <w:rPr>
                <w:rFonts w:ascii="Segoe UI" w:hAnsi="Segoe UI"/>
                <w:sz w:val="22"/>
              </w:rPr>
              <w:t xml:space="preserve">Standard D2s v3</w:t>
            </w:r>
          </w:p>
        </w:tc>
      </w:tr>
      <w:tr>
        <w:tc>
          <w:tcPr/>
          <w:p>
            <w:pPr>
              <w:pStyle w:val="Compact"/>
            </w:pPr>
            <w:r>
              <w:rPr>
                <w:rFonts w:ascii="Segoe UI" w:hAnsi="Segoe UI"/>
                <w:sz w:val="22"/>
              </w:rPr>
              <w:t xml:space="preserve">CPU</w:t>
            </w:r>
          </w:p>
        </w:tc>
        <w:tc>
          <w:tcPr/>
          <w:p>
            <w:pPr>
              <w:pStyle w:val="Compact"/>
            </w:pPr>
            <w:r>
              <w:rPr>
                <w:rFonts w:ascii="Segoe UI" w:hAnsi="Segoe UI"/>
                <w:sz w:val="22"/>
              </w:rPr>
              <w:t xml:space="preserve">2 vCPUs</w:t>
            </w:r>
          </w:p>
        </w:tc>
      </w:tr>
      <w:tr>
        <w:tc>
          <w:tcPr/>
          <w:p>
            <w:pPr>
              <w:pStyle w:val="Compact"/>
            </w:pPr>
            <w:r>
              <w:rPr>
                <w:rFonts w:ascii="Segoe UI" w:hAnsi="Segoe UI"/>
                <w:sz w:val="22"/>
              </w:rPr>
              <w:t xml:space="preserve">RAM</w:t>
            </w:r>
          </w:p>
        </w:tc>
        <w:tc>
          <w:tcPr/>
          <w:p>
            <w:pPr>
              <w:pStyle w:val="Compact"/>
            </w:pPr>
            <w:r>
              <w:rPr>
                <w:rFonts w:ascii="Segoe UI" w:hAnsi="Segoe UI"/>
                <w:sz w:val="22"/>
              </w:rPr>
              <w:t xml:space="preserve">8 GB</w:t>
            </w:r>
          </w:p>
        </w:tc>
      </w:tr>
      <w:tr>
        <w:tc>
          <w:tcPr/>
          <w:p>
            <w:pPr>
              <w:pStyle w:val="Compact"/>
            </w:pPr>
            <w:r>
              <w:rPr>
                <w:rFonts w:ascii="Segoe UI" w:hAnsi="Segoe UI"/>
                <w:sz w:val="22"/>
              </w:rPr>
              <w:t xml:space="preserve">Storage</w:t>
            </w:r>
          </w:p>
        </w:tc>
        <w:tc>
          <w:tcPr/>
          <w:p>
            <w:pPr>
              <w:pStyle w:val="Compact"/>
            </w:pPr>
            <w:r>
              <w:rPr>
                <w:rFonts w:ascii="Segoe UI" w:hAnsi="Segoe UI"/>
                <w:sz w:val="22"/>
              </w:rPr>
              <w:t xml:space="preserve">128 GB SSD</w:t>
            </w:r>
          </w:p>
        </w:tc>
      </w:tr>
      <w:tr>
        <w:tc>
          <w:tcPr/>
          <w:p>
            <w:pPr>
              <w:pStyle w:val="Compact"/>
            </w:pPr>
            <w:r>
              <w:rPr>
                <w:rFonts w:ascii="Segoe UI" w:hAnsi="Segoe UI"/>
                <w:sz w:val="22"/>
              </w:rPr>
              <w:t xml:space="preserve">OS</w:t>
            </w:r>
          </w:p>
        </w:tc>
        <w:tc>
          <w:tcPr/>
          <w:p>
            <w:pPr>
              <w:pStyle w:val="Compact"/>
            </w:pPr>
            <w:r>
              <w:rPr>
                <w:rFonts w:ascii="Segoe UI" w:hAnsi="Segoe UI"/>
                <w:sz w:val="22"/>
              </w:rPr>
              <w:t xml:space="preserve">Windows Server 2019/2022</w:t>
            </w:r>
          </w:p>
        </w:tc>
      </w:tr>
      <w:tr>
        <w:tc>
          <w:tcPr/>
          <w:p>
            <w:pPr>
              <w:pStyle w:val="Compact"/>
            </w:pPr>
            <w:r>
              <w:rPr>
                <w:rFonts w:ascii="Segoe UI" w:hAnsi="Segoe UI"/>
                <w:sz w:val="22"/>
              </w:rPr>
              <w:t xml:space="preserve">Network</w:t>
            </w:r>
          </w:p>
        </w:tc>
        <w:tc>
          <w:tcPr/>
          <w:p>
            <w:pPr>
              <w:pStyle w:val="Compact"/>
            </w:pPr>
            <w:r>
              <w:rPr>
                <w:rFonts w:ascii="Segoe UI" w:hAnsi="Segoe UI"/>
                <w:sz w:val="22"/>
              </w:rPr>
              <w:t xml:space="preserve">Outbound-only connectivity</w:t>
            </w:r>
          </w:p>
        </w:tc>
      </w:tr>
      <w:tr>
        <w:tc>
          <w:tcPr/>
          <w:p>
            <w:pPr>
              <w:pStyle w:val="Compact"/>
            </w:pPr>
            <w:r>
              <w:rPr>
                <w:rFonts w:ascii="Segoe UI" w:hAnsi="Segoe UI"/>
                <w:sz w:val="22"/>
              </w:rPr>
              <w:t xml:space="preserve">Security</w:t>
            </w:r>
          </w:p>
        </w:tc>
        <w:tc>
          <w:tcPr/>
          <w:p>
            <w:pPr>
              <w:pStyle w:val="Compact"/>
            </w:pPr>
            <w:r>
              <w:rPr>
                <w:rFonts w:ascii="Segoe UI" w:hAnsi="Segoe UI"/>
                <w:sz w:val="22"/>
              </w:rPr>
              <w:t xml:space="preserve">TLS encryption, AAD auth</w:t>
            </w:r>
          </w:p>
        </w:tc>
      </w:tr>
    </w:tbl>
    <w:p>
      <w:pPr>
        <w:pStyle w:val="BodyText"/>
        <w:jc w:val="both"/>
      </w:pPr>
      <w:r>
        <w:rPr>
          <w:rFonts w:ascii="Segoe UI" w:hAnsi="Segoe UI"/>
          <w:sz w:val="22"/>
        </w:rPr>
        <w:t xml:space="preserve">This VM configuration ensures that the OPDG can reliably handle concurrent data transfers, maintain secure connectivity, and scale in response to UMS’s evolving data integration requirements. By adopting this gateway architecture, Universiti Malaysia Sabah positions itself for seamless, secure integration with Microsoft Fabric, enabling advanced analytics and reporting while safeguarding institutional data.</w:t>
      </w:r>
    </w:p>
    <w:bookmarkEnd w:id="31"/>
    <w:bookmarkEnd w:id="32"/>
    <w:bookmarkStart w:id="40" w:name="roles-in-microsoft-fabric"/>
    <w:p>
      <w:pPr>
        <w:pStyle w:val="Heading1"/>
        <w:pageBreakBefore/>
      </w:pPr>
      <w:r>
        <w:rPr>
          <w:rFonts w:ascii="Segoe UI" w:hAnsi="Segoe UI"/>
          <w:b w:val="0"/>
          <w:sz w:val="30"/>
        </w:rPr>
        <w:t xml:space="preserve">4.0 Roles in Microsoft Fabric</w:t>
      </w:r>
    </w:p>
    <w:p>
      <w:pPr>
        <w:pStyle w:val="FirstParagraph"/>
        <w:jc w:val="both"/>
      </w:pPr>
      <w:r>
        <w:rPr>
          <w:rFonts w:ascii="Segoe UI" w:hAnsi="Segoe UI"/>
          <w:sz w:val="22"/>
        </w:rPr>
        <w:t xml:space="preserve">This section details the role architecture and access model for Microsoft Fabric as designed for Universiti Malaysia Sabah (UMS). The following subsections define the administrator role, Fabric-native roles, and the specific UMS workspace role mapping.</w:t>
      </w:r>
    </w:p>
    <w:bookmarkStart w:id="35" w:name="fabric-administrator-role"/>
    <w:p>
      <w:pPr>
        <w:pStyle w:val="Heading2"/>
      </w:pPr>
      <w:r>
        <w:rPr>
          <w:rFonts w:ascii="Segoe UI" w:hAnsi="Segoe UI"/>
          <w:b w:val="0"/>
          <w:sz w:val="28"/>
        </w:rPr>
        <w:t xml:space="preserve">4.1 Fabric Administrator Role</w:t>
      </w:r>
    </w:p>
    <w:p>
      <w:pPr>
        <w:pStyle w:val="FirstParagraph"/>
        <w:jc w:val="both"/>
      </w:pPr>
      <w:r>
        <w:rPr>
          <w:rFonts w:ascii="Segoe UI" w:hAnsi="Segoe UI"/>
          <w:sz w:val="22"/>
        </w:rPr>
        <w:t xml:space="preserve">The Fabric Administrator role is central to managing the Microsoft Fabric environment at UMS. This role is responsible for overseeing platform configuration, security, and operational governance.</w:t>
      </w:r>
    </w:p>
    <w:bookmarkStart w:id="33" w:name="assigning-the-role"/>
    <w:p>
      <w:pPr>
        <w:pStyle w:val="Heading3"/>
      </w:pPr>
      <w:r>
        <w:rPr>
          <w:rFonts w:ascii="Segoe UI" w:hAnsi="Segoe UI"/>
          <w:b w:val="0"/>
          <w:sz w:val="26"/>
        </w:rPr>
        <w:t xml:space="preserve">Assigning the Role</w:t>
      </w:r>
    </w:p>
    <w:p>
      <w:pPr>
        <w:pStyle w:val="FirstParagraph"/>
        <w:jc w:val="both"/>
      </w:pPr>
      <w:r>
        <w:rPr>
          <w:rFonts w:ascii="Segoe UI" w:hAnsi="Segoe UI"/>
          <w:sz w:val="22"/>
        </w:rPr>
        <w:t xml:space="preserve">UMS shall assign the Fabric Administrator role to personnel with deep technical expertise and organizational authority. The assignment process involves the following steps:</w:t>
      </w:r>
      <w:r>
        <w:rPr>
          <w:rFonts w:ascii="Segoe UI" w:hAnsi="Segoe UI"/>
          <w:sz w:val="22"/>
        </w:rPr>
        <w:t xml:space="preserve"> </w:t>
      </w:r>
      <w:r>
        <w:rPr>
          <w:rFonts w:ascii="Segoe UI" w:hAnsi="Segoe UI"/>
          <w:sz w:val="22"/>
        </w:rPr>
        <w:t xml:space="preserve">- Identification of suitable candidates from Sektor Analitik Data DARTIC and PPDM Official teams, ensuring they possess requisite knowledge of Microsoft Fabric, Power BI, and Azure.</w:t>
      </w:r>
      <w:r>
        <w:rPr>
          <w:rFonts w:ascii="Segoe UI" w:hAnsi="Segoe UI"/>
          <w:sz w:val="22"/>
        </w:rPr>
        <w:t xml:space="preserve"> </w:t>
      </w:r>
      <w:r>
        <w:rPr>
          <w:rFonts w:ascii="Segoe UI" w:hAnsi="Segoe UI"/>
          <w:sz w:val="22"/>
        </w:rPr>
        <w:t xml:space="preserve">- Role assignment is performed via the Microsoft Fabric Admin Portal, where administrators are granted permissions at the tenant or workspace level.</w:t>
      </w:r>
      <w:r>
        <w:rPr>
          <w:rFonts w:ascii="Segoe UI" w:hAnsi="Segoe UI"/>
          <w:sz w:val="22"/>
        </w:rPr>
        <w:t xml:space="preserve"> </w:t>
      </w:r>
      <w:r>
        <w:rPr>
          <w:rFonts w:ascii="Segoe UI" w:hAnsi="Segoe UI"/>
          <w:sz w:val="22"/>
        </w:rPr>
        <w:t xml:space="preserve">- For compliance and auditability, each assignment must be documented, and access periodically reviewed. UMS should maintain a record of all administrators, including their name, department, and justification for assignment.</w:t>
      </w:r>
      <w:r>
        <w:rPr>
          <w:rFonts w:ascii="Segoe UI" w:hAnsi="Segoe UI"/>
          <w:sz w:val="22"/>
        </w:rPr>
        <w:t xml:space="preserve"> </w:t>
      </w:r>
      <w:r>
        <w:rPr>
          <w:rFonts w:ascii="Segoe UI" w:hAnsi="Segoe UI"/>
          <w:sz w:val="22"/>
        </w:rPr>
        <w:t xml:space="preserve">- The role is typically mapped to individuals such as Dr Suraya Binti Alias, Mohd. Zamrie Bin Musa, Noor Afiza Binti Momen, and Ts AG Azihar @ AG KU Azihar Bin AG Tangah, as identified in the workspace role mapping table.</w:t>
      </w:r>
    </w:p>
    <w:p>
      <w:pPr>
        <w:pStyle w:val="BodyText"/>
        <w:jc w:val="both"/>
      </w:pPr>
      <w:r>
        <w:rPr>
          <w:rFonts w:ascii="Segoe UI" w:hAnsi="Segoe UI"/>
          <w:sz w:val="22"/>
        </w:rPr>
        <w:t xml:space="preserve">This approach ensures that only authorized and skilled personnel manage critical Fabric components, aligning with best practices for least privilege and operational accountability.</w:t>
      </w:r>
    </w:p>
    <w:bookmarkEnd w:id="33"/>
    <w:bookmarkStart w:id="34" w:name="admin-portal-capabilities"/>
    <w:p>
      <w:pPr>
        <w:pStyle w:val="Heading3"/>
      </w:pPr>
      <w:r>
        <w:rPr>
          <w:rFonts w:ascii="Segoe UI" w:hAnsi="Segoe UI"/>
          <w:b w:val="0"/>
          <w:sz w:val="26"/>
        </w:rPr>
        <w:t xml:space="preserve">Admin Portal Capabilities</w:t>
      </w:r>
    </w:p>
    <w:p>
      <w:pPr>
        <w:pStyle w:val="FirstParagraph"/>
        <w:jc w:val="both"/>
      </w:pPr>
      <w:r>
        <w:rPr>
          <w:rFonts w:ascii="Segoe UI" w:hAnsi="Segoe UI"/>
          <w:sz w:val="22"/>
        </w:rPr>
        <w:t xml:space="preserve">The following table outlines the key capabilities available to Fabric Administrators within the Admin Portal, enabling comprehensive management of the platform.</w:t>
      </w:r>
    </w:p>
    <w:tbl>
      <w:tblPr>
        <w:tblStyle w:val="GridTable4-Accent11"/>
        <w:tblW w:type="pct" w:w="5000"/>
        <w:tblLayout w:type="autofit"/>
        <w:tblLook w:firstRow="1" w:lastRow="0" w:firstColumn="1" w:lastColumn="0" w:noHBand="0" w:noVBand="1" w:val="04A0"/>
      </w:tblPr>
      <w:tblGrid>
        <w:gridCol w:w="1663"/>
        <w:gridCol w:w="6256"/>
      </w:tblGrid>
      <w:tr>
        <w:trPr>
          <w:tblHeader w:val="on"/>
        </w:trPr>
        <w:tc>
          <w:tcPr/>
          <w:p>
            <w:pPr>
              <w:pStyle w:val="Compact"/>
            </w:pPr>
            <w:r>
              <w:rPr>
                <w:rFonts w:ascii="Segoe UI" w:hAnsi="Segoe UI"/>
                <w:sz w:val="22"/>
              </w:rPr>
              <w:t xml:space="preserve">Capability</w:t>
            </w:r>
          </w:p>
        </w:tc>
        <w:tc>
          <w:tcPr/>
          <w:p>
            <w:pPr>
              <w:pStyle w:val="Compact"/>
            </w:pPr>
            <w:r>
              <w:rPr>
                <w:rFonts w:ascii="Segoe UI" w:hAnsi="Segoe UI"/>
                <w:sz w:val="22"/>
              </w:rPr>
              <w:t xml:space="preserve">Description</w:t>
            </w:r>
          </w:p>
        </w:tc>
      </w:tr>
      <w:tr>
        <w:tc>
          <w:tcPr/>
          <w:p>
            <w:pPr>
              <w:pStyle w:val="Compact"/>
            </w:pPr>
            <w:r>
              <w:rPr>
                <w:rFonts w:ascii="Segoe UI" w:hAnsi="Segoe UI"/>
                <w:sz w:val="22"/>
              </w:rPr>
              <w:t xml:space="preserve">Workspace Management</w:t>
            </w:r>
          </w:p>
        </w:tc>
        <w:tc>
          <w:tcPr/>
          <w:p>
            <w:pPr>
              <w:pStyle w:val="Compact"/>
            </w:pPr>
            <w:r>
              <w:rPr>
                <w:rFonts w:ascii="Segoe UI" w:hAnsi="Segoe UI"/>
                <w:sz w:val="22"/>
              </w:rPr>
              <w:t xml:space="preserve">Create, configure, and delete workspaces; manage workspace-level security and access.</w:t>
            </w:r>
          </w:p>
        </w:tc>
      </w:tr>
      <w:tr>
        <w:tc>
          <w:tcPr/>
          <w:p>
            <w:pPr>
              <w:pStyle w:val="Compact"/>
            </w:pPr>
            <w:r>
              <w:rPr>
                <w:rFonts w:ascii="Segoe UI" w:hAnsi="Segoe UI"/>
                <w:sz w:val="22"/>
              </w:rPr>
              <w:t xml:space="preserve">User Access Control</w:t>
            </w:r>
          </w:p>
        </w:tc>
        <w:tc>
          <w:tcPr/>
          <w:p>
            <w:pPr>
              <w:pStyle w:val="Compact"/>
            </w:pPr>
            <w:r>
              <w:rPr>
                <w:rFonts w:ascii="Segoe UI" w:hAnsi="Segoe UI"/>
                <w:sz w:val="22"/>
              </w:rPr>
              <w:t xml:space="preserve">Assign, modify, and revoke user roles and permissions across Fabric and Power BI.</w:t>
            </w:r>
          </w:p>
        </w:tc>
      </w:tr>
      <w:tr>
        <w:tc>
          <w:tcPr/>
          <w:p>
            <w:pPr>
              <w:pStyle w:val="Compact"/>
            </w:pPr>
            <w:r>
              <w:rPr>
                <w:rFonts w:ascii="Segoe UI" w:hAnsi="Segoe UI"/>
                <w:sz w:val="22"/>
              </w:rPr>
              <w:t xml:space="preserve">Data Governance</w:t>
            </w:r>
          </w:p>
        </w:tc>
        <w:tc>
          <w:tcPr/>
          <w:p>
            <w:pPr>
              <w:pStyle w:val="Compact"/>
            </w:pPr>
            <w:r>
              <w:rPr>
                <w:rFonts w:ascii="Segoe UI" w:hAnsi="Segoe UI"/>
                <w:sz w:val="22"/>
              </w:rPr>
              <w:t xml:space="preserve">Enforce data policies, lineage tracking, and compliance requirements within the workspace.</w:t>
            </w:r>
          </w:p>
        </w:tc>
      </w:tr>
      <w:tr>
        <w:tc>
          <w:tcPr/>
          <w:p>
            <w:pPr>
              <w:pStyle w:val="Compact"/>
            </w:pPr>
            <w:r>
              <w:rPr>
                <w:rFonts w:ascii="Segoe UI" w:hAnsi="Segoe UI"/>
                <w:sz w:val="22"/>
              </w:rPr>
              <w:t xml:space="preserve">Resource Monitoring</w:t>
            </w:r>
          </w:p>
        </w:tc>
        <w:tc>
          <w:tcPr/>
          <w:p>
            <w:pPr>
              <w:pStyle w:val="Compact"/>
            </w:pPr>
            <w:r>
              <w:rPr>
                <w:rFonts w:ascii="Segoe UI" w:hAnsi="Segoe UI"/>
                <w:sz w:val="22"/>
              </w:rPr>
              <w:t xml:space="preserve">Monitor usage, performance, and health of Fabric resources and services.</w:t>
            </w:r>
          </w:p>
        </w:tc>
      </w:tr>
      <w:tr>
        <w:tc>
          <w:tcPr/>
          <w:p>
            <w:pPr>
              <w:pStyle w:val="Compact"/>
            </w:pPr>
            <w:r>
              <w:rPr>
                <w:rFonts w:ascii="Segoe UI" w:hAnsi="Segoe UI"/>
                <w:sz w:val="22"/>
              </w:rPr>
              <w:t xml:space="preserve">Audit &amp; Compliance</w:t>
            </w:r>
          </w:p>
        </w:tc>
        <w:tc>
          <w:tcPr/>
          <w:p>
            <w:pPr>
              <w:pStyle w:val="Compact"/>
            </w:pPr>
            <w:r>
              <w:rPr>
                <w:rFonts w:ascii="Segoe UI" w:hAnsi="Segoe UI"/>
                <w:sz w:val="22"/>
              </w:rPr>
              <w:t xml:space="preserve">Access audit logs, generate compliance reports, and track changes for regulatory purposes.</w:t>
            </w:r>
          </w:p>
        </w:tc>
      </w:tr>
      <w:tr>
        <w:tc>
          <w:tcPr/>
          <w:p>
            <w:pPr>
              <w:pStyle w:val="Compact"/>
            </w:pPr>
            <w:r>
              <w:rPr>
                <w:rFonts w:ascii="Segoe UI" w:hAnsi="Segoe UI"/>
                <w:sz w:val="22"/>
              </w:rPr>
              <w:t xml:space="preserve">Integration Management</w:t>
            </w:r>
          </w:p>
        </w:tc>
        <w:tc>
          <w:tcPr/>
          <w:p>
            <w:pPr>
              <w:pStyle w:val="Compact"/>
            </w:pPr>
            <w:r>
              <w:rPr>
                <w:rFonts w:ascii="Segoe UI" w:hAnsi="Segoe UI"/>
                <w:sz w:val="22"/>
              </w:rPr>
              <w:t xml:space="preserve">Configure integrations with Azure services, Power BI, and external data sources.</w:t>
            </w:r>
          </w:p>
        </w:tc>
      </w:tr>
    </w:tbl>
    <w:p>
      <w:pPr>
        <w:pStyle w:val="BodyText"/>
        <w:jc w:val="both"/>
      </w:pPr>
      <w:r>
        <w:rPr>
          <w:rFonts w:ascii="Segoe UI" w:hAnsi="Segoe UI"/>
          <w:sz w:val="22"/>
        </w:rPr>
        <w:t xml:space="preserve">These capabilities are critical for ensuring that UMS’s Fabric environment remains secure, compliant, and operationally efficient.</w:t>
      </w:r>
    </w:p>
    <w:bookmarkEnd w:id="34"/>
    <w:bookmarkEnd w:id="35"/>
    <w:bookmarkStart w:id="38" w:name="fabric-native-roles"/>
    <w:p>
      <w:pPr>
        <w:pStyle w:val="Heading2"/>
      </w:pPr>
      <w:r>
        <w:rPr>
          <w:rFonts w:ascii="Segoe UI" w:hAnsi="Segoe UI"/>
          <w:b w:val="0"/>
          <w:sz w:val="28"/>
        </w:rPr>
        <w:t xml:space="preserve">4.2 Fabric-native Roles</w:t>
      </w:r>
    </w:p>
    <w:p>
      <w:pPr>
        <w:pStyle w:val="FirstParagraph"/>
        <w:jc w:val="both"/>
      </w:pPr>
      <w:r>
        <w:rPr>
          <w:rFonts w:ascii="Segoe UI" w:hAnsi="Segoe UI"/>
          <w:sz w:val="22"/>
        </w:rPr>
        <w:t xml:space="preserve">Fabric-native roles provide granular access control within Microsoft Fabric, supporting both workspace-level and item-level permissions. UMS shall implement these roles to facilitate secure collaboration and data management.</w:t>
      </w:r>
    </w:p>
    <w:bookmarkStart w:id="36" w:name="workspace-level-roles"/>
    <w:p>
      <w:pPr>
        <w:pStyle w:val="Heading3"/>
      </w:pPr>
      <w:r>
        <w:rPr>
          <w:rFonts w:ascii="Segoe UI" w:hAnsi="Segoe UI"/>
          <w:b w:val="0"/>
          <w:sz w:val="26"/>
        </w:rPr>
        <w:t xml:space="preserve">Workspace-level Roles</w:t>
      </w:r>
    </w:p>
    <w:p>
      <w:pPr>
        <w:pStyle w:val="FirstParagraph"/>
        <w:jc w:val="both"/>
      </w:pPr>
      <w:r>
        <w:rPr>
          <w:rFonts w:ascii="Segoe UI" w:hAnsi="Segoe UI"/>
          <w:sz w:val="22"/>
        </w:rPr>
        <w:t xml:space="preserve">Workspace-level roles define the scope of user actions within a Fabric workspace. UMS’s role mapping ensures that each workspace role is assigned to personnel with appropriate responsibilities.</w:t>
      </w:r>
    </w:p>
    <w:tbl>
      <w:tblPr>
        <w:tblStyle w:val="GridTable4-Accent11"/>
        <w:tblW w:type="pct" w:w="5000"/>
        <w:tblLayout w:type="autofit"/>
        <w:tblLook w:firstRow="1" w:lastRow="0" w:firstColumn="1" w:lastColumn="0" w:noHBand="0" w:noVBand="1" w:val="04A0"/>
      </w:tblPr>
      <w:tblGrid>
        <w:gridCol w:w="1005"/>
        <w:gridCol w:w="1382"/>
        <w:gridCol w:w="5531"/>
      </w:tblGrid>
      <w:tr>
        <w:trPr>
          <w:tblHeader w:val="on"/>
        </w:trPr>
        <w:tc>
          <w:tcPr/>
          <w:p>
            <w:pPr>
              <w:pStyle w:val="Compact"/>
            </w:pPr>
            <w:r>
              <w:rPr>
                <w:rFonts w:ascii="Segoe UI" w:hAnsi="Segoe UI"/>
                <w:sz w:val="22"/>
              </w:rPr>
              <w:t xml:space="preserve">Workspace Role</w:t>
            </w:r>
          </w:p>
        </w:tc>
        <w:tc>
          <w:tcPr/>
          <w:p>
            <w:pPr>
              <w:pStyle w:val="Compact"/>
            </w:pPr>
            <w:r>
              <w:rPr>
                <w:rFonts w:ascii="Segoe UI" w:hAnsi="Segoe UI"/>
                <w:sz w:val="22"/>
              </w:rPr>
              <w:t xml:space="preserve">Suggested Role</w:t>
            </w:r>
          </w:p>
        </w:tc>
        <w:tc>
          <w:tcPr/>
          <w:p>
            <w:pPr>
              <w:pStyle w:val="Compact"/>
            </w:pPr>
            <w:r>
              <w:rPr>
                <w:rFonts w:ascii="Segoe UI" w:hAnsi="Segoe UI"/>
                <w:sz w:val="22"/>
              </w:rPr>
              <w:t xml:space="preserve">UMS PIC</w:t>
            </w:r>
          </w:p>
        </w:tc>
      </w:tr>
      <w:tr>
        <w:tc>
          <w:tcPr/>
          <w:p>
            <w:pPr>
              <w:pStyle w:val="Compact"/>
            </w:pPr>
            <w:r>
              <w:rPr>
                <w:rFonts w:ascii="Segoe UI" w:hAnsi="Segoe UI"/>
                <w:sz w:val="22"/>
              </w:rPr>
              <w:t xml:space="preserve">Workspace Admin</w:t>
            </w:r>
          </w:p>
        </w:tc>
        <w:tc>
          <w:tcPr/>
          <w:p>
            <w:pPr>
              <w:pStyle w:val="Compact"/>
            </w:pPr>
            <w:r>
              <w:rPr>
                <w:rFonts w:ascii="Segoe UI" w:hAnsi="Segoe UI"/>
                <w:sz w:val="22"/>
              </w:rPr>
              <w:t xml:space="preserve">Fabric Admin / Data Engineer</w:t>
            </w:r>
          </w:p>
        </w:tc>
        <w:tc>
          <w:tcPr/>
          <w:p>
            <w:pPr>
              <w:pStyle w:val="Compact"/>
            </w:pPr>
            <w:r>
              <w:rPr>
                <w:rFonts w:ascii="Segoe UI" w:hAnsi="Segoe UI"/>
                <w:sz w:val="22"/>
              </w:rPr>
              <w:t xml:space="preserve">Dr Suraya Binti Alias</w:t>
            </w:r>
            <w:r>
              <w:rPr>
                <w:rFonts w:ascii="Segoe UI" w:hAnsi="Segoe UI"/>
                <w:sz w:val="22"/>
              </w:rPr>
              <w:t xml:space="preserve">Sektor Analitik Data DARTIC</w:t>
            </w:r>
            <w:r>
              <w:rPr>
                <w:rFonts w:ascii="Segoe UI" w:hAnsi="Segoe UI"/>
                <w:sz w:val="22"/>
              </w:rPr>
              <w:t xml:space="preserve">PPDM Official</w:t>
            </w:r>
            <w:r>
              <w:rPr>
                <w:rFonts w:ascii="Segoe UI" w:hAnsi="Segoe UI"/>
                <w:sz w:val="22"/>
              </w:rPr>
              <w:t xml:space="preserve">Mohd. Zamrie Bin Musa</w:t>
            </w:r>
            <w:r>
              <w:rPr>
                <w:rFonts w:ascii="Segoe UI" w:hAnsi="Segoe UI"/>
                <w:sz w:val="22"/>
              </w:rPr>
              <w:t xml:space="preserve">Noor Afiza Binti Momen</w:t>
            </w:r>
            <w:r>
              <w:rPr>
                <w:rFonts w:ascii="Segoe UI" w:hAnsi="Segoe UI"/>
                <w:sz w:val="22"/>
              </w:rPr>
              <w:t xml:space="preserve">Ts AG Azihar @ AG KU Azihar Bin AG Tangah</w:t>
            </w:r>
          </w:p>
        </w:tc>
      </w:tr>
      <w:tr>
        <w:tc>
          <w:tcPr/>
          <w:p>
            <w:pPr>
              <w:pStyle w:val="Compact"/>
            </w:pPr>
            <w:r>
              <w:rPr>
                <w:rFonts w:ascii="Segoe UI" w:hAnsi="Segoe UI"/>
                <w:sz w:val="22"/>
              </w:rPr>
              <w:t xml:space="preserve">Workspace Contributor</w:t>
            </w:r>
          </w:p>
        </w:tc>
        <w:tc>
          <w:tcPr/>
          <w:p>
            <w:pPr>
              <w:pStyle w:val="Compact"/>
            </w:pPr>
            <w:r>
              <w:rPr>
                <w:rFonts w:ascii="Segoe UI" w:hAnsi="Segoe UI"/>
                <w:sz w:val="22"/>
              </w:rPr>
              <w:t xml:space="preserve">Data Engineer / Business User Admin</w:t>
            </w:r>
          </w:p>
        </w:tc>
        <w:tc>
          <w:tcPr/>
          <w:p>
            <w:pPr>
              <w:pStyle w:val="Compact"/>
            </w:pPr>
            <w:r>
              <w:rPr>
                <w:rFonts w:ascii="Segoe UI" w:hAnsi="Segoe UI"/>
                <w:sz w:val="22"/>
              </w:rPr>
              <w:t xml:space="preserve">Mohd Khairul Nizam Bin Senu (DB)</w:t>
            </w:r>
            <w:r>
              <w:rPr>
                <w:rFonts w:ascii="Segoe UI" w:hAnsi="Segoe UI"/>
                <w:sz w:val="22"/>
              </w:rPr>
              <w:t xml:space="preserve">Assie Zaee Petrus (DB)</w:t>
            </w:r>
            <w:r>
              <w:rPr>
                <w:rFonts w:ascii="Segoe UI" w:hAnsi="Segoe UI"/>
                <w:sz w:val="22"/>
              </w:rPr>
              <w:t xml:space="preserve">Muhaimin Bin Mad Noor (Infra)</w:t>
            </w:r>
            <w:r>
              <w:rPr>
                <w:rFonts w:ascii="Segoe UI" w:hAnsi="Segoe UI"/>
                <w:sz w:val="22"/>
              </w:rPr>
              <w:t xml:space="preserve">Nuraliah Binti Alias (Infra)</w:t>
            </w:r>
            <w:r>
              <w:rPr>
                <w:rFonts w:ascii="Segoe UI" w:hAnsi="Segoe UI"/>
                <w:sz w:val="22"/>
              </w:rPr>
              <w:t xml:space="preserve">Chong Tze Chien (Server Security)</w:t>
            </w:r>
            <w:r>
              <w:rPr>
                <w:rFonts w:ascii="Segoe UI" w:hAnsi="Segoe UI"/>
                <w:sz w:val="22"/>
              </w:rPr>
              <w:t xml:space="preserve">Abdul Latif Matali (Server Security)</w:t>
            </w:r>
          </w:p>
        </w:tc>
      </w:tr>
      <w:tr>
        <w:tc>
          <w:tcPr/>
          <w:p>
            <w:pPr>
              <w:pStyle w:val="Compact"/>
            </w:pPr>
            <w:r>
              <w:rPr>
                <w:rFonts w:ascii="Segoe UI" w:hAnsi="Segoe UI"/>
                <w:sz w:val="22"/>
              </w:rPr>
              <w:t xml:space="preserve">Workspace Viewer</w:t>
            </w:r>
          </w:p>
        </w:tc>
        <w:tc>
          <w:tcPr/>
          <w:p>
            <w:pPr>
              <w:pStyle w:val="Compact"/>
            </w:pPr>
            <w:r>
              <w:rPr>
                <w:rFonts w:ascii="Segoe UI" w:hAnsi="Segoe UI"/>
                <w:sz w:val="22"/>
              </w:rPr>
              <w:t xml:space="preserve">Data Analyst / Stakeholder / Project Director</w:t>
            </w:r>
          </w:p>
        </w:tc>
        <w:tc>
          <w:tcPr/>
          <w:p>
            <w:pPr>
              <w:pStyle w:val="Compact"/>
            </w:pPr>
            <w:r>
              <w:rPr>
                <w:rFonts w:ascii="Segoe UI" w:hAnsi="Segoe UI"/>
                <w:sz w:val="22"/>
              </w:rPr>
              <w:t xml:space="preserve">Director</w:t>
            </w:r>
            <w:r>
              <w:rPr>
                <w:rFonts w:ascii="Segoe UI" w:hAnsi="Segoe UI"/>
                <w:sz w:val="22"/>
              </w:rPr>
              <w:t xml:space="preserve">Dr Farashazillah Binti Yahya</w:t>
            </w:r>
            <w:r>
              <w:rPr>
                <w:rFonts w:ascii="Segoe UI" w:hAnsi="Segoe UI"/>
                <w:sz w:val="22"/>
              </w:rPr>
              <w:t xml:space="preserve">Stakeholders</w:t>
            </w:r>
            <w:r>
              <w:rPr>
                <w:rFonts w:ascii="Segoe UI" w:hAnsi="Segoe UI"/>
                <w:sz w:val="22"/>
              </w:rPr>
              <w:t xml:space="preserve">Roslee Bin Talip</w:t>
            </w:r>
            <w:r>
              <w:rPr>
                <w:rFonts w:ascii="Segoe UI" w:hAnsi="Segoe UI"/>
                <w:sz w:val="22"/>
              </w:rPr>
              <w:t xml:space="preserve">Dayangku Rozlina BTE PG. Aliuddin</w:t>
            </w:r>
            <w:r>
              <w:rPr>
                <w:rFonts w:ascii="Segoe UI" w:hAnsi="Segoe UI"/>
                <w:sz w:val="22"/>
              </w:rPr>
              <w:t xml:space="preserve">Norhanieyati Binti Norhaizat</w:t>
            </w:r>
            <w:r>
              <w:rPr>
                <w:rFonts w:ascii="Segoe UI" w:hAnsi="Segoe UI"/>
                <w:sz w:val="22"/>
              </w:rPr>
              <w:t xml:space="preserve">Zaidie @ Mohd Zaidie Bin Adilai</w:t>
            </w:r>
            <w:r>
              <w:rPr>
                <w:rFonts w:ascii="Segoe UI" w:hAnsi="Segoe UI"/>
                <w:sz w:val="22"/>
              </w:rPr>
              <w:t xml:space="preserve">Professor Madya TS Dr Mohd Hanafi Bin Ahmad Hijazi</w:t>
            </w:r>
          </w:p>
        </w:tc>
      </w:tr>
    </w:tbl>
    <w:p>
      <w:pPr>
        <w:pStyle w:val="BodyText"/>
        <w:jc w:val="both"/>
      </w:pPr>
      <w:r>
        <w:rPr>
          <w:rFonts w:ascii="Segoe UI" w:hAnsi="Segoe UI"/>
          <w:sz w:val="22"/>
        </w:rPr>
        <w:t xml:space="preserve">This mapping ensures that each workspace role is aligned with UMS’s organizational structure, supporting accountability and efficient data operations.</w:t>
      </w:r>
    </w:p>
    <w:bookmarkEnd w:id="36"/>
    <w:bookmarkStart w:id="37" w:name="item-level-roles"/>
    <w:p>
      <w:pPr>
        <w:pStyle w:val="Heading3"/>
      </w:pPr>
      <w:r>
        <w:rPr>
          <w:rFonts w:ascii="Segoe UI" w:hAnsi="Segoe UI"/>
          <w:b w:val="0"/>
          <w:sz w:val="26"/>
        </w:rPr>
        <w:t xml:space="preserve">Item-level Roles</w:t>
      </w:r>
    </w:p>
    <w:p>
      <w:pPr>
        <w:pStyle w:val="FirstParagraph"/>
        <w:jc w:val="both"/>
      </w:pPr>
      <w:r>
        <w:rPr>
          <w:rFonts w:ascii="Segoe UI" w:hAnsi="Segoe UI"/>
          <w:sz w:val="22"/>
        </w:rPr>
        <w:t xml:space="preserve">Item-level roles provide fine-grained control over individual artifacts within a workspace, such as datasets, reports, and dashboards. The following table details the permissions and descriptions for each item-level role.</w:t>
      </w:r>
    </w:p>
    <w:tbl>
      <w:tblPr>
        <w:tblStyle w:val="GridTable4-Accent11"/>
        <w:tblW w:type="pct" w:w="5000"/>
        <w:tblLayout w:type="autofit"/>
        <w:tblLook w:firstRow="1" w:lastRow="0" w:firstColumn="1" w:lastColumn="0" w:noHBand="0" w:noVBand="1" w:val="04A0"/>
      </w:tblPr>
      <w:tblGrid>
        <w:gridCol w:w="852"/>
        <w:gridCol w:w="1096"/>
        <w:gridCol w:w="5970"/>
      </w:tblGrid>
      <w:tr>
        <w:trPr>
          <w:tblHeader w:val="on"/>
        </w:trPr>
        <w:tc>
          <w:tcPr/>
          <w:p>
            <w:pPr>
              <w:pStyle w:val="Compact"/>
            </w:pPr>
            <w:r>
              <w:rPr>
                <w:rFonts w:ascii="Segoe UI" w:hAnsi="Segoe UI"/>
                <w:sz w:val="22"/>
              </w:rPr>
              <w:t xml:space="preserve">Item</w:t>
            </w:r>
          </w:p>
        </w:tc>
        <w:tc>
          <w:tcPr/>
          <w:p>
            <w:pPr>
              <w:pStyle w:val="Compact"/>
            </w:pPr>
            <w:r>
              <w:rPr>
                <w:rFonts w:ascii="Segoe UI" w:hAnsi="Segoe UI"/>
                <w:sz w:val="22"/>
              </w:rPr>
              <w:t xml:space="preserve">Permission</w:t>
            </w:r>
          </w:p>
        </w:tc>
        <w:tc>
          <w:tcPr/>
          <w:p>
            <w:pPr>
              <w:pStyle w:val="Compact"/>
            </w:pPr>
            <w:r>
              <w:rPr>
                <w:rFonts w:ascii="Segoe UI" w:hAnsi="Segoe UI"/>
                <w:sz w:val="22"/>
              </w:rPr>
              <w:t xml:space="preserve">Description</w:t>
            </w:r>
          </w:p>
        </w:tc>
      </w:tr>
      <w:tr>
        <w:tc>
          <w:tcPr/>
          <w:p>
            <w:pPr>
              <w:pStyle w:val="Compact"/>
            </w:pPr>
            <w:r>
              <w:rPr>
                <w:rFonts w:ascii="Segoe UI" w:hAnsi="Segoe UI"/>
                <w:sz w:val="22"/>
              </w:rPr>
              <w:t xml:space="preserve">Dataset</w:t>
            </w:r>
          </w:p>
        </w:tc>
        <w:tc>
          <w:tcPr/>
          <w:p>
            <w:pPr>
              <w:pStyle w:val="Compact"/>
            </w:pPr>
            <w:r>
              <w:rPr>
                <w:rFonts w:ascii="Segoe UI" w:hAnsi="Segoe UI"/>
                <w:sz w:val="22"/>
              </w:rPr>
              <w:t xml:space="preserve">Read, Write</w:t>
            </w:r>
          </w:p>
        </w:tc>
        <w:tc>
          <w:tcPr/>
          <w:p>
            <w:pPr>
              <w:pStyle w:val="Compact"/>
            </w:pPr>
            <w:r>
              <w:rPr>
                <w:rFonts w:ascii="Segoe UI" w:hAnsi="Segoe UI"/>
                <w:sz w:val="22"/>
              </w:rPr>
              <w:t xml:space="preserve">Access and modify datasets; essential for data engineers and contributors to manage data assets.</w:t>
            </w:r>
          </w:p>
        </w:tc>
      </w:tr>
      <w:tr>
        <w:tc>
          <w:tcPr/>
          <w:p>
            <w:pPr>
              <w:pStyle w:val="Compact"/>
            </w:pPr>
            <w:r>
              <w:rPr>
                <w:rFonts w:ascii="Segoe UI" w:hAnsi="Segoe UI"/>
                <w:sz w:val="22"/>
              </w:rPr>
              <w:t xml:space="preserve">Report</w:t>
            </w:r>
          </w:p>
        </w:tc>
        <w:tc>
          <w:tcPr/>
          <w:p>
            <w:pPr>
              <w:pStyle w:val="Compact"/>
            </w:pPr>
            <w:r>
              <w:rPr>
                <w:rFonts w:ascii="Segoe UI" w:hAnsi="Segoe UI"/>
                <w:sz w:val="22"/>
              </w:rPr>
              <w:t xml:space="preserve">View, Edit</w:t>
            </w:r>
          </w:p>
        </w:tc>
        <w:tc>
          <w:tcPr/>
          <w:p>
            <w:pPr>
              <w:pStyle w:val="Compact"/>
            </w:pPr>
            <w:r>
              <w:rPr>
                <w:rFonts w:ascii="Segoe UI" w:hAnsi="Segoe UI"/>
                <w:sz w:val="22"/>
              </w:rPr>
              <w:t xml:space="preserve">View and edit reports; allows analysts and stakeholders to interpret and refine data insights.</w:t>
            </w:r>
          </w:p>
        </w:tc>
      </w:tr>
      <w:tr>
        <w:tc>
          <w:tcPr/>
          <w:p>
            <w:pPr>
              <w:pStyle w:val="Compact"/>
            </w:pPr>
            <w:r>
              <w:rPr>
                <w:rFonts w:ascii="Segoe UI" w:hAnsi="Segoe UI"/>
                <w:sz w:val="22"/>
              </w:rPr>
              <w:t xml:space="preserve">Dashboard</w:t>
            </w:r>
          </w:p>
        </w:tc>
        <w:tc>
          <w:tcPr/>
          <w:p>
            <w:pPr>
              <w:pStyle w:val="Compact"/>
            </w:pPr>
            <w:r>
              <w:rPr>
                <w:rFonts w:ascii="Segoe UI" w:hAnsi="Segoe UI"/>
                <w:sz w:val="22"/>
              </w:rPr>
              <w:t xml:space="preserve">View</w:t>
            </w:r>
          </w:p>
        </w:tc>
        <w:tc>
          <w:tcPr/>
          <w:p>
            <w:pPr>
              <w:pStyle w:val="Compact"/>
            </w:pPr>
            <w:r>
              <w:rPr>
                <w:rFonts w:ascii="Segoe UI" w:hAnsi="Segoe UI"/>
                <w:sz w:val="22"/>
              </w:rPr>
              <w:t xml:space="preserve">View dashboards; provides high-level summary access for project directors and stakeholders.</w:t>
            </w:r>
          </w:p>
        </w:tc>
      </w:tr>
      <w:tr>
        <w:tc>
          <w:tcPr/>
          <w:p>
            <w:pPr>
              <w:pStyle w:val="Compact"/>
            </w:pPr>
            <w:r>
              <w:rPr>
                <w:rFonts w:ascii="Segoe UI" w:hAnsi="Segoe UI"/>
                <w:sz w:val="22"/>
              </w:rPr>
              <w:t xml:space="preserve">Dataflow</w:t>
            </w:r>
          </w:p>
        </w:tc>
        <w:tc>
          <w:tcPr/>
          <w:p>
            <w:pPr>
              <w:pStyle w:val="Compact"/>
            </w:pPr>
            <w:r>
              <w:rPr>
                <w:rFonts w:ascii="Segoe UI" w:hAnsi="Segoe UI"/>
                <w:sz w:val="22"/>
              </w:rPr>
              <w:t xml:space="preserve">Execute, Modify</w:t>
            </w:r>
          </w:p>
        </w:tc>
        <w:tc>
          <w:tcPr/>
          <w:p>
            <w:pPr>
              <w:pStyle w:val="Compact"/>
            </w:pPr>
            <w:r>
              <w:rPr>
                <w:rFonts w:ascii="Segoe UI" w:hAnsi="Segoe UI"/>
                <w:sz w:val="22"/>
              </w:rPr>
              <w:t xml:space="preserve">Run and modify dataflows; critical for automation and ETL processes managed by data engineers.</w:t>
            </w:r>
          </w:p>
        </w:tc>
      </w:tr>
      <w:tr>
        <w:tc>
          <w:tcPr/>
          <w:p>
            <w:pPr>
              <w:pStyle w:val="Compact"/>
            </w:pPr>
            <w:r>
              <w:rPr>
                <w:rFonts w:ascii="Segoe UI" w:hAnsi="Segoe UI"/>
                <w:sz w:val="22"/>
              </w:rPr>
              <w:t xml:space="preserve">Notebook</w:t>
            </w:r>
          </w:p>
        </w:tc>
        <w:tc>
          <w:tcPr/>
          <w:p>
            <w:pPr>
              <w:pStyle w:val="Compact"/>
            </w:pPr>
            <w:r>
              <w:rPr>
                <w:rFonts w:ascii="Segoe UI" w:hAnsi="Segoe UI"/>
                <w:sz w:val="22"/>
              </w:rPr>
              <w:t xml:space="preserve">Execute, Edit</w:t>
            </w:r>
          </w:p>
        </w:tc>
        <w:tc>
          <w:tcPr/>
          <w:p>
            <w:pPr>
              <w:pStyle w:val="Compact"/>
            </w:pPr>
            <w:r>
              <w:rPr>
                <w:rFonts w:ascii="Segoe UI" w:hAnsi="Segoe UI"/>
                <w:sz w:val="22"/>
              </w:rPr>
              <w:t xml:space="preserve">Run and edit notebooks; supports advanced analytics and ML workflows for technical users.</w:t>
            </w:r>
          </w:p>
        </w:tc>
      </w:tr>
    </w:tbl>
    <w:p>
      <w:pPr>
        <w:pStyle w:val="BodyText"/>
        <w:jc w:val="both"/>
      </w:pPr>
      <w:r>
        <w:rPr>
          <w:rFonts w:ascii="Segoe UI" w:hAnsi="Segoe UI"/>
          <w:sz w:val="22"/>
        </w:rPr>
        <w:t xml:space="preserve">UMS shall enforce item-level permissions to ensure data integrity and prevent unauthorized modifications, thereby supporting secure and collaborative analytics.</w:t>
      </w:r>
    </w:p>
    <w:bookmarkEnd w:id="37"/>
    <w:bookmarkEnd w:id="38"/>
    <w:bookmarkStart w:id="39" w:name="ums-workspace-role-and-access"/>
    <w:p>
      <w:pPr>
        <w:pStyle w:val="Heading2"/>
      </w:pPr>
      <w:r>
        <w:rPr>
          <w:rFonts w:ascii="Segoe UI" w:hAnsi="Segoe UI"/>
          <w:b w:val="0"/>
          <w:sz w:val="28"/>
        </w:rPr>
        <w:t xml:space="preserve">4.3 UMS Workspace Role and Access</w:t>
      </w:r>
    </w:p>
    <w:p>
      <w:pPr>
        <w:pStyle w:val="FirstParagraph"/>
        <w:jc w:val="both"/>
      </w:pPr>
      <w:r>
        <w:rPr>
          <w:rFonts w:ascii="Segoe UI" w:hAnsi="Segoe UI"/>
          <w:sz w:val="22"/>
        </w:rPr>
        <w:t xml:space="preserve">UMS’s workspace role and access design is tailored to its organizational structure, ensuring that each role is mapped to the appropriate personnel and responsibilities. The following table provides a comprehensive mapping of workspace roles to UMS personnel, supporting operational clarity and compliance.</w:t>
      </w:r>
    </w:p>
    <w:tbl>
      <w:tblPr>
        <w:tblStyle w:val="GridTable4-Accent11"/>
        <w:tblW w:type="pct" w:w="5000"/>
        <w:tblLayout w:type="autofit"/>
        <w:tblLook w:firstRow="1" w:lastRow="0" w:firstColumn="1" w:lastColumn="0" w:noHBand="0" w:noVBand="1" w:val="04A0"/>
      </w:tblPr>
      <w:tblGrid>
        <w:gridCol w:w="1005"/>
        <w:gridCol w:w="5531"/>
        <w:gridCol w:w="1382"/>
      </w:tblGrid>
      <w:tr>
        <w:trPr>
          <w:tblHeader w:val="on"/>
        </w:trPr>
        <w:tc>
          <w:tcPr/>
          <w:p>
            <w:pPr>
              <w:pStyle w:val="Compact"/>
            </w:pPr>
            <w:r>
              <w:rPr>
                <w:rFonts w:ascii="Segoe UI" w:hAnsi="Segoe UI"/>
                <w:sz w:val="22"/>
              </w:rPr>
              <w:t xml:space="preserve">Workspace Role</w:t>
            </w:r>
          </w:p>
        </w:tc>
        <w:tc>
          <w:tcPr/>
          <w:p>
            <w:pPr>
              <w:pStyle w:val="Compact"/>
            </w:pPr>
            <w:r>
              <w:rPr>
                <w:rFonts w:ascii="Segoe UI" w:hAnsi="Segoe UI"/>
                <w:sz w:val="22"/>
              </w:rPr>
              <w:t xml:space="preserve">UMS PIC</w:t>
            </w:r>
          </w:p>
        </w:tc>
        <w:tc>
          <w:tcPr/>
          <w:p>
            <w:pPr>
              <w:pStyle w:val="Compact"/>
            </w:pPr>
            <w:r>
              <w:rPr>
                <w:rFonts w:ascii="Segoe UI" w:hAnsi="Segoe UI"/>
                <w:sz w:val="22"/>
              </w:rPr>
              <w:t xml:space="preserve">Suggested Role</w:t>
            </w:r>
          </w:p>
        </w:tc>
      </w:tr>
      <w:tr>
        <w:tc>
          <w:tcPr/>
          <w:p>
            <w:pPr>
              <w:pStyle w:val="Compact"/>
            </w:pPr>
            <w:r>
              <w:rPr>
                <w:rFonts w:ascii="Segoe UI" w:hAnsi="Segoe UI"/>
                <w:sz w:val="22"/>
              </w:rPr>
              <w:t xml:space="preserve">Workspace Admin</w:t>
            </w:r>
          </w:p>
        </w:tc>
        <w:tc>
          <w:tcPr/>
          <w:p>
            <w:pPr>
              <w:pStyle w:val="Compact"/>
            </w:pPr>
            <w:r>
              <w:rPr>
                <w:rFonts w:ascii="Segoe UI" w:hAnsi="Segoe UI"/>
                <w:sz w:val="22"/>
              </w:rPr>
              <w:t xml:space="preserve">Dr Suraya Binti Alias</w:t>
            </w:r>
            <w:r>
              <w:rPr>
                <w:rFonts w:ascii="Segoe UI" w:hAnsi="Segoe UI"/>
                <w:sz w:val="22"/>
              </w:rPr>
              <w:t xml:space="preserve">Sektor Analitik Data DARTIC</w:t>
            </w:r>
            <w:r>
              <w:rPr>
                <w:rFonts w:ascii="Segoe UI" w:hAnsi="Segoe UI"/>
                <w:sz w:val="22"/>
              </w:rPr>
              <w:t xml:space="preserve">PPDM Official</w:t>
            </w:r>
            <w:r>
              <w:rPr>
                <w:rFonts w:ascii="Segoe UI" w:hAnsi="Segoe UI"/>
                <w:sz w:val="22"/>
              </w:rPr>
              <w:t xml:space="preserve">Mohd. Zamrie Bin Musa</w:t>
            </w:r>
            <w:r>
              <w:rPr>
                <w:rFonts w:ascii="Segoe UI" w:hAnsi="Segoe UI"/>
                <w:sz w:val="22"/>
              </w:rPr>
              <w:t xml:space="preserve">Noor Afiza Binti Momen</w:t>
            </w:r>
            <w:r>
              <w:rPr>
                <w:rFonts w:ascii="Segoe UI" w:hAnsi="Segoe UI"/>
                <w:sz w:val="22"/>
              </w:rPr>
              <w:t xml:space="preserve">Ts AG Azihar @ AG KU Azihar Bin AG Tangah</w:t>
            </w:r>
          </w:p>
        </w:tc>
        <w:tc>
          <w:tcPr/>
          <w:p>
            <w:pPr>
              <w:pStyle w:val="Compact"/>
            </w:pPr>
            <w:r>
              <w:rPr>
                <w:rFonts w:ascii="Segoe UI" w:hAnsi="Segoe UI"/>
                <w:sz w:val="22"/>
              </w:rPr>
              <w:t xml:space="preserve">Fabric Admin / Data Engineer</w:t>
            </w:r>
          </w:p>
        </w:tc>
      </w:tr>
      <w:tr>
        <w:tc>
          <w:tcPr/>
          <w:p>
            <w:pPr>
              <w:pStyle w:val="Compact"/>
            </w:pPr>
            <w:r>
              <w:rPr>
                <w:rFonts w:ascii="Segoe UI" w:hAnsi="Segoe UI"/>
                <w:sz w:val="22"/>
              </w:rPr>
              <w:t xml:space="preserve">Workspace Contributor</w:t>
            </w:r>
          </w:p>
        </w:tc>
        <w:tc>
          <w:tcPr/>
          <w:p>
            <w:pPr>
              <w:pStyle w:val="Compact"/>
            </w:pPr>
            <w:r>
              <w:rPr>
                <w:rFonts w:ascii="Segoe UI" w:hAnsi="Segoe UI"/>
                <w:sz w:val="22"/>
              </w:rPr>
              <w:t xml:space="preserve">Mohd Khairul Nizam Bin Senu (DB)</w:t>
            </w:r>
            <w:r>
              <w:rPr>
                <w:rFonts w:ascii="Segoe UI" w:hAnsi="Segoe UI"/>
                <w:sz w:val="22"/>
              </w:rPr>
              <w:t xml:space="preserve">Assie Zaee Petrus (DB)</w:t>
            </w:r>
            <w:r>
              <w:rPr>
                <w:rFonts w:ascii="Segoe UI" w:hAnsi="Segoe UI"/>
                <w:sz w:val="22"/>
              </w:rPr>
              <w:t xml:space="preserve">Muhaimin Bin Mad Noor (Infra)</w:t>
            </w:r>
            <w:r>
              <w:rPr>
                <w:rFonts w:ascii="Segoe UI" w:hAnsi="Segoe UI"/>
                <w:sz w:val="22"/>
              </w:rPr>
              <w:t xml:space="preserve">Nuraliah Binti Alias (Infra)</w:t>
            </w:r>
            <w:r>
              <w:rPr>
                <w:rFonts w:ascii="Segoe UI" w:hAnsi="Segoe UI"/>
                <w:sz w:val="22"/>
              </w:rPr>
              <w:t xml:space="preserve">Chong Tze Chien (Server Security)</w:t>
            </w:r>
            <w:r>
              <w:rPr>
                <w:rFonts w:ascii="Segoe UI" w:hAnsi="Segoe UI"/>
                <w:sz w:val="22"/>
              </w:rPr>
              <w:t xml:space="preserve">Abdul Latif Matali (Server Security)</w:t>
            </w:r>
          </w:p>
        </w:tc>
        <w:tc>
          <w:tcPr/>
          <w:p>
            <w:pPr>
              <w:pStyle w:val="Compact"/>
            </w:pPr>
            <w:r>
              <w:rPr>
                <w:rFonts w:ascii="Segoe UI" w:hAnsi="Segoe UI"/>
                <w:sz w:val="22"/>
              </w:rPr>
              <w:t xml:space="preserve">Data Engineer / Business User Admin</w:t>
            </w:r>
          </w:p>
        </w:tc>
      </w:tr>
      <w:tr>
        <w:tc>
          <w:tcPr/>
          <w:p>
            <w:pPr>
              <w:pStyle w:val="Compact"/>
            </w:pPr>
            <w:r>
              <w:rPr>
                <w:rFonts w:ascii="Segoe UI" w:hAnsi="Segoe UI"/>
                <w:sz w:val="22"/>
              </w:rPr>
              <w:t xml:space="preserve">Workspace Viewer</w:t>
            </w:r>
          </w:p>
        </w:tc>
        <w:tc>
          <w:tcPr/>
          <w:p>
            <w:pPr>
              <w:pStyle w:val="Compact"/>
            </w:pPr>
            <w:r>
              <w:rPr>
                <w:rFonts w:ascii="Segoe UI" w:hAnsi="Segoe UI"/>
                <w:sz w:val="22"/>
              </w:rPr>
              <w:t xml:space="preserve">Director</w:t>
            </w:r>
            <w:r>
              <w:rPr>
                <w:rFonts w:ascii="Segoe UI" w:hAnsi="Segoe UI"/>
                <w:sz w:val="22"/>
              </w:rPr>
              <w:t xml:space="preserve">Dr Farashazillah Binti Yahya</w:t>
            </w:r>
            <w:r>
              <w:rPr>
                <w:rFonts w:ascii="Segoe UI" w:hAnsi="Segoe UI"/>
                <w:sz w:val="22"/>
              </w:rPr>
              <w:t xml:space="preserve">Stakeholders</w:t>
            </w:r>
            <w:r>
              <w:rPr>
                <w:rFonts w:ascii="Segoe UI" w:hAnsi="Segoe UI"/>
                <w:sz w:val="22"/>
              </w:rPr>
              <w:t xml:space="preserve">Roslee Bin Talip</w:t>
            </w:r>
            <w:r>
              <w:rPr>
                <w:rFonts w:ascii="Segoe UI" w:hAnsi="Segoe UI"/>
                <w:sz w:val="22"/>
              </w:rPr>
              <w:t xml:space="preserve">Dayangku Rozlina BTE PG. Aliuddin</w:t>
            </w:r>
            <w:r>
              <w:rPr>
                <w:rFonts w:ascii="Segoe UI" w:hAnsi="Segoe UI"/>
                <w:sz w:val="22"/>
              </w:rPr>
              <w:t xml:space="preserve">Norhanieyati Binti Norhaizat</w:t>
            </w:r>
            <w:r>
              <w:rPr>
                <w:rFonts w:ascii="Segoe UI" w:hAnsi="Segoe UI"/>
                <w:sz w:val="22"/>
              </w:rPr>
              <w:t xml:space="preserve">Zaidie @ Mohd Zaidie Bin Adilai</w:t>
            </w:r>
            <w:r>
              <w:rPr>
                <w:rFonts w:ascii="Segoe UI" w:hAnsi="Segoe UI"/>
                <w:sz w:val="22"/>
              </w:rPr>
              <w:t xml:space="preserve">Professor Madya TS Dr Mohd Hanafi Bin Ahmad Hijazi</w:t>
            </w:r>
          </w:p>
        </w:tc>
        <w:tc>
          <w:tcPr/>
          <w:p>
            <w:pPr>
              <w:pStyle w:val="Compact"/>
            </w:pPr>
            <w:r>
              <w:rPr>
                <w:rFonts w:ascii="Segoe UI" w:hAnsi="Segoe UI"/>
                <w:sz w:val="22"/>
              </w:rPr>
              <w:t xml:space="preserve">Data Analyst / Stakeholder / Project Director</w:t>
            </w:r>
          </w:p>
        </w:tc>
      </w:tr>
    </w:tbl>
    <w:p>
      <w:pPr>
        <w:pStyle w:val="BodyText"/>
        <w:jc w:val="both"/>
      </w:pPr>
      <w:r>
        <w:rPr>
          <w:rFonts w:ascii="Segoe UI" w:hAnsi="Segoe UI"/>
          <w:sz w:val="22"/>
        </w:rPr>
        <w:t xml:space="preserve">This mapping supports clear delineation of responsibilities, facilitating secure access and efficient management of Fabric workspaces. Universiti Malaysia Sabah shall periodically review and update role assignments to ensure alignment with organizational changes and evolving data governance requirements.</w:t>
      </w:r>
    </w:p>
    <w:bookmarkEnd w:id="39"/>
    <w:bookmarkEnd w:id="40"/>
    <w:bookmarkStart w:id="70" w:name="microsoft-fabric-design-and-decision"/>
    <w:p>
      <w:pPr>
        <w:pStyle w:val="Heading1"/>
        <w:pageBreakBefore/>
      </w:pPr>
      <w:r>
        <w:rPr>
          <w:rFonts w:ascii="Segoe UI" w:hAnsi="Segoe UI"/>
          <w:b w:val="0"/>
          <w:sz w:val="30"/>
        </w:rPr>
        <w:t xml:space="preserve">5.0 Microsoft Fabric Design and Decision</w:t>
      </w:r>
    </w:p>
    <w:p>
      <w:pPr>
        <w:pStyle w:val="FirstParagraph"/>
        <w:jc w:val="both"/>
      </w:pPr>
      <w:r>
        <w:rPr>
          <w:rFonts w:ascii="Segoe UI" w:hAnsi="Segoe UI"/>
          <w:sz w:val="22"/>
        </w:rPr>
        <w:t xml:space="preserve">This section details the architectural design and decisions for Universiti Malaysia Sabah’s (UMS) Microsoft Fabric implementation, covering workflow, access, identity, platform sizing, resource organization, governance, and security.</w:t>
      </w:r>
    </w:p>
    <w:bookmarkStart w:id="50" w:name="workflow-design-considerations"/>
    <w:p>
      <w:pPr>
        <w:pStyle w:val="Heading2"/>
      </w:pPr>
      <w:r>
        <w:rPr>
          <w:rFonts w:ascii="Segoe UI" w:hAnsi="Segoe UI"/>
          <w:b w:val="0"/>
          <w:sz w:val="28"/>
        </w:rPr>
        <w:t xml:space="preserve">5.1 Workflow Design Considerations</w:t>
      </w:r>
    </w:p>
    <w:p>
      <w:pPr>
        <w:pStyle w:val="FirstParagraph"/>
        <w:jc w:val="both"/>
      </w:pPr>
      <w:r>
        <w:rPr>
          <w:rFonts w:ascii="Segoe UI" w:hAnsi="Segoe UI"/>
          <w:sz w:val="22"/>
        </w:rPr>
        <w:t xml:space="preserve">UMS shall implement a multi-layered data workflow leveraging Microsoft Fabric components to ensure robust data ingestion, transformation, and visualization. The following table summarizes key workflow considerations, mapped to workload types:</w:t>
      </w:r>
    </w:p>
    <w:tbl>
      <w:tblPr>
        <w:tblStyle w:val="GridTable4-Accent11"/>
        <w:tblW w:type="pct" w:w="5000"/>
        <w:tblLayout w:type="autofit"/>
        <w:tblLook w:firstRow="1" w:lastRow="0" w:firstColumn="1" w:lastColumn="0" w:noHBand="0" w:noVBand="1" w:val="04A0"/>
      </w:tblPr>
      <w:tblGrid>
        <w:gridCol w:w="349"/>
        <w:gridCol w:w="6464"/>
        <w:gridCol w:w="1106"/>
      </w:tblGrid>
      <w:tr>
        <w:trPr>
          <w:tblHeader w:val="on"/>
        </w:trPr>
        <w:tc>
          <w:tcPr/>
          <w:p>
            <w:pPr>
              <w:pStyle w:val="Compact"/>
            </w:pPr>
            <w:r>
              <w:rPr>
                <w:rFonts w:ascii="Segoe UI" w:hAnsi="Segoe UI"/>
                <w:sz w:val="22"/>
              </w:rPr>
              <w:t xml:space="preserve">ID</w:t>
            </w:r>
          </w:p>
        </w:tc>
        <w:tc>
          <w:tcPr/>
          <w:p>
            <w:pPr>
              <w:pStyle w:val="Compact"/>
            </w:pPr>
            <w:r>
              <w:rPr>
                <w:rFonts w:ascii="Segoe UI" w:hAnsi="Segoe UI"/>
                <w:sz w:val="22"/>
              </w:rPr>
              <w:t xml:space="preserve">Description</w:t>
            </w:r>
          </w:p>
        </w:tc>
        <w:tc>
          <w:tcPr/>
          <w:p>
            <w:pPr>
              <w:pStyle w:val="Compact"/>
            </w:pPr>
            <w:r>
              <w:rPr>
                <w:rFonts w:ascii="Segoe UI" w:hAnsi="Segoe UI"/>
                <w:sz w:val="22"/>
              </w:rPr>
              <w:t xml:space="preserve">Workload Type</w:t>
            </w:r>
          </w:p>
        </w:tc>
      </w:tr>
      <w:tr>
        <w:tc>
          <w:tcPr/>
          <w:p>
            <w:pPr>
              <w:pStyle w:val="Compact"/>
            </w:pPr>
            <w:r>
              <w:rPr>
                <w:rFonts w:ascii="Segoe UI" w:hAnsi="Segoe UI"/>
                <w:sz w:val="22"/>
              </w:rPr>
              <w:t xml:space="preserve">DC01</w:t>
            </w:r>
          </w:p>
        </w:tc>
        <w:tc>
          <w:tcPr/>
          <w:p>
            <w:pPr>
              <w:pStyle w:val="Compact"/>
            </w:pPr>
            <w:r>
              <w:rPr>
                <w:rFonts w:ascii="Segoe UI" w:hAnsi="Segoe UI"/>
                <w:sz w:val="22"/>
              </w:rPr>
              <w:t xml:space="preserve">Data Pipeline will be used to ingest data from Microsoft SQL Server.</w:t>
            </w:r>
          </w:p>
        </w:tc>
        <w:tc>
          <w:tcPr/>
          <w:p>
            <w:pPr>
              <w:pStyle w:val="Compact"/>
            </w:pPr>
            <w:r>
              <w:rPr>
                <w:rFonts w:ascii="Segoe UI" w:hAnsi="Segoe UI"/>
                <w:sz w:val="22"/>
              </w:rPr>
              <w:t xml:space="preserve">Data Factory</w:t>
            </w:r>
          </w:p>
        </w:tc>
      </w:tr>
      <w:tr>
        <w:tc>
          <w:tcPr/>
          <w:p>
            <w:pPr>
              <w:pStyle w:val="Compact"/>
            </w:pPr>
            <w:r>
              <w:rPr>
                <w:rFonts w:ascii="Segoe UI" w:hAnsi="Segoe UI"/>
                <w:sz w:val="22"/>
              </w:rPr>
              <w:t xml:space="preserve">DC02</w:t>
            </w:r>
          </w:p>
        </w:tc>
        <w:tc>
          <w:tcPr/>
          <w:p>
            <w:pPr>
              <w:pStyle w:val="Compact"/>
            </w:pPr>
            <w:r>
              <w:rPr>
                <w:rFonts w:ascii="Segoe UI" w:hAnsi="Segoe UI"/>
                <w:sz w:val="22"/>
              </w:rPr>
              <w:t xml:space="preserve">The Bronze Lakehouse will store raw/original data ingested from Microsoft SQL Server.</w:t>
            </w:r>
          </w:p>
        </w:tc>
        <w:tc>
          <w:tcPr/>
          <w:p>
            <w:pPr>
              <w:pStyle w:val="Compact"/>
            </w:pPr>
            <w:r>
              <w:rPr>
                <w:rFonts w:ascii="Segoe UI" w:hAnsi="Segoe UI"/>
                <w:sz w:val="22"/>
              </w:rPr>
              <w:t xml:space="preserve">Data Engineering</w:t>
            </w:r>
          </w:p>
        </w:tc>
      </w:tr>
      <w:tr>
        <w:tc>
          <w:tcPr/>
          <w:p>
            <w:pPr>
              <w:pStyle w:val="Compact"/>
            </w:pPr>
            <w:r>
              <w:rPr>
                <w:rFonts w:ascii="Segoe UI" w:hAnsi="Segoe UI"/>
                <w:sz w:val="22"/>
              </w:rPr>
              <w:t xml:space="preserve">DC03</w:t>
            </w:r>
          </w:p>
        </w:tc>
        <w:tc>
          <w:tcPr/>
          <w:p>
            <w:pPr>
              <w:pStyle w:val="Compact"/>
            </w:pPr>
            <w:r>
              <w:rPr>
                <w:rFonts w:ascii="Segoe UI" w:hAnsi="Segoe UI"/>
                <w:sz w:val="22"/>
              </w:rPr>
              <w:t xml:space="preserve">The Silver Lakehouse will store cleansed data sourced from the bronze Lakehouse.</w:t>
            </w:r>
          </w:p>
        </w:tc>
        <w:tc>
          <w:tcPr/>
          <w:p>
            <w:pPr>
              <w:pStyle w:val="Compact"/>
            </w:pPr>
            <w:r>
              <w:rPr>
                <w:rFonts w:ascii="Segoe UI" w:hAnsi="Segoe UI"/>
                <w:sz w:val="22"/>
              </w:rPr>
              <w:t xml:space="preserve">Data Engineering</w:t>
            </w:r>
          </w:p>
        </w:tc>
      </w:tr>
      <w:tr>
        <w:tc>
          <w:tcPr/>
          <w:p>
            <w:pPr>
              <w:pStyle w:val="Compact"/>
            </w:pPr>
            <w:r>
              <w:rPr>
                <w:rFonts w:ascii="Segoe UI" w:hAnsi="Segoe UI"/>
                <w:sz w:val="22"/>
              </w:rPr>
              <w:t xml:space="preserve">DC04</w:t>
            </w:r>
          </w:p>
        </w:tc>
        <w:tc>
          <w:tcPr/>
          <w:p>
            <w:pPr>
              <w:pStyle w:val="Compact"/>
            </w:pPr>
            <w:r>
              <w:rPr>
                <w:rFonts w:ascii="Segoe UI" w:hAnsi="Segoe UI"/>
                <w:sz w:val="22"/>
              </w:rPr>
              <w:t xml:space="preserve">The Gold Lakehouse will store transformed data sourced from the silver Lakehouse.</w:t>
            </w:r>
          </w:p>
        </w:tc>
        <w:tc>
          <w:tcPr/>
          <w:p>
            <w:pPr>
              <w:pStyle w:val="Compact"/>
            </w:pPr>
            <w:r>
              <w:rPr>
                <w:rFonts w:ascii="Segoe UI" w:hAnsi="Segoe UI"/>
                <w:sz w:val="22"/>
              </w:rPr>
              <w:t xml:space="preserve">Data Engineering</w:t>
            </w:r>
          </w:p>
        </w:tc>
      </w:tr>
      <w:tr>
        <w:tc>
          <w:tcPr/>
          <w:p>
            <w:pPr>
              <w:pStyle w:val="Compact"/>
            </w:pPr>
            <w:r>
              <w:rPr>
                <w:rFonts w:ascii="Segoe UI" w:hAnsi="Segoe UI"/>
                <w:sz w:val="22"/>
              </w:rPr>
              <w:t xml:space="preserve">DC05</w:t>
            </w:r>
          </w:p>
        </w:tc>
        <w:tc>
          <w:tcPr/>
          <w:p>
            <w:pPr>
              <w:pStyle w:val="Compact"/>
            </w:pPr>
            <w:r>
              <w:rPr>
                <w:rFonts w:ascii="Segoe UI" w:hAnsi="Segoe UI"/>
                <w:sz w:val="22"/>
              </w:rPr>
              <w:t xml:space="preserve">Data cleansing and transformation for the Silver Lakehouse will be performed using Dataflow Gen2, Notebook and Visual Query in the SQL Analytics Endpoint.</w:t>
            </w:r>
          </w:p>
        </w:tc>
        <w:tc>
          <w:tcPr/>
          <w:p>
            <w:pPr>
              <w:pStyle w:val="Compact"/>
            </w:pPr>
            <w:r>
              <w:rPr>
                <w:rFonts w:ascii="Segoe UI" w:hAnsi="Segoe UI"/>
                <w:sz w:val="22"/>
              </w:rPr>
              <w:t xml:space="preserve">Data Engineering</w:t>
            </w:r>
          </w:p>
        </w:tc>
      </w:tr>
      <w:tr>
        <w:tc>
          <w:tcPr/>
          <w:p>
            <w:pPr>
              <w:pStyle w:val="Compact"/>
            </w:pPr>
            <w:r>
              <w:rPr>
                <w:rFonts w:ascii="Segoe UI" w:hAnsi="Segoe UI"/>
                <w:sz w:val="22"/>
              </w:rPr>
              <w:t xml:space="preserve">DC06</w:t>
            </w:r>
          </w:p>
        </w:tc>
        <w:tc>
          <w:tcPr/>
          <w:p>
            <w:pPr>
              <w:pStyle w:val="Compact"/>
            </w:pPr>
            <w:r>
              <w:rPr>
                <w:rFonts w:ascii="Segoe UI" w:hAnsi="Segoe UI"/>
                <w:sz w:val="22"/>
              </w:rPr>
              <w:t xml:space="preserve">Dataflow Gen2 will be used to move data between Lakehouses (e.g., from bronze to silver or silver to gold).</w:t>
            </w:r>
          </w:p>
        </w:tc>
        <w:tc>
          <w:tcPr/>
          <w:p>
            <w:pPr>
              <w:pStyle w:val="Compact"/>
            </w:pPr>
            <w:r>
              <w:rPr>
                <w:rFonts w:ascii="Segoe UI" w:hAnsi="Segoe UI"/>
                <w:sz w:val="22"/>
              </w:rPr>
              <w:t xml:space="preserve">Data Factory</w:t>
            </w:r>
          </w:p>
        </w:tc>
      </w:tr>
      <w:tr>
        <w:tc>
          <w:tcPr/>
          <w:p>
            <w:pPr>
              <w:pStyle w:val="Compact"/>
            </w:pPr>
            <w:r>
              <w:rPr>
                <w:rFonts w:ascii="Segoe UI" w:hAnsi="Segoe UI"/>
                <w:sz w:val="22"/>
              </w:rPr>
              <w:t xml:space="preserve">DC07</w:t>
            </w:r>
          </w:p>
        </w:tc>
        <w:tc>
          <w:tcPr/>
          <w:p>
            <w:pPr>
              <w:pStyle w:val="Compact"/>
            </w:pPr>
            <w:r>
              <w:rPr>
                <w:rFonts w:ascii="Segoe UI" w:hAnsi="Segoe UI"/>
                <w:sz w:val="22"/>
              </w:rPr>
              <w:t xml:space="preserve">AutoML from Data Science will be used to demonstrate the Machine Learning Process, and the results will be stored in Gold Lakehouse</w:t>
            </w:r>
          </w:p>
        </w:tc>
        <w:tc>
          <w:tcPr/>
          <w:p>
            <w:pPr>
              <w:pStyle w:val="Compact"/>
            </w:pPr>
            <w:r>
              <w:rPr>
                <w:rFonts w:ascii="Segoe UI" w:hAnsi="Segoe UI"/>
                <w:sz w:val="22"/>
              </w:rPr>
              <w:t xml:space="preserve">Data Science</w:t>
            </w:r>
          </w:p>
        </w:tc>
      </w:tr>
      <w:tr>
        <w:tc>
          <w:tcPr/>
          <w:p>
            <w:pPr>
              <w:pStyle w:val="Compact"/>
            </w:pPr>
            <w:r>
              <w:rPr>
                <w:rFonts w:ascii="Segoe UI" w:hAnsi="Segoe UI"/>
                <w:sz w:val="22"/>
              </w:rPr>
              <w:t xml:space="preserve">DC08</w:t>
            </w:r>
          </w:p>
        </w:tc>
        <w:tc>
          <w:tcPr/>
          <w:p>
            <w:pPr>
              <w:pStyle w:val="Compact"/>
            </w:pPr>
            <w:r>
              <w:rPr>
                <w:rFonts w:ascii="Segoe UI" w:hAnsi="Segoe UI"/>
                <w:sz w:val="22"/>
              </w:rPr>
              <w:t xml:space="preserve">Data modeling will be implemented in the Semantic Model, using data from the Gold Lakehouse.</w:t>
            </w:r>
          </w:p>
        </w:tc>
        <w:tc>
          <w:tcPr/>
          <w:p>
            <w:pPr>
              <w:pStyle w:val="Compact"/>
            </w:pPr>
            <w:r>
              <w:rPr>
                <w:rFonts w:ascii="Segoe UI" w:hAnsi="Segoe UI"/>
                <w:sz w:val="22"/>
              </w:rPr>
              <w:t xml:space="preserve">Power BI</w:t>
            </w:r>
          </w:p>
        </w:tc>
      </w:tr>
      <w:tr>
        <w:tc>
          <w:tcPr/>
          <w:p>
            <w:pPr>
              <w:pStyle w:val="Compact"/>
            </w:pPr>
            <w:r>
              <w:rPr>
                <w:rFonts w:ascii="Segoe UI" w:hAnsi="Segoe UI"/>
                <w:sz w:val="22"/>
              </w:rPr>
              <w:t xml:space="preserve">DC09</w:t>
            </w:r>
          </w:p>
        </w:tc>
        <w:tc>
          <w:tcPr/>
          <w:p>
            <w:pPr>
              <w:pStyle w:val="Compact"/>
            </w:pPr>
            <w:r>
              <w:rPr>
                <w:rFonts w:ascii="Segoe UI" w:hAnsi="Segoe UI"/>
                <w:sz w:val="22"/>
              </w:rPr>
              <w:t xml:space="preserve">Power BI Desktop will connect to the Semantic Model via OneLake for data visualization.</w:t>
            </w:r>
          </w:p>
        </w:tc>
        <w:tc>
          <w:tcPr/>
          <w:p>
            <w:pPr>
              <w:pStyle w:val="Compact"/>
            </w:pPr>
            <w:r>
              <w:rPr>
                <w:rFonts w:ascii="Segoe UI" w:hAnsi="Segoe UI"/>
                <w:sz w:val="22"/>
              </w:rPr>
              <w:t xml:space="preserve">Power BI</w:t>
            </w:r>
          </w:p>
        </w:tc>
      </w:tr>
    </w:tbl>
    <w:p>
      <w:pPr>
        <w:pStyle w:val="BodyText"/>
        <w:jc w:val="both"/>
      </w:pPr>
      <w:r>
        <w:rPr>
          <w:rFonts w:ascii="Segoe UI" w:hAnsi="Segoe UI"/>
          <w:sz w:val="22"/>
        </w:rPr>
        <w:t xml:space="preserve">These considerations ensure UMS’s data pipeline is optimized for scalability, maintainability, and analytics readiness.</w:t>
      </w:r>
    </w:p>
    <w:p>
      <w:pPr>
        <w:pStyle w:val="BodyText"/>
      </w:pPr>
      <w:r>
        <w:rPr>
          <w:rFonts w:ascii="Segoe UI" w:hAnsi="Segoe UI"/>
          <w:sz w:val="22"/>
        </w:rPr>
        <w:drawing>
          <wp:inline>
            <wp:extent cx="5727700" cy="2639722"/>
            <wp:effectExtent b="0" l="0" r="0" t="0"/>
            <wp:docPr descr="" title="" id="42" name="Picture"/>
            <a:graphic>
              <a:graphicData uri="http://schemas.openxmlformats.org/drawingml/2006/picture">
                <pic:pic>
                  <pic:nvPicPr>
                    <pic:cNvPr descr="C:\Users\MuhammadIdzhansKhair\OneDrive%20-%20ENFRASYS\Documents\project-internal\design-document-converter\extraction-output\images\slide_006_img_001.png" id="43" name="Picture"/>
                    <pic:cNvPicPr>
                      <a:picLocks noChangeArrowheads="1" noChangeAspect="1"/>
                    </pic:cNvPicPr>
                  </pic:nvPicPr>
                  <pic:blipFill>
                    <a:blip r:embed="rId41"/>
                    <a:stretch>
                      <a:fillRect/>
                    </a:stretch>
                  </pic:blipFill>
                  <pic:spPr bwMode="auto">
                    <a:xfrm>
                      <a:off x="0" y="0"/>
                      <a:ext cx="5727700" cy="2639722"/>
                    </a:xfrm>
                    <a:prstGeom prst="rect">
                      <a:avLst/>
                    </a:prstGeom>
                    <a:noFill/>
                    <a:ln w="9525">
                      <a:noFill/>
                      <a:headEnd/>
                      <a:tailEnd/>
                    </a:ln>
                  </pic:spPr>
                </pic:pic>
              </a:graphicData>
            </a:graphic>
          </wp:inline>
        </w:drawing>
      </w:r>
      <w:r>
        <w:rPr>
          <w:rFonts w:ascii="Segoe UI" w:hAnsi="Segoe UI"/>
          <w:sz w:val="22"/>
        </w:rPr>
        <w:t xml:space="preserve"> </w:t>
      </w:r>
      <w:r>
        <w:rPr>
          <w:rFonts w:ascii="Segoe UI" w:hAnsi="Segoe UI"/>
          <w:sz w:val="22"/>
        </w:rPr>
        <w:drawing>
          <wp:inline>
            <wp:extent cx="4437246" cy="6285296"/>
            <wp:effectExtent b="0" l="0" r="0" t="0"/>
            <wp:docPr descr="" title="" id="45" name="Picture"/>
            <a:graphic>
              <a:graphicData uri="http://schemas.openxmlformats.org/drawingml/2006/picture">
                <pic:pic>
                  <pic:nvPicPr>
                    <pic:cNvPr descr="C:\Users\MuhammadIdzhansKhair\OneDrive%20-%20ENFRASYS\Documents\project-internal\design-document-converter\extraction-output\images\slide_006_img_002.png" id="46" name="Picture"/>
                    <pic:cNvPicPr>
                      <a:picLocks noChangeArrowheads="1" noChangeAspect="1"/>
                    </pic:cNvPicPr>
                  </pic:nvPicPr>
                  <pic:blipFill>
                    <a:blip r:embed="rId44"/>
                    <a:stretch>
                      <a:fillRect/>
                    </a:stretch>
                  </pic:blipFill>
                  <pic:spPr bwMode="auto">
                    <a:xfrm>
                      <a:off x="0" y="0"/>
                      <a:ext cx="4437246" cy="6285296"/>
                    </a:xfrm>
                    <a:prstGeom prst="rect">
                      <a:avLst/>
                    </a:prstGeom>
                    <a:noFill/>
                    <a:ln w="9525">
                      <a:noFill/>
                      <a:headEnd/>
                      <a:tailEnd/>
                    </a:ln>
                  </pic:spPr>
                </pic:pic>
              </a:graphicData>
            </a:graphic>
          </wp:inline>
        </w:drawing>
      </w:r>
      <w:r>
        <w:rPr>
          <w:rFonts w:ascii="Segoe UI" w:hAnsi="Segoe UI"/>
          <w:sz w:val="22"/>
        </w:rPr>
        <w:t xml:space="preserve"> </w:t>
      </w:r>
      <w:r>
        <w:rPr>
          <w:rFonts w:ascii="Segoe UI" w:hAnsi="Segoe UI"/>
          <w:sz w:val="22"/>
        </w:rPr>
        <w:drawing>
          <wp:inline>
            <wp:extent cx="5727700" cy="2646553"/>
            <wp:effectExtent b="0" l="0" r="0" t="0"/>
            <wp:docPr descr="" title="" id="48" name="Picture"/>
            <a:graphic>
              <a:graphicData uri="http://schemas.openxmlformats.org/drawingml/2006/picture">
                <pic:pic>
                  <pic:nvPicPr>
                    <pic:cNvPr descr="C:\Users\MuhammadIdzhansKhair\OneDrive%20-%20ENFRASYS\Documents\project-internal\design-document-converter\extraction-output\images\slide_009_img_003.png" id="49" name="Picture"/>
                    <pic:cNvPicPr>
                      <a:picLocks noChangeArrowheads="1" noChangeAspect="1"/>
                    </pic:cNvPicPr>
                  </pic:nvPicPr>
                  <pic:blipFill>
                    <a:blip r:embed="rId47"/>
                    <a:stretch>
                      <a:fillRect/>
                    </a:stretch>
                  </pic:blipFill>
                  <pic:spPr bwMode="auto">
                    <a:xfrm>
                      <a:off x="0" y="0"/>
                      <a:ext cx="5727700" cy="2646553"/>
                    </a:xfrm>
                    <a:prstGeom prst="rect">
                      <a:avLst/>
                    </a:prstGeom>
                    <a:noFill/>
                    <a:ln w="9525">
                      <a:noFill/>
                      <a:headEnd/>
                      <a:tailEnd/>
                    </a:ln>
                  </pic:spPr>
                </pic:pic>
              </a:graphicData>
            </a:graphic>
          </wp:inline>
        </w:drawing>
      </w:r>
    </w:p>
    <w:bookmarkEnd w:id="50"/>
    <w:bookmarkStart w:id="51" w:name="workflow-design-decisions"/>
    <w:p>
      <w:pPr>
        <w:pStyle w:val="Heading2"/>
      </w:pPr>
      <w:r>
        <w:rPr>
          <w:rFonts w:ascii="Segoe UI" w:hAnsi="Segoe UI"/>
          <w:b w:val="0"/>
          <w:sz w:val="28"/>
        </w:rPr>
        <w:t xml:space="preserve">5.2 Workflow Design Decisions</w:t>
      </w:r>
    </w:p>
    <w:p>
      <w:pPr>
        <w:pStyle w:val="FirstParagraph"/>
        <w:jc w:val="both"/>
      </w:pPr>
      <w:r>
        <w:rPr>
          <w:rFonts w:ascii="Segoe UI" w:hAnsi="Segoe UI"/>
          <w:sz w:val="22"/>
        </w:rPr>
        <w:t xml:space="preserve">UMS has made several key design decisions to optimize workflow efficiency, security, and user experience. The following table outlines these decisions:</w:t>
      </w:r>
    </w:p>
    <w:tbl>
      <w:tblPr>
        <w:tblStyle w:val="GridTable4-Accent11"/>
        <w:tblW w:type="pct" w:w="5000"/>
        <w:tblLayout w:type="autofit"/>
        <w:tblLook w:firstRow="1" w:lastRow="0" w:firstColumn="1" w:lastColumn="0" w:noHBand="0" w:noVBand="1" w:val="04A0"/>
      </w:tblPr>
      <w:tblGrid>
        <w:gridCol w:w="865"/>
        <w:gridCol w:w="7054"/>
      </w:tblGrid>
      <w:tr>
        <w:trPr>
          <w:tblHeader w:val="on"/>
        </w:trPr>
        <w:tc>
          <w:tcPr/>
          <w:p>
            <w:pPr>
              <w:pStyle w:val="Compact"/>
            </w:pPr>
            <w:r>
              <w:rPr>
                <w:rFonts w:ascii="Segoe UI" w:hAnsi="Segoe UI"/>
                <w:sz w:val="22"/>
              </w:rPr>
              <w:t xml:space="preserve">Decision ID</w:t>
            </w:r>
          </w:p>
        </w:tc>
        <w:tc>
          <w:tcPr/>
          <w:p>
            <w:pPr>
              <w:pStyle w:val="Compact"/>
            </w:pPr>
            <w:r>
              <w:rPr>
                <w:rFonts w:ascii="Segoe UI" w:hAnsi="Segoe UI"/>
                <w:sz w:val="22"/>
              </w:rPr>
              <w:t xml:space="preserve">Decision Description</w:t>
            </w:r>
          </w:p>
        </w:tc>
      </w:tr>
      <w:tr>
        <w:tc>
          <w:tcPr/>
          <w:p>
            <w:pPr>
              <w:pStyle w:val="Compact"/>
            </w:pPr>
            <w:r>
              <w:rPr>
                <w:rFonts w:ascii="Segoe UI" w:hAnsi="Segoe UI"/>
                <w:sz w:val="22"/>
              </w:rPr>
              <w:t xml:space="preserve">DD01</w:t>
            </w:r>
          </w:p>
        </w:tc>
        <w:tc>
          <w:tcPr/>
          <w:p>
            <w:pPr>
              <w:pStyle w:val="Compact"/>
            </w:pPr>
            <w:r>
              <w:rPr>
                <w:rFonts w:ascii="Segoe UI" w:hAnsi="Segoe UI"/>
                <w:sz w:val="22"/>
              </w:rPr>
              <w:t xml:space="preserve">Configure Policy in Conditional Access to include Power BI Service, Azure Data Explorer, Azure SQL Database, and Azure Storage</w:t>
            </w:r>
          </w:p>
        </w:tc>
      </w:tr>
      <w:tr>
        <w:tc>
          <w:tcPr/>
          <w:p>
            <w:pPr>
              <w:pStyle w:val="Compact"/>
            </w:pPr>
            <w:r>
              <w:rPr>
                <w:rFonts w:ascii="Segoe UI" w:hAnsi="Segoe UI"/>
                <w:sz w:val="22"/>
              </w:rPr>
              <w:t xml:space="preserve">DD02</w:t>
            </w:r>
          </w:p>
        </w:tc>
        <w:tc>
          <w:tcPr/>
          <w:p>
            <w:pPr>
              <w:pStyle w:val="Compact"/>
            </w:pPr>
            <w:r>
              <w:rPr>
                <w:rFonts w:ascii="Segoe UI" w:hAnsi="Segoe UI"/>
                <w:sz w:val="22"/>
              </w:rPr>
              <w:t xml:space="preserve">Include UMS user inside Conditional Access policy</w:t>
            </w:r>
          </w:p>
        </w:tc>
      </w:tr>
      <w:tr>
        <w:tc>
          <w:tcPr/>
          <w:p>
            <w:pPr>
              <w:pStyle w:val="Compact"/>
            </w:pPr>
            <w:r>
              <w:rPr>
                <w:rFonts w:ascii="Segoe UI" w:hAnsi="Segoe UI"/>
                <w:sz w:val="22"/>
              </w:rPr>
              <w:t xml:space="preserve">DD03</w:t>
            </w:r>
          </w:p>
        </w:tc>
        <w:tc>
          <w:tcPr/>
          <w:p>
            <w:pPr>
              <w:pStyle w:val="Compact"/>
            </w:pPr>
            <w:r>
              <w:rPr>
                <w:rFonts w:ascii="Segoe UI" w:hAnsi="Segoe UI"/>
                <w:sz w:val="22"/>
              </w:rPr>
              <w:t xml:space="preserve">UMS users go through additional verification, MFA, to reduce unexpected login prompts</w:t>
            </w:r>
          </w:p>
        </w:tc>
      </w:tr>
      <w:tr>
        <w:tc>
          <w:tcPr/>
          <w:p>
            <w:pPr>
              <w:pStyle w:val="Compact"/>
            </w:pPr>
            <w:r>
              <w:rPr>
                <w:rFonts w:ascii="Segoe UI" w:hAnsi="Segoe UI"/>
                <w:sz w:val="22"/>
              </w:rPr>
              <w:t xml:space="preserve">DD04</w:t>
            </w:r>
          </w:p>
        </w:tc>
        <w:tc>
          <w:tcPr/>
          <w:p>
            <w:pPr>
              <w:pStyle w:val="Compact"/>
            </w:pPr>
            <w:r>
              <w:rPr>
                <w:rFonts w:ascii="Segoe UI" w:hAnsi="Segoe UI"/>
                <w:sz w:val="22"/>
              </w:rPr>
              <w:t xml:space="preserve">Users able to access Microsoft Fabric’s environment</w:t>
            </w:r>
          </w:p>
        </w:tc>
      </w:tr>
    </w:tbl>
    <w:p>
      <w:pPr>
        <w:pStyle w:val="BodyText"/>
        <w:jc w:val="both"/>
      </w:pPr>
      <w:r>
        <w:rPr>
          <w:rFonts w:ascii="Segoe UI" w:hAnsi="Segoe UI"/>
          <w:sz w:val="22"/>
        </w:rPr>
        <w:t xml:space="preserve">These decisions are based on UMS’s licensing status, operational requirements, and the need for secure, streamlined access.</w:t>
      </w:r>
    </w:p>
    <w:bookmarkEnd w:id="51"/>
    <w:bookmarkStart w:id="55" w:name="access-design-considerations"/>
    <w:p>
      <w:pPr>
        <w:pStyle w:val="Heading2"/>
      </w:pPr>
      <w:r>
        <w:rPr>
          <w:rFonts w:ascii="Segoe UI" w:hAnsi="Segoe UI"/>
          <w:b w:val="0"/>
          <w:sz w:val="28"/>
        </w:rPr>
        <w:t xml:space="preserve">5.3 Access Design Considerations</w:t>
      </w:r>
    </w:p>
    <w:p>
      <w:pPr>
        <w:pStyle w:val="FirstParagraph"/>
        <w:jc w:val="both"/>
      </w:pPr>
      <w:r>
        <w:rPr>
          <w:rFonts w:ascii="Segoe UI" w:hAnsi="Segoe UI"/>
          <w:sz w:val="22"/>
        </w:rPr>
        <w:t xml:space="preserve">UMS’s access design is shaped by licensing constraints and operational requirements, with a focus on security and user experience. The following subsections detail each access method evaluated:</w:t>
      </w:r>
    </w:p>
    <w:bookmarkStart w:id="52" w:name="conditional-access"/>
    <w:p>
      <w:pPr>
        <w:pStyle w:val="Heading3"/>
      </w:pPr>
      <w:r>
        <w:rPr>
          <w:rFonts w:ascii="Segoe UI" w:hAnsi="Segoe UI"/>
          <w:b w:val="0"/>
          <w:sz w:val="26"/>
        </w:rPr>
        <w:t xml:space="preserve">Conditional Access</w:t>
      </w:r>
    </w:p>
    <w:p>
      <w:pPr>
        <w:pStyle w:val="FirstParagraph"/>
        <w:jc w:val="both"/>
      </w:pPr>
      <w:r>
        <w:rPr>
          <w:rFonts w:ascii="Segoe UI" w:hAnsi="Segoe UI"/>
          <w:sz w:val="22"/>
        </w:rPr>
        <w:t xml:space="preserve">Conditional Access was assessed for UMS’s Microsoft Fabric environment to enforce granular access controls. However, due to UMS’s current Microsoft Entra ID licensing (Free tier), Conditional Access cannot be fully implemented. The policy configuration would have included Power BI Service, Azure Data Explorer, Azure SQL Database, and Azure Storage. Additional licensing (P1/P2) is required for full Conditional Access capabilities, which UMS may consider in future phases.</w:t>
      </w:r>
    </w:p>
    <w:bookmarkEnd w:id="52"/>
    <w:bookmarkStart w:id="53" w:name="mfa-multi-factor-authentication"/>
    <w:p>
      <w:pPr>
        <w:pStyle w:val="Heading3"/>
      </w:pPr>
      <w:r>
        <w:rPr>
          <w:rFonts w:ascii="Segoe UI" w:hAnsi="Segoe UI"/>
          <w:b w:val="0"/>
          <w:sz w:val="26"/>
        </w:rPr>
        <w:t xml:space="preserve">MFA (Multi-Factor Authentication)</w:t>
      </w:r>
    </w:p>
    <w:p>
      <w:pPr>
        <w:pStyle w:val="FirstParagraph"/>
        <w:jc w:val="both"/>
      </w:pPr>
      <w:r>
        <w:rPr>
          <w:rFonts w:ascii="Segoe UI" w:hAnsi="Segoe UI"/>
          <w:sz w:val="22"/>
        </w:rPr>
        <w:t xml:space="preserve">Multi-Factor Authentication (MFA) is enforced at the tenant level for all UMS users. This approach mitigates risks associated with credential compromise and ensures a baseline security posture. MFA is compatible with Entra ID Free tier and does not require additional licensing, making it the most practical solution for UMS at this stage.</w:t>
      </w:r>
    </w:p>
    <w:bookmarkEnd w:id="53"/>
    <w:bookmarkStart w:id="54" w:name="private-link"/>
    <w:p>
      <w:pPr>
        <w:pStyle w:val="Heading3"/>
      </w:pPr>
      <w:r>
        <w:rPr>
          <w:rFonts w:ascii="Segoe UI" w:hAnsi="Segoe UI"/>
          <w:b w:val="0"/>
          <w:sz w:val="26"/>
        </w:rPr>
        <w:t xml:space="preserve">Private Link</w:t>
      </w:r>
    </w:p>
    <w:p>
      <w:pPr>
        <w:pStyle w:val="FirstParagraph"/>
        <w:jc w:val="both"/>
      </w:pPr>
      <w:r>
        <w:rPr>
          <w:rFonts w:ascii="Segoe UI" w:hAnsi="Segoe UI"/>
          <w:sz w:val="22"/>
        </w:rPr>
        <w:t xml:space="preserve">Private Link was evaluated for securing access to Microsoft Fabric resources by restricting connectivity to private endpoints. Due to licensing limitations and complexity in implementation, Private Link has been deferred for future consideration. UMS may revisit this option if advanced security requirements or regulatory mandates arise.</w:t>
      </w:r>
    </w:p>
    <w:bookmarkEnd w:id="54"/>
    <w:bookmarkEnd w:id="55"/>
    <w:bookmarkStart w:id="56" w:name="access-design-decisions"/>
    <w:p>
      <w:pPr>
        <w:pStyle w:val="Heading2"/>
      </w:pPr>
      <w:r>
        <w:rPr>
          <w:rFonts w:ascii="Segoe UI" w:hAnsi="Segoe UI"/>
          <w:b w:val="0"/>
          <w:sz w:val="28"/>
        </w:rPr>
        <w:t xml:space="preserve">5.4 Access Design Decisions</w:t>
      </w:r>
    </w:p>
    <w:p>
      <w:pPr>
        <w:pStyle w:val="FirstParagraph"/>
        <w:jc w:val="both"/>
      </w:pPr>
      <w:r>
        <w:rPr>
          <w:rFonts w:ascii="Segoe UI" w:hAnsi="Segoe UI"/>
          <w:sz w:val="22"/>
        </w:rPr>
        <w:t xml:space="preserve">The following table summarizes UMS’s access design decisions, reflecting the chosen policies and their rationale:</w:t>
      </w:r>
    </w:p>
    <w:tbl>
      <w:tblPr>
        <w:tblStyle w:val="GridTable4-Accent11"/>
        <w:tblW w:type="pct" w:w="5000"/>
        <w:tblLayout w:type="autofit"/>
        <w:tblLook w:firstRow="1" w:lastRow="0" w:firstColumn="1" w:lastColumn="0" w:noHBand="0" w:noVBand="1" w:val="04A0"/>
      </w:tblPr>
      <w:tblGrid>
        <w:gridCol w:w="798"/>
        <w:gridCol w:w="7121"/>
      </w:tblGrid>
      <w:tr>
        <w:trPr>
          <w:tblHeader w:val="on"/>
        </w:trPr>
        <w:tc>
          <w:tcPr/>
          <w:p>
            <w:pPr>
              <w:pStyle w:val="Compact"/>
            </w:pPr>
            <w:r>
              <w:rPr>
                <w:rFonts w:ascii="Segoe UI" w:hAnsi="Segoe UI"/>
                <w:sz w:val="22"/>
              </w:rPr>
              <w:t xml:space="preserve">Decision ID</w:t>
            </w:r>
          </w:p>
        </w:tc>
        <w:tc>
          <w:tcPr/>
          <w:p>
            <w:pPr>
              <w:pStyle w:val="Compact"/>
            </w:pPr>
            <w:r>
              <w:rPr>
                <w:rFonts w:ascii="Segoe UI" w:hAnsi="Segoe UI"/>
                <w:sz w:val="22"/>
              </w:rPr>
              <w:t xml:space="preserve">Policy Description</w:t>
            </w:r>
          </w:p>
        </w:tc>
      </w:tr>
      <w:tr>
        <w:tc>
          <w:tcPr/>
          <w:p>
            <w:pPr>
              <w:pStyle w:val="Compact"/>
            </w:pPr>
            <w:r>
              <w:rPr>
                <w:rFonts w:ascii="Segoe UI" w:hAnsi="Segoe UI"/>
                <w:sz w:val="22"/>
              </w:rPr>
              <w:t xml:space="preserve">DD01</w:t>
            </w:r>
          </w:p>
        </w:tc>
        <w:tc>
          <w:tcPr/>
          <w:p>
            <w:pPr>
              <w:pStyle w:val="Compact"/>
            </w:pPr>
            <w:r>
              <w:rPr>
                <w:rFonts w:ascii="Segoe UI" w:hAnsi="Segoe UI"/>
                <w:sz w:val="22"/>
              </w:rPr>
              <w:t xml:space="preserve">Conditional Access policy configuration deferred due to licensing; MFA enforced at tenant level</w:t>
            </w:r>
          </w:p>
        </w:tc>
      </w:tr>
      <w:tr>
        <w:tc>
          <w:tcPr/>
          <w:p>
            <w:pPr>
              <w:pStyle w:val="Compact"/>
            </w:pPr>
            <w:r>
              <w:rPr>
                <w:rFonts w:ascii="Segoe UI" w:hAnsi="Segoe UI"/>
                <w:sz w:val="22"/>
              </w:rPr>
              <w:t xml:space="preserve">DD02</w:t>
            </w:r>
          </w:p>
        </w:tc>
        <w:tc>
          <w:tcPr/>
          <w:p>
            <w:pPr>
              <w:pStyle w:val="Compact"/>
            </w:pPr>
            <w:r>
              <w:rPr>
                <w:rFonts w:ascii="Segoe UI" w:hAnsi="Segoe UI"/>
                <w:sz w:val="22"/>
              </w:rPr>
              <w:t xml:space="preserve">UMS users included in MFA policy to ensure secure authentication</w:t>
            </w:r>
          </w:p>
        </w:tc>
      </w:tr>
      <w:tr>
        <w:tc>
          <w:tcPr/>
          <w:p>
            <w:pPr>
              <w:pStyle w:val="Compact"/>
            </w:pPr>
            <w:r>
              <w:rPr>
                <w:rFonts w:ascii="Segoe UI" w:hAnsi="Segoe UI"/>
                <w:sz w:val="22"/>
              </w:rPr>
              <w:t xml:space="preserve">DD03</w:t>
            </w:r>
          </w:p>
        </w:tc>
        <w:tc>
          <w:tcPr/>
          <w:p>
            <w:pPr>
              <w:pStyle w:val="Compact"/>
            </w:pPr>
            <w:r>
              <w:rPr>
                <w:rFonts w:ascii="Segoe UI" w:hAnsi="Segoe UI"/>
                <w:sz w:val="22"/>
              </w:rPr>
              <w:t xml:space="preserve">Private Link implementation deferred; revisit upon future licensing upgrade</w:t>
            </w:r>
          </w:p>
        </w:tc>
      </w:tr>
      <w:tr>
        <w:tc>
          <w:tcPr/>
          <w:p>
            <w:pPr>
              <w:pStyle w:val="Compact"/>
            </w:pPr>
            <w:r>
              <w:rPr>
                <w:rFonts w:ascii="Segoe UI" w:hAnsi="Segoe UI"/>
                <w:sz w:val="22"/>
              </w:rPr>
              <w:t xml:space="preserve">DD04</w:t>
            </w:r>
          </w:p>
        </w:tc>
        <w:tc>
          <w:tcPr/>
          <w:p>
            <w:pPr>
              <w:pStyle w:val="Compact"/>
            </w:pPr>
            <w:r>
              <w:rPr>
                <w:rFonts w:ascii="Segoe UI" w:hAnsi="Segoe UI"/>
                <w:sz w:val="22"/>
              </w:rPr>
              <w:t xml:space="preserve">Users are able to access Microsoft Fabric’s environment via secure authentication</w:t>
            </w:r>
          </w:p>
        </w:tc>
      </w:tr>
    </w:tbl>
    <w:p>
      <w:pPr>
        <w:pStyle w:val="BodyText"/>
        <w:jc w:val="both"/>
      </w:pPr>
      <w:r>
        <w:rPr>
          <w:rFonts w:ascii="Segoe UI" w:hAnsi="Segoe UI"/>
          <w:sz w:val="22"/>
        </w:rPr>
        <w:t xml:space="preserve">These decisions balance security, usability, and cost-effectiveness for UMS.</w:t>
      </w:r>
    </w:p>
    <w:bookmarkEnd w:id="56"/>
    <w:bookmarkStart w:id="57" w:name="identity-and-access-management"/>
    <w:p>
      <w:pPr>
        <w:pStyle w:val="Heading2"/>
      </w:pPr>
      <w:r>
        <w:rPr>
          <w:rFonts w:ascii="Segoe UI" w:hAnsi="Segoe UI"/>
          <w:b w:val="0"/>
          <w:sz w:val="28"/>
        </w:rPr>
        <w:t xml:space="preserve">5.5 Identity and Access Management</w:t>
      </w:r>
    </w:p>
    <w:p>
      <w:pPr>
        <w:pStyle w:val="FirstParagraph"/>
        <w:jc w:val="both"/>
      </w:pPr>
      <w:r>
        <w:rPr>
          <w:rFonts w:ascii="Segoe UI" w:hAnsi="Segoe UI"/>
          <w:sz w:val="22"/>
        </w:rPr>
        <w:t xml:space="preserve">UMS shall integrate Microsoft Entra ID as the central identity provider for Microsoft Fabric. User authentication will leverage Entra ID’s capabilities, ensuring secure, single sign-on access across all Fabric components. MFA enforcement at the tenant level provides additional security, requiring users to verify their identity through a secondary factor. User provisioning and de-provisioning will be managed via Entra ID, ensuring role-based access and compliance with UMS’s IT governance policies. Integration steps include configuring Entra ID as the authentication source, mapping user roles to Fabric workspaces, and monitoring access logs for anomalous activity.</w:t>
      </w:r>
    </w:p>
    <w:bookmarkEnd w:id="57"/>
    <w:bookmarkStart w:id="58" w:name="virtual-machine-size"/>
    <w:p>
      <w:pPr>
        <w:pStyle w:val="Heading2"/>
      </w:pPr>
      <w:r>
        <w:rPr>
          <w:rFonts w:ascii="Segoe UI" w:hAnsi="Segoe UI"/>
          <w:b w:val="0"/>
          <w:sz w:val="28"/>
        </w:rPr>
        <w:t xml:space="preserve">5.6 Virtual Machine Size</w:t>
      </w:r>
    </w:p>
    <w:p>
      <w:pPr>
        <w:pStyle w:val="FirstParagraph"/>
        <w:jc w:val="both"/>
      </w:pPr>
      <w:r>
        <w:rPr>
          <w:rFonts w:ascii="Segoe UI" w:hAnsi="Segoe UI"/>
          <w:sz w:val="22"/>
        </w:rPr>
        <w:t xml:space="preserve">UMS shall deploy the OPDG VM with specifications tailored for optimal performance and compatibility with Microsoft Fabric workloads. The following table details the required specifications:</w:t>
      </w:r>
    </w:p>
    <w:tbl>
      <w:tblPr>
        <w:tblStyle w:val="GridTable4-Accent11"/>
        <w:tblW w:type="pct" w:w="5000"/>
        <w:tblLayout w:type="autofit"/>
        <w:tblLook w:firstRow="1" w:lastRow="0" w:firstColumn="1" w:lastColumn="0" w:noHBand="0" w:noVBand="1" w:val="04A0"/>
      </w:tblPr>
      <w:tblGrid>
        <w:gridCol w:w="2592"/>
        <w:gridCol w:w="5328"/>
      </w:tblGrid>
      <w:tr>
        <w:trPr>
          <w:tblHeader w:val="on"/>
        </w:trPr>
        <w:tc>
          <w:tcPr/>
          <w:p>
            <w:pPr>
              <w:pStyle w:val="Compact"/>
            </w:pPr>
            <w:r>
              <w:rPr>
                <w:rFonts w:ascii="Segoe UI" w:hAnsi="Segoe UI"/>
                <w:sz w:val="22"/>
              </w:rPr>
              <w:t xml:space="preserve">Component</w:t>
            </w:r>
          </w:p>
        </w:tc>
        <w:tc>
          <w:tcPr/>
          <w:p>
            <w:pPr>
              <w:pStyle w:val="Compact"/>
            </w:pPr>
            <w:r>
              <w:rPr>
                <w:rFonts w:ascii="Segoe UI" w:hAnsi="Segoe UI"/>
                <w:sz w:val="22"/>
              </w:rPr>
              <w:t xml:space="preserve">Specification</w:t>
            </w:r>
          </w:p>
        </w:tc>
      </w:tr>
      <w:tr>
        <w:tc>
          <w:tcPr/>
          <w:p>
            <w:pPr>
              <w:pStyle w:val="Compact"/>
            </w:pPr>
            <w:r>
              <w:rPr>
                <w:rFonts w:ascii="Segoe UI" w:hAnsi="Segoe UI"/>
                <w:sz w:val="22"/>
              </w:rPr>
              <w:t xml:space="preserve">Operating System</w:t>
            </w:r>
          </w:p>
        </w:tc>
        <w:tc>
          <w:tcPr/>
          <w:p>
            <w:pPr>
              <w:pStyle w:val="Compact"/>
            </w:pPr>
            <w:r>
              <w:rPr>
                <w:rFonts w:ascii="Segoe UI" w:hAnsi="Segoe UI"/>
                <w:sz w:val="22"/>
              </w:rPr>
              <w:t xml:space="preserve">Windows 10 (64-bit) or Windows Server 2019 (64-bit)</w:t>
            </w:r>
          </w:p>
        </w:tc>
      </w:tr>
      <w:tr>
        <w:tc>
          <w:tcPr/>
          <w:p>
            <w:pPr>
              <w:pStyle w:val="Compact"/>
            </w:pPr>
            <w:r>
              <w:rPr>
                <w:rFonts w:ascii="Segoe UI" w:hAnsi="Segoe UI"/>
                <w:sz w:val="22"/>
              </w:rPr>
              <w:t xml:space="preserve">.NET Framework</w:t>
            </w:r>
          </w:p>
        </w:tc>
        <w:tc>
          <w:tcPr/>
          <w:p>
            <w:pPr>
              <w:pStyle w:val="Compact"/>
            </w:pPr>
            <w:r>
              <w:rPr>
                <w:rFonts w:ascii="Segoe UI" w:hAnsi="Segoe UI"/>
                <w:sz w:val="22"/>
              </w:rPr>
              <w:t xml:space="preserve">Version 4.8</w:t>
            </w:r>
          </w:p>
        </w:tc>
      </w:tr>
      <w:tr>
        <w:tc>
          <w:tcPr/>
          <w:p>
            <w:pPr>
              <w:pStyle w:val="Compact"/>
            </w:pPr>
            <w:r>
              <w:rPr>
                <w:rFonts w:ascii="Segoe UI" w:hAnsi="Segoe UI"/>
                <w:sz w:val="22"/>
              </w:rPr>
              <w:t xml:space="preserve">vCPU</w:t>
            </w:r>
          </w:p>
        </w:tc>
        <w:tc>
          <w:tcPr/>
          <w:p>
            <w:pPr>
              <w:pStyle w:val="Compact"/>
            </w:pPr>
            <w:r>
              <w:rPr>
                <w:rFonts w:ascii="Segoe UI" w:hAnsi="Segoe UI"/>
                <w:sz w:val="22"/>
              </w:rPr>
              <w:t xml:space="preserve">8 cores</w:t>
            </w:r>
          </w:p>
        </w:tc>
      </w:tr>
      <w:tr>
        <w:tc>
          <w:tcPr/>
          <w:p>
            <w:pPr>
              <w:pStyle w:val="Compact"/>
            </w:pPr>
            <w:r>
              <w:rPr>
                <w:rFonts w:ascii="Segoe UI" w:hAnsi="Segoe UI"/>
                <w:sz w:val="22"/>
              </w:rPr>
              <w:t xml:space="preserve">RAM</w:t>
            </w:r>
          </w:p>
        </w:tc>
        <w:tc>
          <w:tcPr/>
          <w:p>
            <w:pPr>
              <w:pStyle w:val="Compact"/>
            </w:pPr>
            <w:r>
              <w:rPr>
                <w:rFonts w:ascii="Segoe UI" w:hAnsi="Segoe UI"/>
                <w:sz w:val="22"/>
              </w:rPr>
              <w:t xml:space="preserve">Minimum 8 GB</w:t>
            </w:r>
          </w:p>
        </w:tc>
      </w:tr>
    </w:tbl>
    <w:p>
      <w:pPr>
        <w:pStyle w:val="BodyText"/>
        <w:jc w:val="both"/>
      </w:pPr>
      <w:r>
        <w:rPr>
          <w:rFonts w:ascii="Segoe UI" w:hAnsi="Segoe UI"/>
          <w:sz w:val="22"/>
        </w:rPr>
        <w:t xml:space="preserve">These specifications ensure the VM can handle data processing, integration, and visualization tasks without performance bottlenecks.</w:t>
      </w:r>
    </w:p>
    <w:bookmarkEnd w:id="58"/>
    <w:bookmarkStart w:id="65" w:name="resource-organization-design"/>
    <w:p>
      <w:pPr>
        <w:pStyle w:val="Heading2"/>
      </w:pPr>
      <w:r>
        <w:rPr>
          <w:rFonts w:ascii="Segoe UI" w:hAnsi="Segoe UI"/>
          <w:b w:val="0"/>
          <w:sz w:val="28"/>
        </w:rPr>
        <w:t xml:space="preserve">5.7 Resource Organization Design</w:t>
      </w:r>
    </w:p>
    <w:p>
      <w:pPr>
        <w:pStyle w:val="FirstParagraph"/>
        <w:jc w:val="both"/>
      </w:pPr>
      <w:r>
        <w:rPr>
          <w:rFonts w:ascii="Segoe UI" w:hAnsi="Segoe UI"/>
          <w:sz w:val="22"/>
        </w:rPr>
        <w:t xml:space="preserve">UMS’s resource organization is structured to maximize manageability, consistency, and scalability across Microsoft Fabric deployments.</w:t>
      </w:r>
    </w:p>
    <w:bookmarkStart w:id="59" w:name="azure-management-groups"/>
    <w:p>
      <w:pPr>
        <w:pStyle w:val="Heading3"/>
      </w:pPr>
      <w:r>
        <w:rPr>
          <w:rFonts w:ascii="Segoe UI" w:hAnsi="Segoe UI"/>
          <w:b w:val="0"/>
          <w:sz w:val="26"/>
        </w:rPr>
        <w:t xml:space="preserve">Azure Management Groups</w:t>
      </w:r>
    </w:p>
    <w:p>
      <w:pPr>
        <w:pStyle w:val="FirstParagraph"/>
        <w:jc w:val="both"/>
      </w:pPr>
      <w:r>
        <w:rPr>
          <w:rFonts w:ascii="Segoe UI" w:hAnsi="Segoe UI"/>
          <w:sz w:val="22"/>
        </w:rPr>
        <w:t xml:space="preserve">UMS shall utilize Azure Management Groups to logically organize subscriptions and resources. Management Groups provide hierarchical governance, enabling policy enforcement and cost tracking at scale. UMS will create management groups for each major department or project, aligning with organizational boundaries and facilitating delegated administration.</w:t>
      </w:r>
    </w:p>
    <w:bookmarkEnd w:id="59"/>
    <w:bookmarkStart w:id="64" w:name="naming-and-tagging"/>
    <w:p>
      <w:pPr>
        <w:pStyle w:val="Heading3"/>
      </w:pPr>
      <w:r>
        <w:rPr>
          <w:rFonts w:ascii="Segoe UI" w:hAnsi="Segoe UI"/>
          <w:b w:val="0"/>
          <w:sz w:val="26"/>
        </w:rPr>
        <w:t xml:space="preserve">Naming and Tagging</w:t>
      </w:r>
    </w:p>
    <w:p>
      <w:pPr>
        <w:pStyle w:val="FirstParagraph"/>
        <w:jc w:val="both"/>
      </w:pPr>
      <w:r>
        <w:rPr>
          <w:rFonts w:ascii="Segoe UI" w:hAnsi="Segoe UI"/>
          <w:sz w:val="22"/>
        </w:rPr>
        <w:t xml:space="preserve">UMS shall implement a standardized naming convention and tagging strategy to ensure resource discoverability, traceability, and compliance. The following tables outline these conventions:</w:t>
      </w:r>
    </w:p>
    <w:bookmarkStart w:id="60" w:name="azure-naming-convention"/>
    <w:p>
      <w:pPr>
        <w:pStyle w:val="Heading4"/>
      </w:pPr>
      <w:r>
        <w:rPr>
          <w:rFonts w:ascii="Segoe UI" w:hAnsi="Segoe UI"/>
          <w:b w:val="0"/>
          <w:sz w:val="24"/>
        </w:rPr>
        <w:t xml:space="preserve">Azure Naming Convention</w:t>
      </w:r>
    </w:p>
    <w:tbl>
      <w:tblPr>
        <w:tblStyle w:val="GridTable4-Accent11"/>
        <w:tblW w:type="auto" w:w="0"/>
        <w:tblLayout w:type="autofit"/>
        <w:tblLook w:firstRow="1" w:lastRow="0" w:firstColumn="1" w:lastColumn="0" w:noHBand="0" w:noVBand="1" w:val="04A0"/>
      </w:tblPr>
      <w:tblGrid>
        <w:gridCol w:w="2640"/>
        <w:gridCol w:w="2640"/>
        <w:gridCol w:w="2640"/>
      </w:tblGrid>
      <w:tr>
        <w:trPr>
          <w:tblHeader w:val="on"/>
        </w:trPr>
        <w:tc>
          <w:tcPr/>
          <w:p>
            <w:pPr>
              <w:pStyle w:val="Compact"/>
            </w:pPr>
            <w:r>
              <w:rPr>
                <w:rFonts w:ascii="Segoe UI" w:hAnsi="Segoe UI"/>
                <w:sz w:val="22"/>
              </w:rPr>
              <w:t xml:space="preserve">Resource</w:t>
            </w:r>
          </w:p>
        </w:tc>
        <w:tc>
          <w:tcPr/>
          <w:p>
            <w:pPr>
              <w:pStyle w:val="Compact"/>
            </w:pPr>
            <w:r>
              <w:rPr>
                <w:rFonts w:ascii="Segoe UI" w:hAnsi="Segoe UI"/>
                <w:sz w:val="22"/>
              </w:rPr>
              <w:t xml:space="preserve">Abbreviation</w:t>
            </w:r>
          </w:p>
        </w:tc>
        <w:tc>
          <w:tcPr/>
          <w:p>
            <w:pPr>
              <w:pStyle w:val="Compact"/>
            </w:pPr>
            <w:r>
              <w:rPr>
                <w:rFonts w:ascii="Segoe UI" w:hAnsi="Segoe UI"/>
                <w:sz w:val="22"/>
              </w:rPr>
              <w:t xml:space="preserve">Example</w:t>
            </w:r>
          </w:p>
        </w:tc>
      </w:tr>
      <w:tr>
        <w:tc>
          <w:tcPr/>
          <w:p>
            <w:pPr>
              <w:pStyle w:val="Compact"/>
            </w:pPr>
            <w:r>
              <w:rPr>
                <w:rFonts w:ascii="Segoe UI" w:hAnsi="Segoe UI"/>
                <w:sz w:val="22"/>
              </w:rPr>
              <w:t xml:space="preserve">Subscription</w:t>
            </w:r>
          </w:p>
        </w:tc>
        <w:tc>
          <w:tcPr/>
          <w:p>
            <w:pPr>
              <w:pStyle w:val="Compact"/>
            </w:pPr>
            <w:r>
              <w:rPr>
                <w:rFonts w:ascii="Segoe UI" w:hAnsi="Segoe UI"/>
                <w:sz w:val="22"/>
              </w:rPr>
              <w:t xml:space="preserve">sub</w:t>
            </w:r>
          </w:p>
        </w:tc>
        <w:tc>
          <w:tcPr/>
          <w:p>
            <w:pPr>
              <w:pStyle w:val="Compact"/>
            </w:pPr>
            <w:r>
              <w:rPr>
                <w:rFonts w:ascii="Segoe UI" w:hAnsi="Segoe UI"/>
                <w:sz w:val="22"/>
              </w:rPr>
              <w:t xml:space="preserve">ums-prod-sub</w:t>
            </w:r>
          </w:p>
        </w:tc>
      </w:tr>
      <w:tr>
        <w:tc>
          <w:tcPr/>
          <w:p>
            <w:pPr>
              <w:pStyle w:val="Compact"/>
            </w:pPr>
            <w:r>
              <w:rPr>
                <w:rFonts w:ascii="Segoe UI" w:hAnsi="Segoe UI"/>
                <w:sz w:val="22"/>
              </w:rPr>
              <w:t xml:space="preserve">Resource Group</w:t>
            </w:r>
          </w:p>
        </w:tc>
        <w:tc>
          <w:tcPr/>
          <w:p>
            <w:pPr>
              <w:pStyle w:val="Compact"/>
            </w:pPr>
            <w:r>
              <w:rPr>
                <w:rFonts w:ascii="Segoe UI" w:hAnsi="Segoe UI"/>
                <w:sz w:val="22"/>
              </w:rPr>
              <w:t xml:space="preserve">rg</w:t>
            </w:r>
          </w:p>
        </w:tc>
        <w:tc>
          <w:tcPr/>
          <w:p>
            <w:pPr>
              <w:pStyle w:val="Compact"/>
            </w:pPr>
            <w:r>
              <w:rPr>
                <w:rFonts w:ascii="Segoe UI" w:hAnsi="Segoe UI"/>
                <w:sz w:val="22"/>
              </w:rPr>
              <w:t xml:space="preserve">ums-data-rg</w:t>
            </w:r>
          </w:p>
        </w:tc>
      </w:tr>
      <w:tr>
        <w:tc>
          <w:tcPr/>
          <w:p>
            <w:pPr>
              <w:pStyle w:val="Compact"/>
            </w:pPr>
            <w:r>
              <w:rPr>
                <w:rFonts w:ascii="Segoe UI" w:hAnsi="Segoe UI"/>
                <w:sz w:val="22"/>
              </w:rPr>
              <w:t xml:space="preserve">Storage Account</w:t>
            </w:r>
          </w:p>
        </w:tc>
        <w:tc>
          <w:tcPr/>
          <w:p>
            <w:pPr>
              <w:pStyle w:val="Compact"/>
            </w:pPr>
            <w:r>
              <w:rPr>
                <w:rFonts w:ascii="Segoe UI" w:hAnsi="Segoe UI"/>
                <w:sz w:val="22"/>
              </w:rPr>
              <w:t xml:space="preserve">st</w:t>
            </w:r>
          </w:p>
        </w:tc>
        <w:tc>
          <w:tcPr/>
          <w:p>
            <w:pPr>
              <w:pStyle w:val="Compact"/>
            </w:pPr>
            <w:r>
              <w:rPr>
                <w:rFonts w:ascii="Segoe UI" w:hAnsi="Segoe UI"/>
                <w:sz w:val="22"/>
              </w:rPr>
              <w:t xml:space="preserve">umsdatast01</w:t>
            </w:r>
          </w:p>
        </w:tc>
      </w:tr>
      <w:tr>
        <w:tc>
          <w:tcPr/>
          <w:p>
            <w:pPr>
              <w:pStyle w:val="Compact"/>
            </w:pPr>
            <w:r>
              <w:rPr>
                <w:rFonts w:ascii="Segoe UI" w:hAnsi="Segoe UI"/>
                <w:sz w:val="22"/>
              </w:rPr>
              <w:t xml:space="preserve">VM</w:t>
            </w:r>
          </w:p>
        </w:tc>
        <w:tc>
          <w:tcPr/>
          <w:p>
            <w:pPr>
              <w:pStyle w:val="Compact"/>
            </w:pPr>
            <w:r>
              <w:rPr>
                <w:rFonts w:ascii="Segoe UI" w:hAnsi="Segoe UI"/>
                <w:sz w:val="22"/>
              </w:rPr>
              <w:t xml:space="preserve">vm</w:t>
            </w:r>
          </w:p>
        </w:tc>
        <w:tc>
          <w:tcPr/>
          <w:p>
            <w:pPr>
              <w:pStyle w:val="Compact"/>
            </w:pPr>
            <w:r>
              <w:rPr>
                <w:rFonts w:ascii="Segoe UI" w:hAnsi="Segoe UI"/>
                <w:sz w:val="22"/>
              </w:rPr>
              <w:t xml:space="preserve">ums-data-vm01</w:t>
            </w:r>
          </w:p>
        </w:tc>
      </w:tr>
      <w:tr>
        <w:tc>
          <w:tcPr/>
          <w:p>
            <w:pPr>
              <w:pStyle w:val="Compact"/>
            </w:pPr>
            <w:r>
              <w:rPr>
                <w:rFonts w:ascii="Segoe UI" w:hAnsi="Segoe UI"/>
                <w:sz w:val="22"/>
              </w:rPr>
              <w:t xml:space="preserve">Network</w:t>
            </w:r>
          </w:p>
        </w:tc>
        <w:tc>
          <w:tcPr/>
          <w:p>
            <w:pPr>
              <w:pStyle w:val="Compact"/>
            </w:pPr>
            <w:r>
              <w:rPr>
                <w:rFonts w:ascii="Segoe UI" w:hAnsi="Segoe UI"/>
                <w:sz w:val="22"/>
              </w:rPr>
              <w:t xml:space="preserve">vnet</w:t>
            </w:r>
          </w:p>
        </w:tc>
        <w:tc>
          <w:tcPr/>
          <w:p>
            <w:pPr>
              <w:pStyle w:val="Compact"/>
            </w:pPr>
            <w:r>
              <w:rPr>
                <w:rFonts w:ascii="Segoe UI" w:hAnsi="Segoe UI"/>
                <w:sz w:val="22"/>
              </w:rPr>
              <w:t xml:space="preserve">ums-vnet01</w:t>
            </w:r>
          </w:p>
        </w:tc>
      </w:tr>
      <w:tr>
        <w:tc>
          <w:tcPr/>
          <w:p>
            <w:pPr>
              <w:pStyle w:val="Compact"/>
            </w:pPr>
            <w:r>
              <w:rPr>
                <w:rFonts w:ascii="Segoe UI" w:hAnsi="Segoe UI"/>
                <w:sz w:val="22"/>
              </w:rPr>
              <w:t xml:space="preserve">Database</w:t>
            </w:r>
          </w:p>
        </w:tc>
        <w:tc>
          <w:tcPr/>
          <w:p>
            <w:pPr>
              <w:pStyle w:val="Compact"/>
            </w:pPr>
            <w:r>
              <w:rPr>
                <w:rFonts w:ascii="Segoe UI" w:hAnsi="Segoe UI"/>
                <w:sz w:val="22"/>
              </w:rPr>
              <w:t xml:space="preserve">db</w:t>
            </w:r>
          </w:p>
        </w:tc>
        <w:tc>
          <w:tcPr/>
          <w:p>
            <w:pPr>
              <w:pStyle w:val="Compact"/>
            </w:pPr>
            <w:r>
              <w:rPr>
                <w:rFonts w:ascii="Segoe UI" w:hAnsi="Segoe UI"/>
                <w:sz w:val="22"/>
              </w:rPr>
              <w:t xml:space="preserve">ums-sqldb01</w:t>
            </w:r>
          </w:p>
        </w:tc>
      </w:tr>
    </w:tbl>
    <w:bookmarkEnd w:id="60"/>
    <w:bookmarkStart w:id="61" w:name="fabric-naming-convention"/>
    <w:p>
      <w:pPr>
        <w:pStyle w:val="Heading4"/>
      </w:pPr>
      <w:r>
        <w:rPr>
          <w:rFonts w:ascii="Segoe UI" w:hAnsi="Segoe UI"/>
          <w:b w:val="0"/>
          <w:sz w:val="24"/>
        </w:rPr>
        <w:t xml:space="preserve">Fabric Naming Convention</w:t>
      </w:r>
    </w:p>
    <w:tbl>
      <w:tblPr>
        <w:tblStyle w:val="GridTable4-Accent11"/>
        <w:tblW w:type="pct" w:w="5000"/>
        <w:tblLayout w:type="autofit"/>
        <w:tblLook w:firstRow="1" w:lastRow="0" w:firstColumn="1" w:lastColumn="0" w:noHBand="0" w:noVBand="1" w:val="04A0"/>
      </w:tblPr>
      <w:tblGrid>
        <w:gridCol w:w="421"/>
        <w:gridCol w:w="1516"/>
        <w:gridCol w:w="5982"/>
      </w:tblGrid>
      <w:tr>
        <w:trPr>
          <w:tblHeader w:val="on"/>
        </w:trPr>
        <w:tc>
          <w:tcPr/>
          <w:p>
            <w:pPr>
              <w:pStyle w:val="Compact"/>
            </w:pPr>
            <w:r>
              <w:rPr>
                <w:rFonts w:ascii="Segoe UI" w:hAnsi="Segoe UI"/>
                <w:sz w:val="22"/>
              </w:rPr>
              <w:t xml:space="preserve">No.</w:t>
            </w:r>
          </w:p>
        </w:tc>
        <w:tc>
          <w:tcPr/>
          <w:p>
            <w:pPr>
              <w:pStyle w:val="Compact"/>
            </w:pPr>
            <w:r>
              <w:rPr>
                <w:rFonts w:ascii="Segoe UI" w:hAnsi="Segoe UI"/>
                <w:sz w:val="22"/>
              </w:rPr>
              <w:t xml:space="preserve">Item in Fabric</w:t>
            </w:r>
          </w:p>
        </w:tc>
        <w:tc>
          <w:tcPr/>
          <w:p>
            <w:pPr>
              <w:pStyle w:val="Compact"/>
            </w:pPr>
            <w:r>
              <w:rPr>
                <w:rFonts w:ascii="Segoe UI" w:hAnsi="Segoe UI"/>
                <w:sz w:val="22"/>
              </w:rPr>
              <w:t xml:space="preserve">Naming</w:t>
            </w:r>
            <w:r>
              <w:rPr>
                <w:rFonts w:ascii="Segoe UI" w:hAnsi="Segoe UI"/>
                <w:sz w:val="22"/>
              </w:rPr>
              <w:t xml:space="preserve"> </w:t>
            </w:r>
            <w:r>
              <w:rPr>
                <w:rFonts w:ascii="Segoe UI" w:hAnsi="Segoe UI"/>
                <w:sz w:val="22"/>
              </w:rPr>
              <w:t xml:space="preserve">-</w:t>
            </w:r>
            <w:r>
              <w:rPr>
                <w:rFonts w:ascii="Segoe UI" w:hAnsi="Segoe UI"/>
                <w:sz w:val="22"/>
              </w:rPr>
              <w:t xml:space="preserve">-</w:t>
            </w:r>
          </w:p>
        </w:tc>
      </w:tr>
      <w:tr>
        <w:tc>
          <w:tcPr/>
          <w:p>
            <w:pPr>
              <w:pStyle w:val="Compact"/>
            </w:pPr>
            <w:r>
              <w:rPr>
                <w:rFonts w:ascii="Segoe UI" w:hAnsi="Segoe UI"/>
                <w:sz w:val="22"/>
              </w:rPr>
              <w:t xml:space="preserve">1</w:t>
            </w:r>
          </w:p>
        </w:tc>
        <w:tc>
          <w:tcPr/>
          <w:p>
            <w:pPr>
              <w:pStyle w:val="Compact"/>
            </w:pPr>
            <w:r>
              <w:rPr>
                <w:rFonts w:ascii="Segoe UI" w:hAnsi="Segoe UI"/>
                <w:sz w:val="22"/>
              </w:rPr>
              <w:t xml:space="preserve">Fabric Capacity</w:t>
            </w:r>
          </w:p>
        </w:tc>
        <w:tc>
          <w:tcPr/>
          <w:p>
            <w:pPr>
              <w:pStyle w:val="Compact"/>
            </w:pPr>
            <w:r>
              <w:rPr>
                <w:rFonts w:ascii="Segoe UI" w:hAnsi="Segoe UI"/>
                <w:sz w:val="22"/>
              </w:rPr>
              <w:t xml:space="preserve">stagingareadevcapacity01</w:t>
            </w:r>
          </w:p>
        </w:tc>
      </w:tr>
      <w:tr>
        <w:tc>
          <w:tcPr/>
          <w:p>
            <w:pPr>
              <w:pStyle w:val="Compact"/>
            </w:pPr>
            <w:r>
              <w:rPr>
                <w:rFonts w:ascii="Segoe UI" w:hAnsi="Segoe UI"/>
                <w:sz w:val="22"/>
              </w:rPr>
              <w:t xml:space="preserve">2</w:t>
            </w:r>
          </w:p>
        </w:tc>
        <w:tc>
          <w:tcPr/>
          <w:p>
            <w:pPr>
              <w:pStyle w:val="Compact"/>
            </w:pPr>
            <w:r>
              <w:rPr>
                <w:rFonts w:ascii="Segoe UI" w:hAnsi="Segoe UI"/>
                <w:sz w:val="22"/>
              </w:rPr>
              <w:t xml:space="preserve">Workspace</w:t>
            </w:r>
          </w:p>
        </w:tc>
        <w:tc>
          <w:tcPr/>
          <w:p>
            <w:pPr>
              <w:pStyle w:val="Compact"/>
            </w:pPr>
            <w:r>
              <w:rPr>
                <w:rFonts w:ascii="Segoe UI" w:hAnsi="Segoe UI"/>
                <w:sz w:val="22"/>
              </w:rPr>
              <w:t xml:space="preserve">StudentAffairs_dev_WS</w:t>
            </w:r>
          </w:p>
        </w:tc>
      </w:tr>
      <w:tr>
        <w:tc>
          <w:tcPr/>
          <w:p>
            <w:pPr>
              <w:pStyle w:val="Compact"/>
            </w:pPr>
            <w:r>
              <w:rPr>
                <w:rFonts w:ascii="Segoe UI" w:hAnsi="Segoe UI"/>
                <w:sz w:val="22"/>
              </w:rPr>
              <w:t xml:space="preserve">3</w:t>
            </w:r>
          </w:p>
        </w:tc>
        <w:tc>
          <w:tcPr/>
          <w:p>
            <w:pPr>
              <w:pStyle w:val="Compact"/>
            </w:pPr>
            <w:r>
              <w:rPr>
                <w:rFonts w:ascii="Segoe UI" w:hAnsi="Segoe UI"/>
                <w:sz w:val="22"/>
              </w:rPr>
              <w:t xml:space="preserve">Lakehouse</w:t>
            </w:r>
          </w:p>
        </w:tc>
        <w:tc>
          <w:tcPr/>
          <w:p>
            <w:pPr>
              <w:pStyle w:val="Compact"/>
            </w:pPr>
            <w:r>
              <w:rPr>
                <w:rFonts w:ascii="Segoe UI" w:hAnsi="Segoe UI"/>
                <w:sz w:val="22"/>
              </w:rPr>
              <w:t xml:space="preserve">StudentAffairs_Bronze_LK</w:t>
            </w:r>
            <w:r>
              <w:rPr>
                <w:rFonts w:ascii="Segoe UI" w:hAnsi="Segoe UI"/>
                <w:sz w:val="22"/>
              </w:rPr>
              <w:t xml:space="preserve">StudentAffairs_Silver_LK</w:t>
            </w:r>
            <w:r>
              <w:rPr>
                <w:rFonts w:ascii="Segoe UI" w:hAnsi="Segoe UI"/>
                <w:sz w:val="22"/>
              </w:rPr>
              <w:t xml:space="preserve">Etc…</w:t>
            </w:r>
          </w:p>
        </w:tc>
      </w:tr>
      <w:tr>
        <w:tc>
          <w:tcPr/>
          <w:p>
            <w:pPr>
              <w:pStyle w:val="Compact"/>
            </w:pPr>
            <w:r>
              <w:rPr>
                <w:rFonts w:ascii="Segoe UI" w:hAnsi="Segoe UI"/>
                <w:sz w:val="22"/>
              </w:rPr>
              <w:t xml:space="preserve">4</w:t>
            </w:r>
          </w:p>
        </w:tc>
        <w:tc>
          <w:tcPr/>
          <w:p>
            <w:pPr>
              <w:pStyle w:val="Compact"/>
            </w:pPr>
            <w:r>
              <w:rPr>
                <w:rFonts w:ascii="Segoe UI" w:hAnsi="Segoe UI"/>
                <w:sz w:val="22"/>
              </w:rPr>
              <w:t xml:space="preserve">Dataflow</w:t>
            </w:r>
          </w:p>
        </w:tc>
        <w:tc>
          <w:tcPr/>
          <w:p>
            <w:pPr>
              <w:pStyle w:val="Compact"/>
            </w:pPr>
            <w:r>
              <w:rPr>
                <w:rFonts w:ascii="Segoe UI" w:hAnsi="Segoe UI"/>
                <w:sz w:val="22"/>
              </w:rPr>
              <w:t xml:space="preserve">StudentAffairs_Bronze_to_Silver_DF</w:t>
            </w:r>
            <w:r>
              <w:rPr>
                <w:rFonts w:ascii="Segoe UI" w:hAnsi="Segoe UI"/>
                <w:sz w:val="22"/>
              </w:rPr>
              <w:t xml:space="preserve">StudentAffairs_Silver_to_Gold_DF</w:t>
            </w:r>
            <w:r>
              <w:rPr>
                <w:rFonts w:ascii="Segoe UI" w:hAnsi="Segoe UI"/>
                <w:sz w:val="22"/>
              </w:rPr>
              <w:t xml:space="preserve">Etc..</w:t>
            </w:r>
          </w:p>
        </w:tc>
      </w:tr>
      <w:tr>
        <w:tc>
          <w:tcPr/>
          <w:p>
            <w:pPr>
              <w:pStyle w:val="Compact"/>
            </w:pPr>
            <w:r>
              <w:rPr>
                <w:rFonts w:ascii="Segoe UI" w:hAnsi="Segoe UI"/>
                <w:sz w:val="22"/>
              </w:rPr>
              <w:t xml:space="preserve">5</w:t>
            </w:r>
          </w:p>
        </w:tc>
        <w:tc>
          <w:tcPr/>
          <w:p>
            <w:pPr>
              <w:pStyle w:val="Compact"/>
            </w:pPr>
            <w:r>
              <w:rPr>
                <w:rFonts w:ascii="Segoe UI" w:hAnsi="Segoe UI"/>
                <w:sz w:val="22"/>
              </w:rPr>
              <w:t xml:space="preserve">Semantic Model</w:t>
            </w:r>
          </w:p>
        </w:tc>
        <w:tc>
          <w:tcPr/>
          <w:p>
            <w:pPr>
              <w:pStyle w:val="Compact"/>
            </w:pPr>
            <w:r>
              <w:rPr>
                <w:rFonts w:ascii="Segoe UI" w:hAnsi="Segoe UI"/>
                <w:sz w:val="22"/>
              </w:rPr>
              <w:t xml:space="preserve">StudentAffairs_StudentPerformance_SM</w:t>
            </w:r>
          </w:p>
        </w:tc>
      </w:tr>
      <w:tr>
        <w:tc>
          <w:tcPr/>
          <w:p>
            <w:pPr>
              <w:pStyle w:val="Compact"/>
            </w:pPr>
            <w:r>
              <w:rPr>
                <w:rFonts w:ascii="Segoe UI" w:hAnsi="Segoe UI"/>
                <w:sz w:val="22"/>
              </w:rPr>
              <w:t xml:space="preserve">6</w:t>
            </w:r>
          </w:p>
        </w:tc>
        <w:tc>
          <w:tcPr/>
          <w:p>
            <w:pPr>
              <w:pStyle w:val="Compact"/>
            </w:pPr>
            <w:r>
              <w:rPr>
                <w:rFonts w:ascii="Segoe UI" w:hAnsi="Segoe UI"/>
                <w:sz w:val="22"/>
              </w:rPr>
              <w:t xml:space="preserve">Pipeline</w:t>
            </w:r>
          </w:p>
        </w:tc>
        <w:tc>
          <w:tcPr/>
          <w:p>
            <w:pPr>
              <w:pStyle w:val="Compact"/>
            </w:pPr>
            <w:r>
              <w:rPr>
                <w:rFonts w:ascii="Segoe UI" w:hAnsi="Segoe UI"/>
                <w:sz w:val="22"/>
              </w:rPr>
              <w:t xml:space="preserve">StudentAffairs_Ingest_Data_PL</w:t>
            </w:r>
            <w:r>
              <w:rPr>
                <w:rFonts w:ascii="Segoe UI" w:hAnsi="Segoe UI"/>
                <w:sz w:val="22"/>
              </w:rPr>
              <w:t xml:space="preserve">Etc..</w:t>
            </w:r>
          </w:p>
        </w:tc>
      </w:tr>
      <w:tr>
        <w:tc>
          <w:tcPr/>
          <w:p>
            <w:pPr>
              <w:pStyle w:val="Compact"/>
            </w:pPr>
            <w:r>
              <w:rPr>
                <w:rFonts w:ascii="Segoe UI" w:hAnsi="Segoe UI"/>
                <w:sz w:val="22"/>
              </w:rPr>
              <w:t xml:space="preserve">7</w:t>
            </w:r>
          </w:p>
        </w:tc>
        <w:tc>
          <w:tcPr/>
          <w:p>
            <w:pPr>
              <w:pStyle w:val="Compact"/>
            </w:pPr>
            <w:r>
              <w:rPr>
                <w:rFonts w:ascii="Segoe UI" w:hAnsi="Segoe UI"/>
                <w:sz w:val="22"/>
              </w:rPr>
              <w:t xml:space="preserve">Report</w:t>
            </w:r>
          </w:p>
        </w:tc>
        <w:tc>
          <w:tcPr/>
          <w:p>
            <w:pPr>
              <w:pStyle w:val="Compact"/>
            </w:pPr>
            <w:r>
              <w:rPr>
                <w:rFonts w:ascii="Segoe UI" w:hAnsi="Segoe UI"/>
                <w:sz w:val="22"/>
              </w:rPr>
              <w:t xml:space="preserve">StudentAffairs_StudentPerformance_Report</w:t>
            </w:r>
          </w:p>
        </w:tc>
      </w:tr>
    </w:tbl>
    <w:bookmarkEnd w:id="61"/>
    <w:bookmarkStart w:id="62" w:name="application-acronyms"/>
    <w:p>
      <w:pPr>
        <w:pStyle w:val="Heading4"/>
      </w:pPr>
      <w:r>
        <w:rPr>
          <w:rFonts w:ascii="Segoe UI" w:hAnsi="Segoe UI"/>
          <w:b w:val="0"/>
          <w:sz w:val="24"/>
        </w:rPr>
        <w:t xml:space="preserve">Application Acronyms</w:t>
      </w:r>
    </w:p>
    <w:tbl>
      <w:tblPr>
        <w:tblStyle w:val="GridTable4-Accent11"/>
        <w:tblW w:type="auto" w:w="0"/>
        <w:tblLayout w:type="autofit"/>
        <w:tblLook w:firstRow="1" w:lastRow="0" w:firstColumn="1" w:lastColumn="0" w:noHBand="0" w:noVBand="1" w:val="04A0"/>
      </w:tblPr>
      <w:tblGrid>
        <w:gridCol w:w="3960"/>
        <w:gridCol w:w="3960"/>
      </w:tblGrid>
      <w:tr>
        <w:trPr>
          <w:tblHeader w:val="on"/>
        </w:trPr>
        <w:tc>
          <w:tcPr/>
          <w:p>
            <w:pPr>
              <w:pStyle w:val="Compact"/>
            </w:pPr>
            <w:r>
              <w:rPr>
                <w:rFonts w:ascii="Segoe UI" w:hAnsi="Segoe UI"/>
                <w:sz w:val="22"/>
              </w:rPr>
              <w:t xml:space="preserve">Acronym</w:t>
            </w:r>
          </w:p>
        </w:tc>
        <w:tc>
          <w:tcPr/>
          <w:p>
            <w:pPr>
              <w:pStyle w:val="Compact"/>
            </w:pPr>
            <w:r>
              <w:rPr>
                <w:rFonts w:ascii="Segoe UI" w:hAnsi="Segoe UI"/>
                <w:sz w:val="22"/>
              </w:rPr>
              <w:t xml:space="preserve">Full Name</w:t>
            </w:r>
          </w:p>
        </w:tc>
      </w:tr>
      <w:tr>
        <w:tc>
          <w:tcPr/>
          <w:p>
            <w:pPr>
              <w:pStyle w:val="Compact"/>
            </w:pPr>
            <w:r>
              <w:rPr>
                <w:rFonts w:ascii="Segoe UI" w:hAnsi="Segoe UI"/>
                <w:sz w:val="22"/>
              </w:rPr>
              <w:t xml:space="preserve">LK</w:t>
            </w:r>
          </w:p>
        </w:tc>
        <w:tc>
          <w:tcPr/>
          <w:p>
            <w:pPr>
              <w:pStyle w:val="Compact"/>
            </w:pPr>
            <w:r>
              <w:rPr>
                <w:rFonts w:ascii="Segoe UI" w:hAnsi="Segoe UI"/>
                <w:sz w:val="22"/>
              </w:rPr>
              <w:t xml:space="preserve">Lakehouse</w:t>
            </w:r>
          </w:p>
        </w:tc>
      </w:tr>
      <w:tr>
        <w:tc>
          <w:tcPr/>
          <w:p>
            <w:pPr>
              <w:pStyle w:val="Compact"/>
            </w:pPr>
            <w:r>
              <w:rPr>
                <w:rFonts w:ascii="Segoe UI" w:hAnsi="Segoe UI"/>
                <w:sz w:val="22"/>
              </w:rPr>
              <w:t xml:space="preserve">DF</w:t>
            </w:r>
          </w:p>
        </w:tc>
        <w:tc>
          <w:tcPr/>
          <w:p>
            <w:pPr>
              <w:pStyle w:val="Compact"/>
            </w:pPr>
            <w:r>
              <w:rPr>
                <w:rFonts w:ascii="Segoe UI" w:hAnsi="Segoe UI"/>
                <w:sz w:val="22"/>
              </w:rPr>
              <w:t xml:space="preserve">Dataflow</w:t>
            </w:r>
          </w:p>
        </w:tc>
      </w:tr>
      <w:tr>
        <w:tc>
          <w:tcPr/>
          <w:p>
            <w:pPr>
              <w:pStyle w:val="Compact"/>
            </w:pPr>
            <w:r>
              <w:rPr>
                <w:rFonts w:ascii="Segoe UI" w:hAnsi="Segoe UI"/>
                <w:sz w:val="22"/>
              </w:rPr>
              <w:t xml:space="preserve">SM</w:t>
            </w:r>
          </w:p>
        </w:tc>
        <w:tc>
          <w:tcPr/>
          <w:p>
            <w:pPr>
              <w:pStyle w:val="Compact"/>
            </w:pPr>
            <w:r>
              <w:rPr>
                <w:rFonts w:ascii="Segoe UI" w:hAnsi="Segoe UI"/>
                <w:sz w:val="22"/>
              </w:rPr>
              <w:t xml:space="preserve">Semantic Model</w:t>
            </w:r>
          </w:p>
        </w:tc>
      </w:tr>
      <w:tr>
        <w:tc>
          <w:tcPr/>
          <w:p>
            <w:pPr>
              <w:pStyle w:val="Compact"/>
            </w:pPr>
            <w:r>
              <w:rPr>
                <w:rFonts w:ascii="Segoe UI" w:hAnsi="Segoe UI"/>
                <w:sz w:val="22"/>
              </w:rPr>
              <w:t xml:space="preserve">PL</w:t>
            </w:r>
          </w:p>
        </w:tc>
        <w:tc>
          <w:tcPr/>
          <w:p>
            <w:pPr>
              <w:pStyle w:val="Compact"/>
            </w:pPr>
            <w:r>
              <w:rPr>
                <w:rFonts w:ascii="Segoe UI" w:hAnsi="Segoe UI"/>
                <w:sz w:val="22"/>
              </w:rPr>
              <w:t xml:space="preserve">Pipeline</w:t>
            </w:r>
          </w:p>
        </w:tc>
      </w:tr>
      <w:tr>
        <w:tc>
          <w:tcPr/>
          <w:p>
            <w:pPr>
              <w:pStyle w:val="Compact"/>
            </w:pPr>
            <w:r>
              <w:rPr>
                <w:rFonts w:ascii="Segoe UI" w:hAnsi="Segoe UI"/>
                <w:sz w:val="22"/>
              </w:rPr>
              <w:t xml:space="preserve">WS</w:t>
            </w:r>
          </w:p>
        </w:tc>
        <w:tc>
          <w:tcPr/>
          <w:p>
            <w:pPr>
              <w:pStyle w:val="Compact"/>
            </w:pPr>
            <w:r>
              <w:rPr>
                <w:rFonts w:ascii="Segoe UI" w:hAnsi="Segoe UI"/>
                <w:sz w:val="22"/>
              </w:rPr>
              <w:t xml:space="preserve">Workspace</w:t>
            </w:r>
          </w:p>
        </w:tc>
      </w:tr>
    </w:tbl>
    <w:bookmarkEnd w:id="62"/>
    <w:bookmarkStart w:id="63" w:name="suggested-tags"/>
    <w:p>
      <w:pPr>
        <w:pStyle w:val="Heading4"/>
      </w:pPr>
      <w:r>
        <w:rPr>
          <w:rFonts w:ascii="Segoe UI" w:hAnsi="Segoe UI"/>
          <w:b w:val="0"/>
          <w:sz w:val="24"/>
        </w:rPr>
        <w:t xml:space="preserve">Suggested Tags</w:t>
      </w:r>
    </w:p>
    <w:tbl>
      <w:tblPr>
        <w:tblStyle w:val="GridTable4-Accent11"/>
        <w:tblW w:type="pct" w:w="5000"/>
        <w:tblLayout w:type="autofit"/>
        <w:tblLook w:firstRow="1" w:lastRow="0" w:firstColumn="1" w:lastColumn="0" w:noHBand="0" w:noVBand="1" w:val="04A0"/>
      </w:tblPr>
      <w:tblGrid>
        <w:gridCol w:w="1584"/>
        <w:gridCol w:w="4118"/>
        <w:gridCol w:w="2217"/>
      </w:tblGrid>
      <w:tr>
        <w:trPr>
          <w:tblHeader w:val="on"/>
        </w:trPr>
        <w:tc>
          <w:tcPr/>
          <w:p>
            <w:pPr>
              <w:pStyle w:val="Compact"/>
            </w:pPr>
            <w:r>
              <w:rPr>
                <w:rFonts w:ascii="Segoe UI" w:hAnsi="Segoe UI"/>
                <w:sz w:val="22"/>
              </w:rPr>
              <w:t xml:space="preserve">Tag Key</w:t>
            </w:r>
          </w:p>
        </w:tc>
        <w:tc>
          <w:tcPr/>
          <w:p>
            <w:pPr>
              <w:pStyle w:val="Compact"/>
            </w:pPr>
            <w:r>
              <w:rPr>
                <w:rFonts w:ascii="Segoe UI" w:hAnsi="Segoe UI"/>
                <w:sz w:val="22"/>
              </w:rPr>
              <w:t xml:space="preserve">Description</w:t>
            </w:r>
          </w:p>
        </w:tc>
        <w:tc>
          <w:tcPr/>
          <w:p>
            <w:pPr>
              <w:pStyle w:val="Compact"/>
            </w:pPr>
            <w:r>
              <w:rPr>
                <w:rFonts w:ascii="Segoe UI" w:hAnsi="Segoe UI"/>
                <w:sz w:val="22"/>
              </w:rPr>
              <w:t xml:space="preserve">Example Value</w:t>
            </w:r>
          </w:p>
        </w:tc>
      </w:tr>
      <w:tr>
        <w:tc>
          <w:tcPr/>
          <w:p>
            <w:pPr>
              <w:pStyle w:val="Compact"/>
            </w:pPr>
            <w:r>
              <w:rPr>
                <w:rFonts w:ascii="Segoe UI" w:hAnsi="Segoe UI"/>
                <w:sz w:val="22"/>
              </w:rPr>
              <w:t xml:space="preserve">Environment</w:t>
            </w:r>
          </w:p>
        </w:tc>
        <w:tc>
          <w:tcPr/>
          <w:p>
            <w:pPr>
              <w:pStyle w:val="Compact"/>
            </w:pPr>
            <w:r>
              <w:rPr>
                <w:rFonts w:ascii="Segoe UI" w:hAnsi="Segoe UI"/>
                <w:sz w:val="22"/>
              </w:rPr>
              <w:t xml:space="preserve">Deployment environment</w:t>
            </w:r>
          </w:p>
        </w:tc>
        <w:tc>
          <w:tcPr/>
          <w:p>
            <w:pPr>
              <w:pStyle w:val="Compact"/>
            </w:pPr>
            <w:r>
              <w:rPr>
                <w:rFonts w:ascii="Segoe UI" w:hAnsi="Segoe UI"/>
                <w:sz w:val="22"/>
              </w:rPr>
              <w:t xml:space="preserve">Production</w:t>
            </w:r>
          </w:p>
        </w:tc>
      </w:tr>
      <w:tr>
        <w:tc>
          <w:tcPr/>
          <w:p>
            <w:pPr>
              <w:pStyle w:val="Compact"/>
            </w:pPr>
            <w:r>
              <w:rPr>
                <w:rFonts w:ascii="Segoe UI" w:hAnsi="Segoe UI"/>
                <w:sz w:val="22"/>
              </w:rPr>
              <w:t xml:space="preserve">Owner</w:t>
            </w:r>
          </w:p>
        </w:tc>
        <w:tc>
          <w:tcPr/>
          <w:p>
            <w:pPr>
              <w:pStyle w:val="Compact"/>
            </w:pPr>
            <w:r>
              <w:rPr>
                <w:rFonts w:ascii="Segoe UI" w:hAnsi="Segoe UI"/>
                <w:sz w:val="22"/>
              </w:rPr>
              <w:t xml:space="preserve">Resource owner</w:t>
            </w:r>
          </w:p>
        </w:tc>
        <w:tc>
          <w:tcPr/>
          <w:p>
            <w:pPr>
              <w:pStyle w:val="Compact"/>
            </w:pPr>
            <w:r>
              <w:rPr>
                <w:rFonts w:ascii="Segoe UI" w:hAnsi="Segoe UI"/>
                <w:sz w:val="22"/>
              </w:rPr>
              <w:t xml:space="preserve">StudentAffairs</w:t>
            </w:r>
          </w:p>
        </w:tc>
      </w:tr>
      <w:tr>
        <w:tc>
          <w:tcPr/>
          <w:p>
            <w:pPr>
              <w:pStyle w:val="Compact"/>
            </w:pPr>
            <w:r>
              <w:rPr>
                <w:rFonts w:ascii="Segoe UI" w:hAnsi="Segoe UI"/>
                <w:sz w:val="22"/>
              </w:rPr>
              <w:t xml:space="preserve">CostCenter</w:t>
            </w:r>
          </w:p>
        </w:tc>
        <w:tc>
          <w:tcPr/>
          <w:p>
            <w:pPr>
              <w:pStyle w:val="Compact"/>
            </w:pPr>
            <w:r>
              <w:rPr>
                <w:rFonts w:ascii="Segoe UI" w:hAnsi="Segoe UI"/>
                <w:sz w:val="22"/>
              </w:rPr>
              <w:t xml:space="preserve">Department or project cost center</w:t>
            </w:r>
          </w:p>
        </w:tc>
        <w:tc>
          <w:tcPr/>
          <w:p>
            <w:pPr>
              <w:pStyle w:val="Compact"/>
            </w:pPr>
            <w:r>
              <w:rPr>
                <w:rFonts w:ascii="Segoe UI" w:hAnsi="Segoe UI"/>
                <w:sz w:val="22"/>
              </w:rPr>
              <w:t xml:space="preserve">SA-2024</w:t>
            </w:r>
          </w:p>
        </w:tc>
      </w:tr>
      <w:tr>
        <w:tc>
          <w:tcPr/>
          <w:p>
            <w:pPr>
              <w:pStyle w:val="Compact"/>
            </w:pPr>
            <w:r>
              <w:rPr>
                <w:rFonts w:ascii="Segoe UI" w:hAnsi="Segoe UI"/>
                <w:sz w:val="22"/>
              </w:rPr>
              <w:t xml:space="preserve">Project</w:t>
            </w:r>
          </w:p>
        </w:tc>
        <w:tc>
          <w:tcPr/>
          <w:p>
            <w:pPr>
              <w:pStyle w:val="Compact"/>
            </w:pPr>
            <w:r>
              <w:rPr>
                <w:rFonts w:ascii="Segoe UI" w:hAnsi="Segoe UI"/>
                <w:sz w:val="22"/>
              </w:rPr>
              <w:t xml:space="preserve">Project name</w:t>
            </w:r>
          </w:p>
        </w:tc>
        <w:tc>
          <w:tcPr/>
          <w:p>
            <w:pPr>
              <w:pStyle w:val="Compact"/>
            </w:pPr>
            <w:r>
              <w:rPr>
                <w:rFonts w:ascii="Segoe UI" w:hAnsi="Segoe UI"/>
                <w:sz w:val="22"/>
              </w:rPr>
              <w:t xml:space="preserve">StudentPerformance</w:t>
            </w:r>
          </w:p>
        </w:tc>
      </w:tr>
      <w:tr>
        <w:tc>
          <w:tcPr/>
          <w:p>
            <w:pPr>
              <w:pStyle w:val="Compact"/>
            </w:pPr>
            <w:r>
              <w:rPr>
                <w:rFonts w:ascii="Segoe UI" w:hAnsi="Segoe UI"/>
                <w:sz w:val="22"/>
              </w:rPr>
              <w:t xml:space="preserve">Compliance</w:t>
            </w:r>
          </w:p>
        </w:tc>
        <w:tc>
          <w:tcPr/>
          <w:p>
            <w:pPr>
              <w:pStyle w:val="Compact"/>
            </w:pPr>
            <w:r>
              <w:rPr>
                <w:rFonts w:ascii="Segoe UI" w:hAnsi="Segoe UI"/>
                <w:sz w:val="22"/>
              </w:rPr>
              <w:t xml:space="preserve">Regulatory compliance status</w:t>
            </w:r>
          </w:p>
        </w:tc>
        <w:tc>
          <w:tcPr/>
          <w:p>
            <w:pPr>
              <w:pStyle w:val="Compact"/>
            </w:pPr>
            <w:r>
              <w:rPr>
                <w:rFonts w:ascii="Segoe UI" w:hAnsi="Segoe UI"/>
                <w:sz w:val="22"/>
              </w:rPr>
              <w:t xml:space="preserve">MY-PII</w:t>
            </w:r>
          </w:p>
        </w:tc>
      </w:tr>
    </w:tbl>
    <w:p>
      <w:pPr>
        <w:pStyle w:val="BodyText"/>
        <w:jc w:val="both"/>
      </w:pPr>
      <w:r>
        <w:rPr>
          <w:rFonts w:ascii="Segoe UI" w:hAnsi="Segoe UI"/>
          <w:sz w:val="22"/>
        </w:rPr>
        <w:t xml:space="preserve">These conventions streamline resource management and support UMS’s operational and compliance objectives.</w:t>
      </w:r>
    </w:p>
    <w:bookmarkEnd w:id="63"/>
    <w:bookmarkEnd w:id="64"/>
    <w:bookmarkEnd w:id="65"/>
    <w:bookmarkStart w:id="68" w:name="governance-consideration"/>
    <w:p>
      <w:pPr>
        <w:pStyle w:val="Heading2"/>
      </w:pPr>
      <w:r>
        <w:rPr>
          <w:rFonts w:ascii="Segoe UI" w:hAnsi="Segoe UI"/>
          <w:b w:val="0"/>
          <w:sz w:val="28"/>
        </w:rPr>
        <w:t xml:space="preserve">5.8 Governance Consideration</w:t>
      </w:r>
    </w:p>
    <w:p>
      <w:pPr>
        <w:pStyle w:val="FirstParagraph"/>
        <w:jc w:val="both"/>
      </w:pPr>
      <w:r>
        <w:rPr>
          <w:rFonts w:ascii="Segoe UI" w:hAnsi="Segoe UI"/>
          <w:sz w:val="22"/>
        </w:rPr>
        <w:t xml:space="preserve">UMS shall enforce governance disciplines across Microsoft Fabric resources to ensure cost control, compliance, and operational integrity.</w:t>
      </w:r>
    </w:p>
    <w:bookmarkStart w:id="66" w:name="Xb2fc54fb4426b2493ed566a2caca0b05d503098"/>
    <w:p>
      <w:pPr>
        <w:pStyle w:val="Heading3"/>
      </w:pPr>
      <w:r>
        <w:rPr>
          <w:rFonts w:ascii="Segoe UI" w:hAnsi="Segoe UI"/>
          <w:b w:val="0"/>
          <w:sz w:val="26"/>
        </w:rPr>
        <w:t xml:space="preserve">Governance Disciplines with Cost Management Tools</w:t>
      </w:r>
    </w:p>
    <w:p>
      <w:pPr>
        <w:pStyle w:val="FirstParagraph"/>
        <w:jc w:val="both"/>
      </w:pPr>
      <w:r>
        <w:rPr>
          <w:rFonts w:ascii="Segoe UI" w:hAnsi="Segoe UI"/>
          <w:sz w:val="22"/>
        </w:rPr>
        <w:t xml:space="preserve">UMS will leverage Azure-native tools for cost management, policy enforcement, and resource optimization. The following table summarizes key tools and their governance discipline:</w:t>
      </w:r>
    </w:p>
    <w:tbl>
      <w:tblPr>
        <w:tblStyle w:val="GridTable4-Accent11"/>
        <w:tblW w:type="pct" w:w="5000"/>
        <w:tblLayout w:type="autofit"/>
        <w:tblLook w:firstRow="1" w:lastRow="0" w:firstColumn="1" w:lastColumn="0" w:noHBand="0" w:noVBand="1" w:val="04A0"/>
      </w:tblPr>
      <w:tblGrid>
        <w:gridCol w:w="1632"/>
        <w:gridCol w:w="3919"/>
        <w:gridCol w:w="2367"/>
      </w:tblGrid>
      <w:tr>
        <w:trPr>
          <w:tblHeader w:val="on"/>
        </w:trPr>
        <w:tc>
          <w:tcPr/>
          <w:p>
            <w:pPr>
              <w:pStyle w:val="Compact"/>
            </w:pPr>
            <w:r>
              <w:rPr>
                <w:rFonts w:ascii="Segoe UI" w:hAnsi="Segoe UI"/>
                <w:sz w:val="22"/>
              </w:rPr>
              <w:t xml:space="preserve">Azure Tool</w:t>
            </w:r>
          </w:p>
        </w:tc>
        <w:tc>
          <w:tcPr/>
          <w:p>
            <w:pPr>
              <w:pStyle w:val="Compact"/>
            </w:pPr>
            <w:r>
              <w:rPr>
                <w:rFonts w:ascii="Segoe UI" w:hAnsi="Segoe UI"/>
                <w:sz w:val="22"/>
              </w:rPr>
              <w:t xml:space="preserve">Description</w:t>
            </w:r>
          </w:p>
        </w:tc>
        <w:tc>
          <w:tcPr/>
          <w:p>
            <w:pPr>
              <w:pStyle w:val="Compact"/>
            </w:pPr>
            <w:r>
              <w:rPr>
                <w:rFonts w:ascii="Segoe UI" w:hAnsi="Segoe UI"/>
                <w:sz w:val="22"/>
              </w:rPr>
              <w:t xml:space="preserve">Cost Management Discipline</w:t>
            </w:r>
          </w:p>
        </w:tc>
      </w:tr>
      <w:tr>
        <w:tc>
          <w:tcPr/>
          <w:p>
            <w:pPr>
              <w:pStyle w:val="Compact"/>
            </w:pPr>
            <w:r>
              <w:rPr>
                <w:rFonts w:ascii="Segoe UI" w:hAnsi="Segoe UI"/>
                <w:sz w:val="22"/>
              </w:rPr>
              <w:t xml:space="preserve">Azure Cost Management</w:t>
            </w:r>
          </w:p>
        </w:tc>
        <w:tc>
          <w:tcPr/>
          <w:p>
            <w:pPr>
              <w:pStyle w:val="Compact"/>
            </w:pPr>
            <w:r>
              <w:rPr>
                <w:rFonts w:ascii="Segoe UI" w:hAnsi="Segoe UI"/>
                <w:sz w:val="22"/>
              </w:rPr>
              <w:t xml:space="preserve">Budget tracking, spend analysis, forecasting</w:t>
            </w:r>
          </w:p>
        </w:tc>
        <w:tc>
          <w:tcPr/>
          <w:p>
            <w:pPr>
              <w:pStyle w:val="Compact"/>
            </w:pPr>
            <w:r>
              <w:rPr>
                <w:rFonts w:ascii="Segoe UI" w:hAnsi="Segoe UI"/>
                <w:sz w:val="22"/>
              </w:rPr>
              <w:t xml:space="preserve">Cost Control</w:t>
            </w:r>
          </w:p>
        </w:tc>
      </w:tr>
      <w:tr>
        <w:tc>
          <w:tcPr/>
          <w:p>
            <w:pPr>
              <w:pStyle w:val="Compact"/>
            </w:pPr>
            <w:r>
              <w:rPr>
                <w:rFonts w:ascii="Segoe UI" w:hAnsi="Segoe UI"/>
                <w:sz w:val="22"/>
              </w:rPr>
              <w:t xml:space="preserve">Azure Policy</w:t>
            </w:r>
          </w:p>
        </w:tc>
        <w:tc>
          <w:tcPr/>
          <w:p>
            <w:pPr>
              <w:pStyle w:val="Compact"/>
            </w:pPr>
            <w:r>
              <w:rPr>
                <w:rFonts w:ascii="Segoe UI" w:hAnsi="Segoe UI"/>
                <w:sz w:val="22"/>
              </w:rPr>
              <w:t xml:space="preserve">Resource compliance enforcement</w:t>
            </w:r>
          </w:p>
        </w:tc>
        <w:tc>
          <w:tcPr/>
          <w:p>
            <w:pPr>
              <w:pStyle w:val="Compact"/>
            </w:pPr>
            <w:r>
              <w:rPr>
                <w:rFonts w:ascii="Segoe UI" w:hAnsi="Segoe UI"/>
                <w:sz w:val="22"/>
              </w:rPr>
              <w:t xml:space="preserve">Compliance</w:t>
            </w:r>
          </w:p>
        </w:tc>
      </w:tr>
      <w:tr>
        <w:tc>
          <w:tcPr/>
          <w:p>
            <w:pPr>
              <w:pStyle w:val="Compact"/>
            </w:pPr>
            <w:r>
              <w:rPr>
                <w:rFonts w:ascii="Segoe UI" w:hAnsi="Segoe UI"/>
                <w:sz w:val="22"/>
              </w:rPr>
              <w:t xml:space="preserve">Azure Advisor</w:t>
            </w:r>
          </w:p>
        </w:tc>
        <w:tc>
          <w:tcPr/>
          <w:p>
            <w:pPr>
              <w:pStyle w:val="Compact"/>
            </w:pPr>
            <w:r>
              <w:rPr>
                <w:rFonts w:ascii="Segoe UI" w:hAnsi="Segoe UI"/>
                <w:sz w:val="22"/>
              </w:rPr>
              <w:t xml:space="preserve">Resource optimization and recommendations</w:t>
            </w:r>
          </w:p>
        </w:tc>
        <w:tc>
          <w:tcPr/>
          <w:p>
            <w:pPr>
              <w:pStyle w:val="Compact"/>
            </w:pPr>
            <w:r>
              <w:rPr>
                <w:rFonts w:ascii="Segoe UI" w:hAnsi="Segoe UI"/>
                <w:sz w:val="22"/>
              </w:rPr>
              <w:t xml:space="preserve">Optimization</w:t>
            </w:r>
          </w:p>
        </w:tc>
      </w:tr>
      <w:tr>
        <w:tc>
          <w:tcPr/>
          <w:p>
            <w:pPr>
              <w:pStyle w:val="Compact"/>
            </w:pPr>
            <w:r>
              <w:rPr>
                <w:rFonts w:ascii="Segoe UI" w:hAnsi="Segoe UI"/>
                <w:sz w:val="22"/>
              </w:rPr>
              <w:t xml:space="preserve">Azure Monitor</w:t>
            </w:r>
          </w:p>
        </w:tc>
        <w:tc>
          <w:tcPr/>
          <w:p>
            <w:pPr>
              <w:pStyle w:val="Compact"/>
            </w:pPr>
            <w:r>
              <w:rPr>
                <w:rFonts w:ascii="Segoe UI" w:hAnsi="Segoe UI"/>
                <w:sz w:val="22"/>
              </w:rPr>
              <w:t xml:space="preserve">Resource usage and performance monitoring</w:t>
            </w:r>
          </w:p>
        </w:tc>
        <w:tc>
          <w:tcPr/>
          <w:p>
            <w:pPr>
              <w:pStyle w:val="Compact"/>
            </w:pPr>
            <w:r>
              <w:rPr>
                <w:rFonts w:ascii="Segoe UI" w:hAnsi="Segoe UI"/>
                <w:sz w:val="22"/>
              </w:rPr>
              <w:t xml:space="preserve">Monitoring</w:t>
            </w:r>
          </w:p>
        </w:tc>
      </w:tr>
    </w:tbl>
    <w:p>
      <w:pPr>
        <w:pStyle w:val="BodyText"/>
        <w:jc w:val="both"/>
      </w:pPr>
      <w:r>
        <w:rPr>
          <w:rFonts w:ascii="Segoe UI" w:hAnsi="Segoe UI"/>
          <w:sz w:val="22"/>
        </w:rPr>
        <w:t xml:space="preserve">These tools enable UMS to proactively manage resources, enforce policies, and optimize spending.</w:t>
      </w:r>
    </w:p>
    <w:bookmarkEnd w:id="66"/>
    <w:bookmarkStart w:id="67" w:name="violation-triggers-and-actions"/>
    <w:p>
      <w:pPr>
        <w:pStyle w:val="Heading3"/>
      </w:pPr>
      <w:r>
        <w:rPr>
          <w:rFonts w:ascii="Segoe UI" w:hAnsi="Segoe UI"/>
          <w:b w:val="0"/>
          <w:sz w:val="26"/>
        </w:rPr>
        <w:t xml:space="preserve">Violation Triggers and Actions</w:t>
      </w:r>
    </w:p>
    <w:p>
      <w:pPr>
        <w:pStyle w:val="FirstParagraph"/>
        <w:jc w:val="both"/>
      </w:pPr>
      <w:r>
        <w:rPr>
          <w:rFonts w:ascii="Segoe UI" w:hAnsi="Segoe UI"/>
          <w:sz w:val="22"/>
        </w:rPr>
        <w:t xml:space="preserve">UMS shall define triggers for policy violations and corresponding actions to maintain governance and mitigate risks. The following table outlines these triggers and actions:</w:t>
      </w:r>
    </w:p>
    <w:tbl>
      <w:tblPr>
        <w:tblStyle w:val="GridTable4-Accent11"/>
        <w:tblW w:type="pct" w:w="5000"/>
        <w:tblLayout w:type="autofit"/>
        <w:tblLook w:firstRow="1" w:lastRow="0" w:firstColumn="1" w:lastColumn="0" w:noHBand="0" w:noVBand="1" w:val="04A0"/>
      </w:tblPr>
      <w:tblGrid>
        <w:gridCol w:w="3912"/>
        <w:gridCol w:w="4007"/>
      </w:tblGrid>
      <w:tr>
        <w:trPr>
          <w:tblHeader w:val="on"/>
        </w:trPr>
        <w:tc>
          <w:tcPr/>
          <w:p>
            <w:pPr>
              <w:pStyle w:val="Compact"/>
            </w:pPr>
            <w:r>
              <w:rPr>
                <w:rFonts w:ascii="Segoe UI" w:hAnsi="Segoe UI"/>
                <w:sz w:val="22"/>
              </w:rPr>
              <w:t xml:space="preserve">Trigger</w:t>
            </w:r>
          </w:p>
        </w:tc>
        <w:tc>
          <w:tcPr/>
          <w:p>
            <w:pPr>
              <w:pStyle w:val="Compact"/>
            </w:pPr>
            <w:r>
              <w:rPr>
                <w:rFonts w:ascii="Segoe UI" w:hAnsi="Segoe UI"/>
                <w:sz w:val="22"/>
              </w:rPr>
              <w:t xml:space="preserve">Action</w:t>
            </w:r>
          </w:p>
        </w:tc>
      </w:tr>
      <w:tr>
        <w:tc>
          <w:tcPr/>
          <w:p>
            <w:pPr>
              <w:pStyle w:val="Compact"/>
            </w:pPr>
            <w:r>
              <w:rPr>
                <w:rFonts w:ascii="Segoe UI" w:hAnsi="Segoe UI"/>
                <w:sz w:val="22"/>
              </w:rPr>
              <w:t xml:space="preserve">Budget threshold exceeded</w:t>
            </w:r>
          </w:p>
        </w:tc>
        <w:tc>
          <w:tcPr/>
          <w:p>
            <w:pPr>
              <w:pStyle w:val="Compact"/>
            </w:pPr>
            <w:r>
              <w:rPr>
                <w:rFonts w:ascii="Segoe UI" w:hAnsi="Segoe UI"/>
                <w:sz w:val="22"/>
              </w:rPr>
              <w:t xml:space="preserve">Notify owner, initiate cost review</w:t>
            </w:r>
          </w:p>
        </w:tc>
      </w:tr>
      <w:tr>
        <w:tc>
          <w:tcPr/>
          <w:p>
            <w:pPr>
              <w:pStyle w:val="Compact"/>
            </w:pPr>
            <w:r>
              <w:rPr>
                <w:rFonts w:ascii="Segoe UI" w:hAnsi="Segoe UI"/>
                <w:sz w:val="22"/>
              </w:rPr>
              <w:t xml:space="preserve">Non-compliant resource detected</w:t>
            </w:r>
          </w:p>
        </w:tc>
        <w:tc>
          <w:tcPr/>
          <w:p>
            <w:pPr>
              <w:pStyle w:val="Compact"/>
            </w:pPr>
            <w:r>
              <w:rPr>
                <w:rFonts w:ascii="Segoe UI" w:hAnsi="Segoe UI"/>
                <w:sz w:val="22"/>
              </w:rPr>
              <w:t xml:space="preserve">Auto-remediate or escalate to admin</w:t>
            </w:r>
          </w:p>
        </w:tc>
      </w:tr>
      <w:tr>
        <w:tc>
          <w:tcPr/>
          <w:p>
            <w:pPr>
              <w:pStyle w:val="Compact"/>
            </w:pPr>
            <w:r>
              <w:rPr>
                <w:rFonts w:ascii="Segoe UI" w:hAnsi="Segoe UI"/>
                <w:sz w:val="22"/>
              </w:rPr>
              <w:t xml:space="preserve">Unauthorized access attempt</w:t>
            </w:r>
          </w:p>
        </w:tc>
        <w:tc>
          <w:tcPr/>
          <w:p>
            <w:pPr>
              <w:pStyle w:val="Compact"/>
            </w:pPr>
            <w:r>
              <w:rPr>
                <w:rFonts w:ascii="Segoe UI" w:hAnsi="Segoe UI"/>
                <w:sz w:val="22"/>
              </w:rPr>
              <w:t xml:space="preserve">Block access, alert security team</w:t>
            </w:r>
          </w:p>
        </w:tc>
      </w:tr>
      <w:tr>
        <w:tc>
          <w:tcPr/>
          <w:p>
            <w:pPr>
              <w:pStyle w:val="Compact"/>
            </w:pPr>
            <w:r>
              <w:rPr>
                <w:rFonts w:ascii="Segoe UI" w:hAnsi="Segoe UI"/>
                <w:sz w:val="22"/>
              </w:rPr>
              <w:t xml:space="preserve">Resource performance degradation</w:t>
            </w:r>
          </w:p>
        </w:tc>
        <w:tc>
          <w:tcPr/>
          <w:p>
            <w:pPr>
              <w:pStyle w:val="Compact"/>
            </w:pPr>
            <w:r>
              <w:rPr>
                <w:rFonts w:ascii="Segoe UI" w:hAnsi="Segoe UI"/>
                <w:sz w:val="22"/>
              </w:rPr>
              <w:t xml:space="preserve">Scale resources, notify operations</w:t>
            </w:r>
          </w:p>
        </w:tc>
      </w:tr>
    </w:tbl>
    <w:p>
      <w:pPr>
        <w:pStyle w:val="BodyText"/>
        <w:jc w:val="both"/>
      </w:pPr>
      <w:r>
        <w:rPr>
          <w:rFonts w:ascii="Segoe UI" w:hAnsi="Segoe UI"/>
          <w:sz w:val="22"/>
        </w:rPr>
        <w:t xml:space="preserve">This framework ensures UMS’s Fabric environment remains secure, compliant, and cost-effective.</w:t>
      </w:r>
    </w:p>
    <w:bookmarkEnd w:id="67"/>
    <w:bookmarkEnd w:id="68"/>
    <w:bookmarkStart w:id="69" w:name="multi-factor-authentication"/>
    <w:p>
      <w:pPr>
        <w:pStyle w:val="Heading2"/>
      </w:pPr>
      <w:r>
        <w:rPr>
          <w:rFonts w:ascii="Segoe UI" w:hAnsi="Segoe UI"/>
          <w:b w:val="0"/>
          <w:sz w:val="28"/>
        </w:rPr>
        <w:t xml:space="preserve">5.9 Multi-Factor Authentication</w:t>
      </w:r>
    </w:p>
    <w:p>
      <w:pPr>
        <w:pStyle w:val="FirstParagraph"/>
        <w:jc w:val="both"/>
      </w:pPr>
      <w:r>
        <w:rPr>
          <w:rFonts w:ascii="Segoe UI" w:hAnsi="Segoe UI"/>
          <w:sz w:val="22"/>
        </w:rPr>
        <w:t xml:space="preserve">UMS shall enforce Multi-Factor Authentication (MFA) at the tenant level for all Microsoft Fabric users. This decision is driven by the inability to implement Conditional Access policies with the current Entra ID Free licensing. Tenant-level MFA provides robust protection against credential-based attacks and ensures that only authorized users can access sensitive data and analytics resources. UMS’s IT administrators will monitor MFA enrollment and compliance, ensuring every user completes secondary authentication during sign-in. This approach aligns with security best practices and regulatory requirements, offering a scalable, cost-effective solution until Conditional Access becomes available through future licensing upgrades.</w:t>
      </w:r>
    </w:p>
    <w:bookmarkEnd w:id="69"/>
    <w:bookmarkEnd w:id="70"/>
    <w:bookmarkStart w:id="74" w:name="security-design-and-decision"/>
    <w:p>
      <w:pPr>
        <w:pStyle w:val="Heading1"/>
        <w:pageBreakBefore/>
      </w:pPr>
      <w:r>
        <w:rPr>
          <w:rFonts w:ascii="Segoe UI" w:hAnsi="Segoe UI"/>
          <w:b w:val="0"/>
          <w:sz w:val="30"/>
        </w:rPr>
        <w:t xml:space="preserve">6.0 Security Design and Decision</w:t>
      </w:r>
    </w:p>
    <w:p>
      <w:pPr>
        <w:pStyle w:val="FirstParagraph"/>
        <w:jc w:val="both"/>
      </w:pPr>
      <w:r>
        <w:rPr>
          <w:rFonts w:ascii="Segoe UI" w:hAnsi="Segoe UI"/>
          <w:sz w:val="22"/>
        </w:rPr>
        <w:t xml:space="preserve">This section outlines Universiti Malaysia Sabah’s (UMS) network security and encryption strategy for the Azure-hosted On-Premises Data Gateway (OPDG) connecting to Microsoft Fabric and Power BI.</w:t>
      </w:r>
    </w:p>
    <w:bookmarkStart w:id="72" w:name="azure-nsg-overview"/>
    <w:p>
      <w:pPr>
        <w:pStyle w:val="Heading2"/>
      </w:pPr>
      <w:r>
        <w:rPr>
          <w:rFonts w:ascii="Segoe UI" w:hAnsi="Segoe UI"/>
          <w:b w:val="0"/>
          <w:sz w:val="28"/>
        </w:rPr>
        <w:t xml:space="preserve">6.1 Azure NSG Overview</w:t>
      </w:r>
    </w:p>
    <w:p>
      <w:pPr>
        <w:pStyle w:val="FirstParagraph"/>
        <w:jc w:val="both"/>
      </w:pPr>
      <w:r>
        <w:rPr>
          <w:rFonts w:ascii="Segoe UI" w:hAnsi="Segoe UI"/>
          <w:sz w:val="22"/>
        </w:rPr>
        <w:t xml:space="preserve">UMS shall implement Azure Network Security Groups (NSGs) to enforce strict outbound connectivity controls for the OPDG virtual machine. This approach aligns with Azure networking best practices, ensuring only essential, secure traffic is permitted from the gateway VM to Microsoft cloud endpoints. By restricting outbound traffic via NSG rules, UMS mitigates the risk of unauthorized data exfiltration and maintains compliance with institutional security policies.</w:t>
      </w:r>
    </w:p>
    <w:p>
      <w:pPr>
        <w:pStyle w:val="BodyText"/>
        <w:jc w:val="both"/>
      </w:pPr>
      <w:r>
        <w:rPr>
          <w:rFonts w:ascii="Segoe UI" w:hAnsi="Segoe UI"/>
          <w:sz w:val="22"/>
        </w:rPr>
        <w:t xml:space="preserve">The design mandates that all outbound traffic from the OPDG VM is limited to Microsoft services required for authentication, data transfer, and operational health checks. Each rule is crafted to allow only the minimum necessary access, supporting the principle of least privilege and reducing the attack surface.</w:t>
      </w:r>
    </w:p>
    <w:bookmarkStart w:id="71" w:name="outbound-rules"/>
    <w:p>
      <w:pPr>
        <w:pStyle w:val="Heading3"/>
      </w:pPr>
      <w:r>
        <w:rPr>
          <w:rFonts w:ascii="Segoe UI" w:hAnsi="Segoe UI"/>
          <w:b w:val="0"/>
          <w:sz w:val="26"/>
        </w:rPr>
        <w:t xml:space="preserve">Outbound Rules</w:t>
      </w:r>
    </w:p>
    <w:p>
      <w:pPr>
        <w:pStyle w:val="FirstParagraph"/>
        <w:jc w:val="both"/>
      </w:pPr>
      <w:r>
        <w:rPr>
          <w:rFonts w:ascii="Segoe UI" w:hAnsi="Segoe UI"/>
          <w:sz w:val="22"/>
        </w:rPr>
        <w:t xml:space="preserve">The following table details the outbound NSG rules that UMS shall configure for the OPDG VM. These rules are critical to enable secure communication, authentication, and connectivity verification with Microsoft Fabric, Power BI, and related cloud services.</w:t>
      </w:r>
    </w:p>
    <w:tbl>
      <w:tblPr>
        <w:tblStyle w:val="GridTable4-Accent11"/>
        <w:tblW w:type="pct" w:w="5000"/>
        <w:tblLayout w:type="autofit"/>
        <w:tblLook w:firstRow="1" w:lastRow="0" w:firstColumn="1" w:lastColumn="0" w:noHBand="0" w:noVBand="1" w:val="04A0"/>
      </w:tblPr>
      <w:tblGrid>
        <w:gridCol w:w="894"/>
        <w:gridCol w:w="331"/>
        <w:gridCol w:w="762"/>
        <w:gridCol w:w="463"/>
        <w:gridCol w:w="4241"/>
        <w:gridCol w:w="629"/>
        <w:gridCol w:w="331"/>
        <w:gridCol w:w="265"/>
      </w:tblGrid>
      <w:tr>
        <w:trPr>
          <w:tblHeader w:val="on"/>
        </w:trPr>
        <w:tc>
          <w:tcPr/>
          <w:p>
            <w:pPr>
              <w:pStyle w:val="Compact"/>
            </w:pPr>
            <w:r>
              <w:rPr>
                <w:rFonts w:ascii="Segoe UI" w:hAnsi="Segoe UI"/>
                <w:sz w:val="22"/>
              </w:rPr>
              <w:t xml:space="preserve">Name</w:t>
            </w:r>
          </w:p>
        </w:tc>
        <w:tc>
          <w:tcPr/>
          <w:p>
            <w:pPr>
              <w:pStyle w:val="Compact"/>
            </w:pPr>
            <w:r>
              <w:rPr>
                <w:rFonts w:ascii="Segoe UI" w:hAnsi="Segoe UI"/>
                <w:sz w:val="22"/>
              </w:rPr>
              <w:t xml:space="preserve">Priority</w:t>
            </w:r>
          </w:p>
        </w:tc>
        <w:tc>
          <w:tcPr/>
          <w:p>
            <w:pPr>
              <w:pStyle w:val="Compact"/>
            </w:pPr>
            <w:r>
              <w:rPr>
                <w:rFonts w:ascii="Segoe UI" w:hAnsi="Segoe UI"/>
                <w:sz w:val="22"/>
              </w:rPr>
              <w:t xml:space="preserve">Source</w:t>
            </w:r>
          </w:p>
        </w:tc>
        <w:tc>
          <w:tcPr/>
          <w:p>
            <w:pPr>
              <w:pStyle w:val="Compact"/>
            </w:pPr>
            <w:r>
              <w:rPr>
                <w:rFonts w:ascii="Segoe UI" w:hAnsi="Segoe UI"/>
                <w:sz w:val="22"/>
              </w:rPr>
              <w:t xml:space="preserve">Source Ports</w:t>
            </w:r>
          </w:p>
        </w:tc>
        <w:tc>
          <w:tcPr/>
          <w:p>
            <w:pPr>
              <w:pStyle w:val="Compact"/>
            </w:pPr>
            <w:r>
              <w:rPr>
                <w:rFonts w:ascii="Segoe UI" w:hAnsi="Segoe UI"/>
                <w:sz w:val="22"/>
              </w:rPr>
              <w:t xml:space="preserve">Destination</w:t>
            </w:r>
          </w:p>
        </w:tc>
        <w:tc>
          <w:tcPr/>
          <w:p>
            <w:pPr>
              <w:pStyle w:val="Compact"/>
            </w:pPr>
            <w:r>
              <w:rPr>
                <w:rFonts w:ascii="Segoe UI" w:hAnsi="Segoe UI"/>
                <w:sz w:val="22"/>
              </w:rPr>
              <w:t xml:space="preserve">Destination Ports</w:t>
            </w:r>
          </w:p>
        </w:tc>
        <w:tc>
          <w:tcPr/>
          <w:p>
            <w:pPr>
              <w:pStyle w:val="Compact"/>
            </w:pPr>
            <w:r>
              <w:rPr>
                <w:rFonts w:ascii="Segoe UI" w:hAnsi="Segoe UI"/>
                <w:sz w:val="22"/>
              </w:rPr>
              <w:t xml:space="preserve">Protocol</w:t>
            </w:r>
          </w:p>
        </w:tc>
        <w:tc>
          <w:tcPr/>
          <w:p>
            <w:pPr>
              <w:pStyle w:val="Compact"/>
            </w:pPr>
            <w:r>
              <w:rPr>
                <w:rFonts w:ascii="Segoe UI" w:hAnsi="Segoe UI"/>
                <w:sz w:val="22"/>
              </w:rPr>
              <w:t xml:space="preserve">Access</w:t>
            </w:r>
          </w:p>
        </w:tc>
      </w:tr>
      <w:tr>
        <w:tc>
          <w:tcPr/>
          <w:p>
            <w:pPr>
              <w:pStyle w:val="Compact"/>
            </w:pPr>
            <w:r>
              <w:rPr>
                <w:rFonts w:ascii="Segoe UI" w:hAnsi="Segoe UI"/>
                <w:sz w:val="22"/>
              </w:rPr>
              <w:t xml:space="preserve">Allow_OPDG_HTTPS_Services</w:t>
            </w:r>
          </w:p>
        </w:tc>
        <w:tc>
          <w:tcPr/>
          <w:p>
            <w:pPr>
              <w:pStyle w:val="Compact"/>
            </w:pPr>
            <w:r>
              <w:rPr>
                <w:rFonts w:ascii="Segoe UI" w:hAnsi="Segoe UI"/>
                <w:sz w:val="22"/>
              </w:rPr>
              <w:t xml:space="preserve">130</w:t>
            </w:r>
          </w:p>
        </w:tc>
        <w:tc>
          <w:tcPr/>
          <w:p>
            <w:pPr>
              <w:pStyle w:val="Compact"/>
            </w:pPr>
            <w:r>
              <w:rPr>
                <w:rFonts w:ascii="Segoe UI" w:hAnsi="Segoe UI"/>
                <w:sz w:val="22"/>
              </w:rPr>
              <w:t xml:space="preserve">VM Private IP Addresses</w:t>
            </w:r>
          </w:p>
        </w:tc>
        <w:tc>
          <w:tcPr/>
          <w:p>
            <w:pPr>
              <w:pStyle w:val="Compact"/>
            </w:pPr>
            <w:r>
              <w:rPr>
                <w:rFonts w:ascii="Segoe UI" w:hAnsi="Segoe UI"/>
                <w:sz w:val="22"/>
              </w:rPr>
              <w:t xml:space="preserve">*</w:t>
            </w:r>
          </w:p>
        </w:tc>
        <w:tc>
          <w:tcPr/>
          <w:p>
            <w:pPr>
              <w:pStyle w:val="Compact"/>
            </w:pPr>
            <w:r>
              <w:rPr>
                <w:rFonts w:ascii="Segoe UI" w:hAnsi="Segoe UI"/>
                <w:i/>
                <w:iCs/>
                <w:sz w:val="22"/>
              </w:rPr>
              <w:t xml:space="preserve">.servicebus.windows.net,</w:t>
            </w:r>
            <w:r>
              <w:rPr>
                <w:rFonts w:ascii="Segoe UI" w:hAnsi="Segoe UI"/>
                <w:i/>
                <w:iCs/>
                <w:sz w:val="22"/>
              </w:rPr>
              <w:t xml:space="preserve"> </w:t>
            </w:r>
            <w:r>
              <w:rPr>
                <w:rFonts w:ascii="Segoe UI" w:hAnsi="Segoe UI"/>
                <w:sz w:val="22"/>
              </w:rPr>
              <w:t xml:space="preserve">.download.microsoft.com,</w:t>
            </w:r>
            <w:r>
              <w:rPr>
                <w:rFonts w:ascii="Segoe UI" w:hAnsi="Segoe UI"/>
                <w:sz w:val="22"/>
              </w:rPr>
              <w:t xml:space="preserve"> </w:t>
            </w:r>
            <w:r>
              <w:rPr>
                <w:rFonts w:ascii="Segoe UI" w:hAnsi="Segoe UI"/>
                <w:i/>
                <w:iCs/>
                <w:sz w:val="22"/>
              </w:rPr>
              <w:t xml:space="preserve">.core.windows.net,</w:t>
            </w:r>
            <w:r>
              <w:rPr>
                <w:rFonts w:ascii="Segoe UI" w:hAnsi="Segoe UI"/>
                <w:i/>
                <w:iCs/>
                <w:sz w:val="22"/>
              </w:rPr>
              <w:t xml:space="preserve"> </w:t>
            </w:r>
            <w:r>
              <w:rPr>
                <w:rFonts w:ascii="Segoe UI" w:hAnsi="Segoe UI"/>
                <w:sz w:val="22"/>
              </w:rPr>
              <w:t xml:space="preserve">.frontend.clouddatahub.net,</w:t>
            </w:r>
            <w:r>
              <w:rPr>
                <w:rFonts w:ascii="Segoe UI" w:hAnsi="Segoe UI"/>
                <w:sz w:val="22"/>
              </w:rPr>
              <w:t xml:space="preserve"> </w:t>
            </w:r>
            <w:r>
              <w:rPr>
                <w:rFonts w:ascii="Segoe UI" w:hAnsi="Segoe UI"/>
                <w:i/>
                <w:iCs/>
                <w:sz w:val="22"/>
              </w:rPr>
              <w:t xml:space="preserve">.dfs.fabric.microsoft.com,</w:t>
            </w:r>
            <w:r>
              <w:rPr>
                <w:rFonts w:ascii="Segoe UI" w:hAnsi="Segoe UI"/>
                <w:i/>
                <w:iCs/>
                <w:sz w:val="22"/>
              </w:rPr>
              <w:t xml:space="preserve"> </w:t>
            </w:r>
            <w:r>
              <w:rPr>
                <w:rFonts w:ascii="Segoe UI" w:hAnsi="Segoe UI"/>
                <w:sz w:val="22"/>
              </w:rPr>
              <w:t xml:space="preserve">.datawarehouse.fabric.microsoft.com,</w:t>
            </w:r>
            <w:r>
              <w:rPr>
                <w:rFonts w:ascii="Segoe UI" w:hAnsi="Segoe UI"/>
                <w:sz w:val="22"/>
              </w:rPr>
              <w:t xml:space="preserve"> </w:t>
            </w:r>
            <w:r>
              <w:rPr>
                <w:rFonts w:ascii="Segoe UI" w:hAnsi="Segoe UI"/>
                <w:i/>
                <w:iCs/>
                <w:sz w:val="22"/>
              </w:rPr>
              <w:t xml:space="preserve">.powerbi.com,</w:t>
            </w:r>
            <w:r>
              <w:rPr>
                <w:rFonts w:ascii="Segoe UI" w:hAnsi="Segoe UI"/>
                <w:i/>
                <w:iCs/>
                <w:sz w:val="22"/>
              </w:rPr>
              <w:t xml:space="preserve"> </w:t>
            </w:r>
            <w:r>
              <w:rPr>
                <w:rFonts w:ascii="Segoe UI" w:hAnsi="Segoe UI"/>
                <w:sz w:val="22"/>
              </w:rPr>
              <w:t xml:space="preserve">.analysis.windows.net</w:t>
            </w:r>
          </w:p>
        </w:tc>
        <w:tc>
          <w:tcPr/>
          <w:p>
            <w:pPr>
              <w:pStyle w:val="Compact"/>
            </w:pPr>
            <w:r>
              <w:rPr>
                <w:rFonts w:ascii="Segoe UI" w:hAnsi="Segoe UI"/>
                <w:sz w:val="22"/>
              </w:rPr>
              <w:t xml:space="preserve">443</w:t>
            </w:r>
          </w:p>
        </w:tc>
        <w:tc>
          <w:tcPr/>
          <w:p>
            <w:pPr>
              <w:pStyle w:val="Compact"/>
            </w:pPr>
            <w:r>
              <w:rPr>
                <w:rFonts w:ascii="Segoe UI" w:hAnsi="Segoe UI"/>
                <w:sz w:val="22"/>
              </w:rPr>
              <w:t xml:space="preserve">TCP</w:t>
            </w:r>
          </w:p>
        </w:tc>
        <w:tc>
          <w:tcPr/>
          <w:p>
            <w:pPr>
              <w:pStyle w:val="Compact"/>
            </w:pPr>
            <w:r>
              <w:rPr>
                <w:rFonts w:ascii="Segoe UI" w:hAnsi="Segoe UI"/>
                <w:sz w:val="22"/>
              </w:rPr>
              <w:t xml:space="preserve">Allow</w:t>
            </w:r>
          </w:p>
        </w:tc>
      </w:tr>
      <w:tr>
        <w:tc>
          <w:tcPr/>
          <w:p>
            <w:pPr>
              <w:pStyle w:val="Compact"/>
            </w:pPr>
            <w:r>
              <w:rPr>
                <w:rFonts w:ascii="Segoe UI" w:hAnsi="Segoe UI"/>
                <w:sz w:val="22"/>
              </w:rPr>
              <w:t xml:space="preserve">Allow_OPDG_Authentication</w:t>
            </w:r>
          </w:p>
        </w:tc>
        <w:tc>
          <w:tcPr/>
          <w:p>
            <w:pPr>
              <w:pStyle w:val="Compact"/>
            </w:pPr>
            <w:r>
              <w:rPr>
                <w:rFonts w:ascii="Segoe UI" w:hAnsi="Segoe UI"/>
                <w:sz w:val="22"/>
              </w:rPr>
              <w:t xml:space="preserve">140</w:t>
            </w:r>
          </w:p>
        </w:tc>
        <w:tc>
          <w:tcPr/>
          <w:p>
            <w:pPr>
              <w:pStyle w:val="Compact"/>
            </w:pPr>
            <w:r>
              <w:rPr>
                <w:rFonts w:ascii="Segoe UI" w:hAnsi="Segoe UI"/>
                <w:sz w:val="22"/>
              </w:rPr>
              <w:t xml:space="preserve">VM Private IP Addresses</w:t>
            </w:r>
          </w:p>
        </w:tc>
        <w:tc>
          <w:tcPr/>
          <w:p>
            <w:pPr>
              <w:pStyle w:val="Compact"/>
            </w:pPr>
            <w:r>
              <w:rPr>
                <w:rFonts w:ascii="Segoe UI" w:hAnsi="Segoe UI"/>
                <w:sz w:val="22"/>
              </w:rPr>
              <w:t xml:space="preserve">*</w:t>
            </w:r>
          </w:p>
        </w:tc>
        <w:tc>
          <w:tcPr/>
          <w:p>
            <w:pPr>
              <w:pStyle w:val="Compact"/>
            </w:pPr>
            <w:r>
              <w:rPr>
                <w:rFonts w:ascii="Segoe UI" w:hAnsi="Segoe UI"/>
                <w:i/>
                <w:iCs/>
                <w:sz w:val="22"/>
              </w:rPr>
              <w:t xml:space="preserve">.login.windows.net, login.microsoftonline.com, aadcdn.msauth.net, aadcdn.msftauth.net,</w:t>
            </w:r>
            <w:r>
              <w:rPr>
                <w:rFonts w:ascii="Segoe UI" w:hAnsi="Segoe UI"/>
                <w:i/>
                <w:iCs/>
                <w:sz w:val="22"/>
              </w:rPr>
              <w:t xml:space="preserve"> </w:t>
            </w:r>
            <w:r>
              <w:rPr>
                <w:rFonts w:ascii="Segoe UI" w:hAnsi="Segoe UI"/>
                <w:sz w:val="22"/>
              </w:rPr>
              <w:t xml:space="preserve">.microsoftonline-p.com, login.live.com</w:t>
            </w:r>
          </w:p>
        </w:tc>
        <w:tc>
          <w:tcPr/>
          <w:p>
            <w:pPr>
              <w:pStyle w:val="Compact"/>
            </w:pPr>
            <w:r>
              <w:rPr>
                <w:rFonts w:ascii="Segoe UI" w:hAnsi="Segoe UI"/>
                <w:sz w:val="22"/>
              </w:rPr>
              <w:t xml:space="preserve">443</w:t>
            </w:r>
          </w:p>
        </w:tc>
        <w:tc>
          <w:tcPr/>
          <w:p>
            <w:pPr>
              <w:pStyle w:val="Compact"/>
            </w:pPr>
            <w:r>
              <w:rPr>
                <w:rFonts w:ascii="Segoe UI" w:hAnsi="Segoe UI"/>
                <w:sz w:val="22"/>
              </w:rPr>
              <w:t xml:space="preserve">TCP</w:t>
            </w:r>
          </w:p>
        </w:tc>
        <w:tc>
          <w:tcPr/>
          <w:p>
            <w:pPr>
              <w:pStyle w:val="Compact"/>
            </w:pPr>
            <w:r>
              <w:rPr>
                <w:rFonts w:ascii="Segoe UI" w:hAnsi="Segoe UI"/>
                <w:sz w:val="22"/>
              </w:rPr>
              <w:t xml:space="preserve">Allow</w:t>
            </w:r>
          </w:p>
        </w:tc>
      </w:tr>
      <w:tr>
        <w:tc>
          <w:tcPr/>
          <w:p>
            <w:pPr>
              <w:pStyle w:val="Compact"/>
            </w:pPr>
            <w:r>
              <w:rPr>
                <w:rFonts w:ascii="Segoe UI" w:hAnsi="Segoe UI"/>
                <w:sz w:val="22"/>
              </w:rPr>
              <w:t xml:space="preserve">Allow_OPDG_Connectivity_Test</w:t>
            </w:r>
          </w:p>
        </w:tc>
        <w:tc>
          <w:tcPr/>
          <w:p>
            <w:pPr>
              <w:pStyle w:val="Compact"/>
            </w:pPr>
            <w:r>
              <w:rPr>
                <w:rFonts w:ascii="Segoe UI" w:hAnsi="Segoe UI"/>
                <w:sz w:val="22"/>
              </w:rPr>
              <w:t xml:space="preserve">160</w:t>
            </w:r>
          </w:p>
        </w:tc>
        <w:tc>
          <w:tcPr/>
          <w:p>
            <w:pPr>
              <w:pStyle w:val="Compact"/>
            </w:pPr>
            <w:r>
              <w:rPr>
                <w:rFonts w:ascii="Segoe UI" w:hAnsi="Segoe UI"/>
                <w:sz w:val="22"/>
              </w:rPr>
              <w:t xml:space="preserve">VM Private IP Addresses</w:t>
            </w:r>
          </w:p>
        </w:tc>
        <w:tc>
          <w:tcPr/>
          <w:p>
            <w:pPr>
              <w:pStyle w:val="Compact"/>
            </w:pPr>
            <w:r>
              <w:rPr>
                <w:rFonts w:ascii="Segoe UI" w:hAnsi="Segoe UI"/>
                <w:sz w:val="22"/>
              </w:rPr>
              <w:t xml:space="preserve">*</w:t>
            </w:r>
          </w:p>
        </w:tc>
        <w:tc>
          <w:tcPr/>
          <w:p>
            <w:pPr>
              <w:pStyle w:val="Compact"/>
            </w:pPr>
            <w:r>
              <w:rPr>
                <w:rFonts w:ascii="Segoe UI" w:hAnsi="Segoe UI"/>
                <w:sz w:val="22"/>
              </w:rPr>
              <w:t xml:space="preserve">*.msftncsi.com</w:t>
            </w:r>
          </w:p>
        </w:tc>
        <w:tc>
          <w:tcPr/>
          <w:p>
            <w:pPr>
              <w:pStyle w:val="Compact"/>
            </w:pPr>
            <w:r>
              <w:rPr>
                <w:rFonts w:ascii="Segoe UI" w:hAnsi="Segoe UI"/>
                <w:sz w:val="22"/>
              </w:rPr>
              <w:t xml:space="preserve">80</w:t>
            </w:r>
          </w:p>
        </w:tc>
        <w:tc>
          <w:tcPr/>
          <w:p>
            <w:pPr>
              <w:pStyle w:val="Compact"/>
            </w:pPr>
            <w:r>
              <w:rPr>
                <w:rFonts w:ascii="Segoe UI" w:hAnsi="Segoe UI"/>
                <w:sz w:val="22"/>
              </w:rPr>
              <w:t xml:space="preserve">TCP</w:t>
            </w:r>
          </w:p>
        </w:tc>
        <w:tc>
          <w:tcPr/>
          <w:p>
            <w:pPr>
              <w:pStyle w:val="Compact"/>
            </w:pPr>
            <w:r>
              <w:rPr>
                <w:rFonts w:ascii="Segoe UI" w:hAnsi="Segoe UI"/>
                <w:sz w:val="22"/>
              </w:rPr>
              <w:t xml:space="preserve">Allow</w:t>
            </w:r>
          </w:p>
        </w:tc>
      </w:tr>
    </w:tbl>
    <w:p>
      <w:pPr>
        <w:pStyle w:val="BodyText"/>
        <w:jc w:val="both"/>
      </w:pPr>
      <w:r>
        <w:rPr>
          <w:rFonts w:ascii="Segoe UI" w:hAnsi="Segoe UI"/>
          <w:sz w:val="22"/>
        </w:rPr>
        <w:t xml:space="preserve">These rules collectively ensure that the OPDG VM can securely transmit data, authenticate users, and verify network connectivity. No inbound NSG rules are required for this scenario, as all communication is outbound from the gateway.</w:t>
      </w:r>
    </w:p>
    <w:bookmarkEnd w:id="71"/>
    <w:bookmarkEnd w:id="72"/>
    <w:bookmarkStart w:id="73" w:name="encryption-design"/>
    <w:p>
      <w:pPr>
        <w:pStyle w:val="Heading2"/>
      </w:pPr>
      <w:r>
        <w:rPr>
          <w:rFonts w:ascii="Segoe UI" w:hAnsi="Segoe UI"/>
          <w:b w:val="0"/>
          <w:sz w:val="28"/>
        </w:rPr>
        <w:t xml:space="preserve">6.2 Encryption Design</w:t>
      </w:r>
    </w:p>
    <w:p>
      <w:pPr>
        <w:pStyle w:val="FirstParagraph"/>
        <w:jc w:val="both"/>
      </w:pPr>
      <w:r>
        <w:rPr>
          <w:rFonts w:ascii="Segoe UI" w:hAnsi="Segoe UI"/>
          <w:sz w:val="22"/>
        </w:rPr>
        <w:t xml:space="preserve">UMS shall enforce SSL/TLS encryption for all outbound connections from the OPDG VM to Microsoft Fabric, Power BI, and related Azure services. This design decision is rooted in the need to protect sensitive institutional data in transit and to comply with both university and Azure security standards.</w:t>
      </w:r>
    </w:p>
    <w:p>
      <w:pPr>
        <w:pStyle w:val="BodyText"/>
        <w:jc w:val="both"/>
      </w:pPr>
      <w:r>
        <w:rPr>
          <w:rFonts w:ascii="Segoe UI" w:hAnsi="Segoe UI"/>
          <w:sz w:val="22"/>
        </w:rPr>
        <w:t xml:space="preserve">All outbound traffic specified in the NSG rules—particularly data exchanges and authentication requests—will utilize HTTPS (TCP port 443) with SSL/TLS. This ensures that data is encrypted end-to-end, preventing interception or tampering during transmission. The OPDG VM is configured to trust Microsoft’s certificate authorities, guaranteeing secure channel establishment with cloud endpoints.</w:t>
      </w:r>
    </w:p>
    <w:p>
      <w:pPr>
        <w:pStyle w:val="BodyText"/>
        <w:jc w:val="both"/>
      </w:pPr>
      <w:r>
        <w:rPr>
          <w:rFonts w:ascii="Segoe UI" w:hAnsi="Segoe UI"/>
          <w:sz w:val="22"/>
        </w:rPr>
        <w:t xml:space="preserve">Operationally, this encryption requirement means that UMS administrators must verify that the OPDG VM’s Windows operating system and gateway software are up-to-date, with the latest security patches and cipher suites enabled. Monitoring tools should be deployed to confirm that all outbound connections are successfully negotiated using SSL/TLS, and any anomalies or failed handshakes are promptly investigated.</w:t>
      </w:r>
    </w:p>
    <w:p>
      <w:pPr>
        <w:pStyle w:val="BodyText"/>
        <w:jc w:val="both"/>
      </w:pPr>
      <w:r>
        <w:rPr>
          <w:rFonts w:ascii="Segoe UI" w:hAnsi="Segoe UI"/>
          <w:sz w:val="22"/>
        </w:rPr>
        <w:t xml:space="preserve">By mandating SSL/TLS for all outbound communications, UMS demonstrates a commitment to safeguarding university data and maintaining the integrity of its analytics infrastructure. This encryption strategy is a foundational element of the broader security architecture, complementing the NSG-based network controls and supporting compliance with regulatory and institutional mandates.</w:t>
      </w:r>
    </w:p>
    <w:bookmarkEnd w:id="73"/>
    <w:bookmarkEnd w:id="74"/>
    <w:bookmarkStart w:id="89" w:name="X76c4d2ca1b8a5dddbb375f8f04bad8b9f4e1614"/>
    <w:p>
      <w:pPr>
        <w:pStyle w:val="Heading1"/>
        <w:pageBreakBefore/>
      </w:pPr>
      <w:r>
        <w:rPr>
          <w:rFonts w:ascii="Segoe UI" w:hAnsi="Segoe UI"/>
          <w:b w:val="0"/>
          <w:sz w:val="30"/>
        </w:rPr>
        <w:t xml:space="preserve">7.0 AutoML Workflow Design in Microsoft Fabric</w:t>
      </w:r>
    </w:p>
    <w:p>
      <w:pPr>
        <w:pStyle w:val="FirstParagraph"/>
        <w:jc w:val="both"/>
      </w:pPr>
      <w:r>
        <w:rPr>
          <w:rFonts w:ascii="Segoe UI" w:hAnsi="Segoe UI"/>
          <w:sz w:val="22"/>
        </w:rPr>
        <w:t xml:space="preserve">This section details the comprehensive AutoML workflow design tailored for Universiti Malaysia Sabah (UMS) within Microsoft Fabric, including both automated and manual machine learning paths.</w:t>
      </w:r>
    </w:p>
    <w:bookmarkStart w:id="78" w:name="technical-overview"/>
    <w:p>
      <w:pPr>
        <w:pStyle w:val="Heading2"/>
      </w:pPr>
      <w:r>
        <w:rPr>
          <w:rFonts w:ascii="Segoe UI" w:hAnsi="Segoe UI"/>
          <w:b w:val="0"/>
          <w:sz w:val="28"/>
        </w:rPr>
        <w:t xml:space="preserve">7.1 Technical Overview</w:t>
      </w:r>
    </w:p>
    <w:p>
      <w:pPr>
        <w:pStyle w:val="FirstParagraph"/>
        <w:jc w:val="both"/>
      </w:pPr>
      <w:r>
        <w:rPr>
          <w:rFonts w:ascii="Segoe UI" w:hAnsi="Segoe UI"/>
          <w:sz w:val="22"/>
        </w:rPr>
        <w:t xml:space="preserve">UMS shall implement an integrated machine learning workflow leveraging Microsoft Fabric’s capabilities, combining both AutoML and manual ML approaches. The architecture is designed to streamline data engineering, model development, scoring, and visualization, ensuring robust lifecycle management and operational transparency.</w:t>
      </w:r>
    </w:p>
    <w:p>
      <w:pPr>
        <w:pStyle w:val="BodyText"/>
        <w:jc w:val="both"/>
      </w:pPr>
      <w:r>
        <w:rPr>
          <w:rFonts w:ascii="Segoe UI" w:hAnsi="Segoe UI"/>
          <w:sz w:val="22"/>
        </w:rPr>
        <w:t xml:space="preserve">The workflow initiates with data sourced from XX_Silver_LK Tables, representing the cleansed, pre-processed Silver layer within Fabric. This data serves as the foundation for both AutoML experiments and manual ML modeling. AutoML automates model selection, training, and evaluation, while manual ML, executed via Fabric Notebooks (PySpark or Python), empowers data scientists with granular control over feature engineering and algorithm optimization.</w:t>
      </w:r>
    </w:p>
    <w:p>
      <w:pPr>
        <w:pStyle w:val="BodyText"/>
        <w:jc w:val="both"/>
      </w:pPr>
      <w:r>
        <w:rPr>
          <w:rFonts w:ascii="Segoe UI" w:hAnsi="Segoe UI"/>
          <w:sz w:val="22"/>
        </w:rPr>
        <w:t xml:space="preserve">Outputs from both paths are stored in XX_Gold_LK Tables—the Gold layer—ensuring standardized, high-quality model results. Identity_SM manages metadata and identity aspects for Gold outputs. OneLake acts as the unified storage layer, facilitating seamless integration with Power BI for advanced visualization and reporting. This architecture supports UMS’s requirement for explainable, reproducible, and scalable machine learning workflows.</w:t>
      </w:r>
    </w:p>
    <w:p>
      <w:pPr>
        <w:pStyle w:val="BodyText"/>
      </w:pPr>
      <w:r>
        <w:rPr>
          <w:rFonts w:ascii="Segoe UI" w:hAnsi="Segoe UI"/>
          <w:sz w:val="22"/>
        </w:rPr>
        <w:drawing>
          <wp:inline>
            <wp:extent cx="5727700" cy="3487879"/>
            <wp:effectExtent b="0" l="0" r="0" t="0"/>
            <wp:docPr descr="" title="" id="76" name="Picture"/>
            <a:graphic>
              <a:graphicData uri="http://schemas.openxmlformats.org/drawingml/2006/picture">
                <pic:pic>
                  <pic:nvPicPr>
                    <pic:cNvPr descr="C:\Users\MuhammadIdzhansKhair\OneDrive%20-%20ENFRASYS\Documents\project-internal\design-document-converter\extraction-output\images\slide_021_img_005.png" id="77" name="Picture"/>
                    <pic:cNvPicPr>
                      <a:picLocks noChangeArrowheads="1" noChangeAspect="1"/>
                    </pic:cNvPicPr>
                  </pic:nvPicPr>
                  <pic:blipFill>
                    <a:blip r:embed="rId75"/>
                    <a:stretch>
                      <a:fillRect/>
                    </a:stretch>
                  </pic:blipFill>
                  <pic:spPr bwMode="auto">
                    <a:xfrm>
                      <a:off x="0" y="0"/>
                      <a:ext cx="5727700" cy="3487879"/>
                    </a:xfrm>
                    <a:prstGeom prst="rect">
                      <a:avLst/>
                    </a:prstGeom>
                    <a:noFill/>
                    <a:ln w="9525">
                      <a:noFill/>
                      <a:headEnd/>
                      <a:tailEnd/>
                    </a:ln>
                  </pic:spPr>
                </pic:pic>
              </a:graphicData>
            </a:graphic>
          </wp:inline>
        </w:drawing>
      </w:r>
    </w:p>
    <w:bookmarkEnd w:id="78"/>
    <w:bookmarkStart w:id="81" w:name="approachpaths"/>
    <w:p>
      <w:pPr>
        <w:pStyle w:val="Heading2"/>
      </w:pPr>
      <w:r>
        <w:rPr>
          <w:rFonts w:ascii="Segoe UI" w:hAnsi="Segoe UI"/>
          <w:b w:val="0"/>
          <w:sz w:val="28"/>
        </w:rPr>
        <w:t xml:space="preserve">7.2 Approach/Paths</w:t>
      </w:r>
    </w:p>
    <w:p>
      <w:pPr>
        <w:pStyle w:val="FirstParagraph"/>
        <w:jc w:val="both"/>
      </w:pPr>
      <w:r>
        <w:rPr>
          <w:rFonts w:ascii="Segoe UI" w:hAnsi="Segoe UI"/>
          <w:sz w:val="22"/>
        </w:rPr>
        <w:t xml:space="preserve">UMS’s workflow design incorporates two distinct paths—AutoML Experiment and Manual Machine Learning—each optimized for specific operational and analytical scenarios.</w:t>
      </w:r>
    </w:p>
    <w:bookmarkStart w:id="79" w:name="automl-experiment"/>
    <w:p>
      <w:pPr>
        <w:pStyle w:val="Heading3"/>
      </w:pPr>
      <w:r>
        <w:rPr>
          <w:rFonts w:ascii="Segoe UI" w:hAnsi="Segoe UI"/>
          <w:b w:val="0"/>
          <w:sz w:val="26"/>
        </w:rPr>
        <w:t xml:space="preserve">AutoML Experiment</w:t>
      </w:r>
    </w:p>
    <w:p>
      <w:pPr>
        <w:pStyle w:val="FirstParagraph"/>
        <w:jc w:val="both"/>
      </w:pPr>
      <w:r>
        <w:rPr>
          <w:rFonts w:ascii="Segoe UI" w:hAnsi="Segoe UI"/>
          <w:sz w:val="22"/>
        </w:rPr>
        <w:t xml:space="preserve">UMS shall utilize Microsoft Fabric’s AutoML capabilities to automate model development. AutoML Experiment orchestrates the end-to-end process: selecting algorithms, tuning hyperparameters, and training models on Silver Lakehouse data. This path is ideal for rapid prototyping and scenarios where model interpretability is less critical. The output is scored using dedicated notebooks, which evaluate performance metrics and generate predictions for downstream consumption.</w:t>
      </w:r>
    </w:p>
    <w:p>
      <w:pPr>
        <w:pStyle w:val="BodyText"/>
        <w:jc w:val="both"/>
      </w:pPr>
      <w:r>
        <w:rPr>
          <w:rFonts w:ascii="Segoe UI" w:hAnsi="Segoe UI"/>
          <w:sz w:val="22"/>
        </w:rPr>
        <w:t xml:space="preserve">Technical configuration involves:</w:t>
      </w:r>
      <w:r>
        <w:rPr>
          <w:rFonts w:ascii="Segoe UI" w:hAnsi="Segoe UI"/>
          <w:sz w:val="22"/>
        </w:rPr>
        <w:t xml:space="preserve"> </w:t>
      </w:r>
      <w:r>
        <w:rPr>
          <w:rFonts w:ascii="Segoe UI" w:hAnsi="Segoe UI"/>
          <w:sz w:val="22"/>
        </w:rPr>
        <w:t xml:space="preserve">- Connecting XX_Silver_LK Tables as input datasets.</w:t>
      </w:r>
      <w:r>
        <w:rPr>
          <w:rFonts w:ascii="Segoe UI" w:hAnsi="Segoe UI"/>
          <w:sz w:val="22"/>
        </w:rPr>
        <w:t xml:space="preserve"> </w:t>
      </w:r>
      <w:r>
        <w:rPr>
          <w:rFonts w:ascii="Segoe UI" w:hAnsi="Segoe UI"/>
          <w:sz w:val="22"/>
        </w:rPr>
        <w:t xml:space="preserve">- Initiating AutoML runs within Fabric, specifying target variables and constraints.</w:t>
      </w:r>
      <w:r>
        <w:rPr>
          <w:rFonts w:ascii="Segoe UI" w:hAnsi="Segoe UI"/>
          <w:sz w:val="22"/>
        </w:rPr>
        <w:t xml:space="preserve"> </w:t>
      </w:r>
      <w:r>
        <w:rPr>
          <w:rFonts w:ascii="Segoe UI" w:hAnsi="Segoe UI"/>
          <w:sz w:val="22"/>
        </w:rPr>
        <w:t xml:space="preserve">- Using scoring notebooks to validate model outputs and store results in XX_Gold_LK Tables.</w:t>
      </w:r>
      <w:r>
        <w:rPr>
          <w:rFonts w:ascii="Segoe UI" w:hAnsi="Segoe UI"/>
          <w:sz w:val="22"/>
        </w:rPr>
        <w:t xml:space="preserve"> </w:t>
      </w:r>
      <w:r>
        <w:rPr>
          <w:rFonts w:ascii="Segoe UI" w:hAnsi="Segoe UI"/>
          <w:sz w:val="22"/>
        </w:rPr>
        <w:t xml:space="preserve">- Ensuring all scored results are tagged and versioned for traceability.</w:t>
      </w:r>
    </w:p>
    <w:p>
      <w:pPr>
        <w:pStyle w:val="BodyText"/>
        <w:jc w:val="both"/>
      </w:pPr>
      <w:r>
        <w:rPr>
          <w:rFonts w:ascii="Segoe UI" w:hAnsi="Segoe UI"/>
          <w:sz w:val="22"/>
        </w:rPr>
        <w:t xml:space="preserve">Operational impact:</w:t>
      </w:r>
      <w:r>
        <w:rPr>
          <w:rFonts w:ascii="Segoe UI" w:hAnsi="Segoe UI"/>
          <w:sz w:val="22"/>
        </w:rPr>
        <w:t xml:space="preserve"> </w:t>
      </w:r>
      <w:r>
        <w:rPr>
          <w:rFonts w:ascii="Segoe UI" w:hAnsi="Segoe UI"/>
          <w:sz w:val="22"/>
        </w:rPr>
        <w:t xml:space="preserve">- Reduces manual effort in model selection and tuning.</w:t>
      </w:r>
      <w:r>
        <w:rPr>
          <w:rFonts w:ascii="Segoe UI" w:hAnsi="Segoe UI"/>
          <w:sz w:val="22"/>
        </w:rPr>
        <w:t xml:space="preserve"> </w:t>
      </w:r>
      <w:r>
        <w:rPr>
          <w:rFonts w:ascii="Segoe UI" w:hAnsi="Segoe UI"/>
          <w:sz w:val="22"/>
        </w:rPr>
        <w:t xml:space="preserve">- Accelerates experimentation cycles.</w:t>
      </w:r>
      <w:r>
        <w:rPr>
          <w:rFonts w:ascii="Segoe UI" w:hAnsi="Segoe UI"/>
          <w:sz w:val="22"/>
        </w:rPr>
        <w:t xml:space="preserve"> </w:t>
      </w:r>
      <w:r>
        <w:rPr>
          <w:rFonts w:ascii="Segoe UI" w:hAnsi="Segoe UI"/>
          <w:sz w:val="22"/>
        </w:rPr>
        <w:t xml:space="preserve">- Provides baseline models for comparison with manual approaches.</w:t>
      </w:r>
    </w:p>
    <w:bookmarkEnd w:id="79"/>
    <w:bookmarkStart w:id="80" w:name="manual-machine-learning"/>
    <w:p>
      <w:pPr>
        <w:pStyle w:val="Heading3"/>
      </w:pPr>
      <w:r>
        <w:rPr>
          <w:rFonts w:ascii="Segoe UI" w:hAnsi="Segoe UI"/>
          <w:b w:val="0"/>
          <w:sz w:val="26"/>
        </w:rPr>
        <w:t xml:space="preserve">Manual Machine Learning</w:t>
      </w:r>
    </w:p>
    <w:p>
      <w:pPr>
        <w:pStyle w:val="FirstParagraph"/>
        <w:jc w:val="both"/>
      </w:pPr>
      <w:r>
        <w:rPr>
          <w:rFonts w:ascii="Segoe UI" w:hAnsi="Segoe UI"/>
          <w:sz w:val="22"/>
        </w:rPr>
        <w:t xml:space="preserve">UMS shall primarily adopt manual machine learning via Fabric Notebooks, leveraging PySpark or Python for custom feature engineering, algorithm selection, and model optimization. This path is critical for use cases requiring deep domain expertise, explainability, and precise control over model parameters.</w:t>
      </w:r>
    </w:p>
    <w:p>
      <w:pPr>
        <w:pStyle w:val="BodyText"/>
        <w:jc w:val="both"/>
      </w:pPr>
      <w:r>
        <w:rPr>
          <w:rFonts w:ascii="Segoe UI" w:hAnsi="Segoe UI"/>
          <w:sz w:val="22"/>
        </w:rPr>
        <w:t xml:space="preserve">Key process steps:</w:t>
      </w:r>
      <w:r>
        <w:rPr>
          <w:rFonts w:ascii="Segoe UI" w:hAnsi="Segoe UI"/>
          <w:sz w:val="22"/>
        </w:rPr>
        <w:t xml:space="preserve"> </w:t>
      </w:r>
      <w:r>
        <w:rPr>
          <w:rFonts w:ascii="Segoe UI" w:hAnsi="Segoe UI"/>
          <w:sz w:val="22"/>
        </w:rPr>
        <w:t xml:space="preserve">- Data scientists access XX_Silver_LK Tables within notebooks.</w:t>
      </w:r>
      <w:r>
        <w:rPr>
          <w:rFonts w:ascii="Segoe UI" w:hAnsi="Segoe UI"/>
          <w:sz w:val="22"/>
        </w:rPr>
        <w:t xml:space="preserve"> </w:t>
      </w:r>
      <w:r>
        <w:rPr>
          <w:rFonts w:ascii="Segoe UI" w:hAnsi="Segoe UI"/>
          <w:sz w:val="22"/>
        </w:rPr>
        <w:t xml:space="preserve">- Custom scripts perform feature engineering, data augmentation, and algorithm selection.</w:t>
      </w:r>
      <w:r>
        <w:rPr>
          <w:rFonts w:ascii="Segoe UI" w:hAnsi="Segoe UI"/>
          <w:sz w:val="22"/>
        </w:rPr>
        <w:t xml:space="preserve"> </w:t>
      </w:r>
      <w:r>
        <w:rPr>
          <w:rFonts w:ascii="Segoe UI" w:hAnsi="Segoe UI"/>
          <w:sz w:val="22"/>
        </w:rPr>
        <w:t xml:space="preserve">- Model training, evaluation, and fine-tuning are executed interactively.</w:t>
      </w:r>
      <w:r>
        <w:rPr>
          <w:rFonts w:ascii="Segoe UI" w:hAnsi="Segoe UI"/>
          <w:sz w:val="22"/>
        </w:rPr>
        <w:t xml:space="preserve"> </w:t>
      </w:r>
      <w:r>
        <w:rPr>
          <w:rFonts w:ascii="Segoe UI" w:hAnsi="Segoe UI"/>
          <w:sz w:val="22"/>
        </w:rPr>
        <w:t xml:space="preserve">- Trained models are registered in the Fabric Model Registry for lifecycle management.</w:t>
      </w:r>
      <w:r>
        <w:rPr>
          <w:rFonts w:ascii="Segoe UI" w:hAnsi="Segoe UI"/>
          <w:sz w:val="22"/>
        </w:rPr>
        <w:t xml:space="preserve"> </w:t>
      </w:r>
      <w:r>
        <w:rPr>
          <w:rFonts w:ascii="Segoe UI" w:hAnsi="Segoe UI"/>
          <w:sz w:val="22"/>
        </w:rPr>
        <w:t xml:space="preserve">- Scoring notebooks apply models to new data, storing outputs in XX_Gold_LK Tables.</w:t>
      </w:r>
    </w:p>
    <w:p>
      <w:pPr>
        <w:pStyle w:val="BodyText"/>
        <w:jc w:val="both"/>
      </w:pPr>
      <w:r>
        <w:rPr>
          <w:rFonts w:ascii="Segoe UI" w:hAnsi="Segoe UI"/>
          <w:sz w:val="22"/>
        </w:rPr>
        <w:t xml:space="preserve">Tools used:</w:t>
      </w:r>
      <w:r>
        <w:rPr>
          <w:rFonts w:ascii="Segoe UI" w:hAnsi="Segoe UI"/>
          <w:sz w:val="22"/>
        </w:rPr>
        <w:t xml:space="preserve"> </w:t>
      </w:r>
      <w:r>
        <w:rPr>
          <w:rFonts w:ascii="Segoe UI" w:hAnsi="Segoe UI"/>
          <w:sz w:val="22"/>
        </w:rPr>
        <w:t xml:space="preserve">- Fabric Notebooks (PySpark/Python)</w:t>
      </w:r>
      <w:r>
        <w:rPr>
          <w:rFonts w:ascii="Segoe UI" w:hAnsi="Segoe UI"/>
          <w:sz w:val="22"/>
        </w:rPr>
        <w:t xml:space="preserve"> </w:t>
      </w:r>
      <w:r>
        <w:rPr>
          <w:rFonts w:ascii="Segoe UI" w:hAnsi="Segoe UI"/>
          <w:sz w:val="22"/>
        </w:rPr>
        <w:t xml:space="preserve">- Model Registry for versioning and reuse</w:t>
      </w:r>
      <w:r>
        <w:rPr>
          <w:rFonts w:ascii="Segoe UI" w:hAnsi="Segoe UI"/>
          <w:sz w:val="22"/>
        </w:rPr>
        <w:t xml:space="preserve"> </w:t>
      </w:r>
      <w:r>
        <w:rPr>
          <w:rFonts w:ascii="Segoe UI" w:hAnsi="Segoe UI"/>
          <w:sz w:val="22"/>
        </w:rPr>
        <w:t xml:space="preserve">- Scoring Notebooks for operational inference</w:t>
      </w:r>
    </w:p>
    <w:p>
      <w:pPr>
        <w:pStyle w:val="BodyText"/>
        <w:jc w:val="both"/>
      </w:pPr>
      <w:r>
        <w:rPr>
          <w:rFonts w:ascii="Segoe UI" w:hAnsi="Segoe UI"/>
          <w:sz w:val="22"/>
        </w:rPr>
        <w:t xml:space="preserve">Business impact:</w:t>
      </w:r>
      <w:r>
        <w:rPr>
          <w:rFonts w:ascii="Segoe UI" w:hAnsi="Segoe UI"/>
          <w:sz w:val="22"/>
        </w:rPr>
        <w:t xml:space="preserve"> </w:t>
      </w:r>
      <w:r>
        <w:rPr>
          <w:rFonts w:ascii="Segoe UI" w:hAnsi="Segoe UI"/>
          <w:sz w:val="22"/>
        </w:rPr>
        <w:t xml:space="preserve">- Enables tailored solutions for UMS’s unique datasets.</w:t>
      </w:r>
      <w:r>
        <w:rPr>
          <w:rFonts w:ascii="Segoe UI" w:hAnsi="Segoe UI"/>
          <w:sz w:val="22"/>
        </w:rPr>
        <w:t xml:space="preserve"> </w:t>
      </w:r>
      <w:r>
        <w:rPr>
          <w:rFonts w:ascii="Segoe UI" w:hAnsi="Segoe UI"/>
          <w:sz w:val="22"/>
        </w:rPr>
        <w:t xml:space="preserve">- Supports compliance and explainability requirements.</w:t>
      </w:r>
      <w:r>
        <w:rPr>
          <w:rFonts w:ascii="Segoe UI" w:hAnsi="Segoe UI"/>
          <w:sz w:val="22"/>
        </w:rPr>
        <w:t xml:space="preserve"> </w:t>
      </w:r>
      <w:r>
        <w:rPr>
          <w:rFonts w:ascii="Segoe UI" w:hAnsi="Segoe UI"/>
          <w:sz w:val="22"/>
        </w:rPr>
        <w:t xml:space="preserve">- Facilitates iterative improvement and collaborative development.</w:t>
      </w:r>
    </w:p>
    <w:bookmarkEnd w:id="80"/>
    <w:bookmarkEnd w:id="81"/>
    <w:bookmarkStart w:id="87" w:name="process-flow"/>
    <w:p>
      <w:pPr>
        <w:pStyle w:val="Heading2"/>
      </w:pPr>
      <w:r>
        <w:rPr>
          <w:rFonts w:ascii="Segoe UI" w:hAnsi="Segoe UI"/>
          <w:b w:val="0"/>
          <w:sz w:val="28"/>
        </w:rPr>
        <w:t xml:space="preserve">7.3 Process Flow</w:t>
      </w:r>
    </w:p>
    <w:p>
      <w:pPr>
        <w:pStyle w:val="FirstParagraph"/>
        <w:jc w:val="both"/>
      </w:pPr>
      <w:r>
        <w:rPr>
          <w:rFonts w:ascii="Segoe UI" w:hAnsi="Segoe UI"/>
          <w:sz w:val="22"/>
        </w:rPr>
        <w:t xml:space="preserve">The workflow is structured into five distinct phases, each with precise technical and operational requirements.</w:t>
      </w:r>
    </w:p>
    <w:bookmarkStart w:id="82" w:name="data-preparation"/>
    <w:p>
      <w:pPr>
        <w:pStyle w:val="Heading3"/>
      </w:pPr>
      <w:r>
        <w:rPr>
          <w:rFonts w:ascii="Segoe UI" w:hAnsi="Segoe UI"/>
          <w:b w:val="0"/>
          <w:sz w:val="26"/>
        </w:rPr>
        <w:t xml:space="preserve">Data Preparation</w:t>
      </w:r>
    </w:p>
    <w:p>
      <w:pPr>
        <w:pStyle w:val="FirstParagraph"/>
        <w:jc w:val="both"/>
      </w:pPr>
      <w:r>
        <w:rPr>
          <w:rFonts w:ascii="Segoe UI" w:hAnsi="Segoe UI"/>
          <w:sz w:val="22"/>
        </w:rPr>
        <w:t xml:space="preserve">UMS shall utilize XX_Silver_LK Tables as the source for all machine learning experimentation. Data is cleansed, transformed, and validated within the Silver Lakehouse, ensuring consistency and quality for downstream modeling. Selection of input datasets is governed by programmatic criteria from the Staging DB, aligning with UMS’s research and operational objectives.</w:t>
      </w:r>
    </w:p>
    <w:p>
      <w:pPr>
        <w:pStyle w:val="BodyText"/>
        <w:jc w:val="both"/>
      </w:pPr>
      <w:r>
        <w:rPr>
          <w:rFonts w:ascii="Segoe UI" w:hAnsi="Segoe UI"/>
          <w:sz w:val="22"/>
        </w:rPr>
        <w:t xml:space="preserve">Configuration steps:</w:t>
      </w:r>
      <w:r>
        <w:rPr>
          <w:rFonts w:ascii="Segoe UI" w:hAnsi="Segoe UI"/>
          <w:sz w:val="22"/>
        </w:rPr>
        <w:t xml:space="preserve"> </w:t>
      </w:r>
      <w:r>
        <w:rPr>
          <w:rFonts w:ascii="Segoe UI" w:hAnsi="Segoe UI"/>
          <w:sz w:val="22"/>
        </w:rPr>
        <w:t xml:space="preserve">- Data ingestion from Staging DB to Silver Lakehouse.</w:t>
      </w:r>
      <w:r>
        <w:rPr>
          <w:rFonts w:ascii="Segoe UI" w:hAnsi="Segoe UI"/>
          <w:sz w:val="22"/>
        </w:rPr>
        <w:t xml:space="preserve"> </w:t>
      </w:r>
      <w:r>
        <w:rPr>
          <w:rFonts w:ascii="Segoe UI" w:hAnsi="Segoe UI"/>
          <w:sz w:val="22"/>
        </w:rPr>
        <w:t xml:space="preserve">- Data profiling, cleaning, and schema validation.</w:t>
      </w:r>
      <w:r>
        <w:rPr>
          <w:rFonts w:ascii="Segoe UI" w:hAnsi="Segoe UI"/>
          <w:sz w:val="22"/>
        </w:rPr>
        <w:t xml:space="preserve"> </w:t>
      </w:r>
      <w:r>
        <w:rPr>
          <w:rFonts w:ascii="Segoe UI" w:hAnsi="Segoe UI"/>
          <w:sz w:val="22"/>
        </w:rPr>
        <w:t xml:space="preserve">- Feature selection and transformation pipelines.</w:t>
      </w:r>
    </w:p>
    <w:p>
      <w:pPr>
        <w:pStyle w:val="BodyText"/>
        <w:jc w:val="both"/>
      </w:pPr>
      <w:r>
        <w:rPr>
          <w:rFonts w:ascii="Segoe UI" w:hAnsi="Segoe UI"/>
          <w:sz w:val="22"/>
        </w:rPr>
        <w:t xml:space="preserve">Operational impact:</w:t>
      </w:r>
      <w:r>
        <w:rPr>
          <w:rFonts w:ascii="Segoe UI" w:hAnsi="Segoe UI"/>
          <w:sz w:val="22"/>
        </w:rPr>
        <w:t xml:space="preserve"> </w:t>
      </w:r>
      <w:r>
        <w:rPr>
          <w:rFonts w:ascii="Segoe UI" w:hAnsi="Segoe UI"/>
          <w:sz w:val="22"/>
        </w:rPr>
        <w:t xml:space="preserve">- Ensures high-quality, reliable input data.</w:t>
      </w:r>
      <w:r>
        <w:rPr>
          <w:rFonts w:ascii="Segoe UI" w:hAnsi="Segoe UI"/>
          <w:sz w:val="22"/>
        </w:rPr>
        <w:t xml:space="preserve"> </w:t>
      </w:r>
      <w:r>
        <w:rPr>
          <w:rFonts w:ascii="Segoe UI" w:hAnsi="Segoe UI"/>
          <w:sz w:val="22"/>
        </w:rPr>
        <w:t xml:space="preserve">- Reduces risk of model bias and data leakage.</w:t>
      </w:r>
    </w:p>
    <w:bookmarkEnd w:id="82"/>
    <w:bookmarkStart w:id="83" w:name="model-training"/>
    <w:p>
      <w:pPr>
        <w:pStyle w:val="Heading3"/>
      </w:pPr>
      <w:r>
        <w:rPr>
          <w:rFonts w:ascii="Segoe UI" w:hAnsi="Segoe UI"/>
          <w:b w:val="0"/>
          <w:sz w:val="26"/>
        </w:rPr>
        <w:t xml:space="preserve">Model Training</w:t>
      </w:r>
    </w:p>
    <w:p>
      <w:pPr>
        <w:pStyle w:val="FirstParagraph"/>
        <w:jc w:val="both"/>
      </w:pPr>
      <w:r>
        <w:rPr>
          <w:rFonts w:ascii="Segoe UI" w:hAnsi="Segoe UI"/>
          <w:sz w:val="22"/>
        </w:rPr>
        <w:t xml:space="preserve">Model training is conducted either via AutoML or manual notebooks. For AutoML, the process is automated—algorithms and hyperparameters are selected based on dataset characteristics. For manual ML, data scientists execute custom scripts to optimize models for accuracy and interpretability.</w:t>
      </w:r>
    </w:p>
    <w:p>
      <w:pPr>
        <w:pStyle w:val="BodyText"/>
        <w:jc w:val="both"/>
      </w:pPr>
      <w:r>
        <w:rPr>
          <w:rFonts w:ascii="Segoe UI" w:hAnsi="Segoe UI"/>
          <w:sz w:val="22"/>
        </w:rPr>
        <w:t xml:space="preserve">Configuration steps:</w:t>
      </w:r>
      <w:r>
        <w:rPr>
          <w:rFonts w:ascii="Segoe UI" w:hAnsi="Segoe UI"/>
          <w:sz w:val="22"/>
        </w:rPr>
        <w:t xml:space="preserve"> </w:t>
      </w:r>
      <w:r>
        <w:rPr>
          <w:rFonts w:ascii="Segoe UI" w:hAnsi="Segoe UI"/>
          <w:sz w:val="22"/>
        </w:rPr>
        <w:t xml:space="preserve">- Initiate AutoML runs or manual notebook sessions.</w:t>
      </w:r>
      <w:r>
        <w:rPr>
          <w:rFonts w:ascii="Segoe UI" w:hAnsi="Segoe UI"/>
          <w:sz w:val="22"/>
        </w:rPr>
        <w:t xml:space="preserve"> </w:t>
      </w:r>
      <w:r>
        <w:rPr>
          <w:rFonts w:ascii="Segoe UI" w:hAnsi="Segoe UI"/>
          <w:sz w:val="22"/>
        </w:rPr>
        <w:t xml:space="preserve">- Specify training parameters, validation splits, and evaluation metrics.</w:t>
      </w:r>
      <w:r>
        <w:rPr>
          <w:rFonts w:ascii="Segoe UI" w:hAnsi="Segoe UI"/>
          <w:sz w:val="22"/>
        </w:rPr>
        <w:t xml:space="preserve"> </w:t>
      </w:r>
      <w:r>
        <w:rPr>
          <w:rFonts w:ascii="Segoe UI" w:hAnsi="Segoe UI"/>
          <w:sz w:val="22"/>
        </w:rPr>
        <w:t xml:space="preserve">- Monitor training progress and log outcomes.</w:t>
      </w:r>
    </w:p>
    <w:p>
      <w:pPr>
        <w:pStyle w:val="BodyText"/>
        <w:jc w:val="both"/>
      </w:pPr>
      <w:r>
        <w:rPr>
          <w:rFonts w:ascii="Segoe UI" w:hAnsi="Segoe UI"/>
          <w:sz w:val="22"/>
        </w:rPr>
        <w:t xml:space="preserve">Operational impact:</w:t>
      </w:r>
      <w:r>
        <w:rPr>
          <w:rFonts w:ascii="Segoe UI" w:hAnsi="Segoe UI"/>
          <w:sz w:val="22"/>
        </w:rPr>
        <w:t xml:space="preserve"> </w:t>
      </w:r>
      <w:r>
        <w:rPr>
          <w:rFonts w:ascii="Segoe UI" w:hAnsi="Segoe UI"/>
          <w:sz w:val="22"/>
        </w:rPr>
        <w:t xml:space="preserve">- Supports both rapid prototyping and deep customization.</w:t>
      </w:r>
      <w:r>
        <w:rPr>
          <w:rFonts w:ascii="Segoe UI" w:hAnsi="Segoe UI"/>
          <w:sz w:val="22"/>
        </w:rPr>
        <w:t xml:space="preserve"> </w:t>
      </w:r>
      <w:r>
        <w:rPr>
          <w:rFonts w:ascii="Segoe UI" w:hAnsi="Segoe UI"/>
          <w:sz w:val="22"/>
        </w:rPr>
        <w:t xml:space="preserve">- Enables tracking of training artifacts for auditability.</w:t>
      </w:r>
    </w:p>
    <w:bookmarkEnd w:id="83"/>
    <w:bookmarkStart w:id="84" w:name="scoring"/>
    <w:p>
      <w:pPr>
        <w:pStyle w:val="Heading3"/>
      </w:pPr>
      <w:r>
        <w:rPr>
          <w:rFonts w:ascii="Segoe UI" w:hAnsi="Segoe UI"/>
          <w:b w:val="0"/>
          <w:sz w:val="26"/>
        </w:rPr>
        <w:t xml:space="preserve">Scoring</w:t>
      </w:r>
    </w:p>
    <w:p>
      <w:pPr>
        <w:pStyle w:val="FirstParagraph"/>
        <w:jc w:val="both"/>
      </w:pPr>
      <w:r>
        <w:rPr>
          <w:rFonts w:ascii="Segoe UI" w:hAnsi="Segoe UI"/>
          <w:sz w:val="22"/>
        </w:rPr>
        <w:t xml:space="preserve">Scoring notebooks are used to apply trained models to new or unseen data. The process generates predictions, probabilities, and performance metrics, which are stored in XX_Gold_LK Tables. This phase is critical for operational deployment and ongoing model validation.</w:t>
      </w:r>
    </w:p>
    <w:p>
      <w:pPr>
        <w:pStyle w:val="BodyText"/>
        <w:jc w:val="both"/>
      </w:pPr>
      <w:r>
        <w:rPr>
          <w:rFonts w:ascii="Segoe UI" w:hAnsi="Segoe UI"/>
          <w:sz w:val="22"/>
        </w:rPr>
        <w:t xml:space="preserve">Configuration steps:</w:t>
      </w:r>
      <w:r>
        <w:rPr>
          <w:rFonts w:ascii="Segoe UI" w:hAnsi="Segoe UI"/>
          <w:sz w:val="22"/>
        </w:rPr>
        <w:t xml:space="preserve"> </w:t>
      </w:r>
      <w:r>
        <w:rPr>
          <w:rFonts w:ascii="Segoe UI" w:hAnsi="Segoe UI"/>
          <w:sz w:val="22"/>
        </w:rPr>
        <w:t xml:space="preserve">- Connect scoring notebooks to Gold Lakehouse.</w:t>
      </w:r>
      <w:r>
        <w:rPr>
          <w:rFonts w:ascii="Segoe UI" w:hAnsi="Segoe UI"/>
          <w:sz w:val="22"/>
        </w:rPr>
        <w:t xml:space="preserve"> </w:t>
      </w:r>
      <w:r>
        <w:rPr>
          <w:rFonts w:ascii="Segoe UI" w:hAnsi="Segoe UI"/>
          <w:sz w:val="22"/>
        </w:rPr>
        <w:t xml:space="preserve">- Apply models to batch or streaming data.</w:t>
      </w:r>
      <w:r>
        <w:rPr>
          <w:rFonts w:ascii="Segoe UI" w:hAnsi="Segoe UI"/>
          <w:sz w:val="22"/>
        </w:rPr>
        <w:t xml:space="preserve"> </w:t>
      </w:r>
      <w:r>
        <w:rPr>
          <w:rFonts w:ascii="Segoe UI" w:hAnsi="Segoe UI"/>
          <w:sz w:val="22"/>
        </w:rPr>
        <w:t xml:space="preserve">- Store scored outputs with metadata for traceability.</w:t>
      </w:r>
    </w:p>
    <w:p>
      <w:pPr>
        <w:pStyle w:val="BodyText"/>
        <w:jc w:val="both"/>
      </w:pPr>
      <w:r>
        <w:rPr>
          <w:rFonts w:ascii="Segoe UI" w:hAnsi="Segoe UI"/>
          <w:sz w:val="22"/>
        </w:rPr>
        <w:t xml:space="preserve">Operational impact:</w:t>
      </w:r>
      <w:r>
        <w:rPr>
          <w:rFonts w:ascii="Segoe UI" w:hAnsi="Segoe UI"/>
          <w:sz w:val="22"/>
        </w:rPr>
        <w:t xml:space="preserve"> </w:t>
      </w:r>
      <w:r>
        <w:rPr>
          <w:rFonts w:ascii="Segoe UI" w:hAnsi="Segoe UI"/>
          <w:sz w:val="22"/>
        </w:rPr>
        <w:t xml:space="preserve">- Delivers actionable insights for UMS’s stakeholders.</w:t>
      </w:r>
      <w:r>
        <w:rPr>
          <w:rFonts w:ascii="Segoe UI" w:hAnsi="Segoe UI"/>
          <w:sz w:val="22"/>
        </w:rPr>
        <w:t xml:space="preserve"> </w:t>
      </w:r>
      <w:r>
        <w:rPr>
          <w:rFonts w:ascii="Segoe UI" w:hAnsi="Segoe UI"/>
          <w:sz w:val="22"/>
        </w:rPr>
        <w:t xml:space="preserve">- Supports continuous monitoring and improvement.</w:t>
      </w:r>
    </w:p>
    <w:bookmarkEnd w:id="84"/>
    <w:bookmarkStart w:id="85" w:name="model-registration"/>
    <w:p>
      <w:pPr>
        <w:pStyle w:val="Heading3"/>
      </w:pPr>
      <w:r>
        <w:rPr>
          <w:rFonts w:ascii="Segoe UI" w:hAnsi="Segoe UI"/>
          <w:b w:val="0"/>
          <w:sz w:val="26"/>
        </w:rPr>
        <w:t xml:space="preserve">Model Registration</w:t>
      </w:r>
    </w:p>
    <w:p>
      <w:pPr>
        <w:pStyle w:val="FirstParagraph"/>
        <w:jc w:val="both"/>
      </w:pPr>
      <w:r>
        <w:rPr>
          <w:rFonts w:ascii="Segoe UI" w:hAnsi="Segoe UI"/>
          <w:sz w:val="22"/>
        </w:rPr>
        <w:t xml:space="preserve">UMS shall register all trained models in the Fabric Model Registry. This ensures robust lifecycle management, versioning, and potential reuse across multiple projects. Model metadata, including training parameters and performance metrics, are stored for compliance and reproducibility.</w:t>
      </w:r>
    </w:p>
    <w:p>
      <w:pPr>
        <w:pStyle w:val="BodyText"/>
        <w:jc w:val="both"/>
      </w:pPr>
      <w:r>
        <w:rPr>
          <w:rFonts w:ascii="Segoe UI" w:hAnsi="Segoe UI"/>
          <w:sz w:val="22"/>
        </w:rPr>
        <w:t xml:space="preserve">Configuration steps:</w:t>
      </w:r>
      <w:r>
        <w:rPr>
          <w:rFonts w:ascii="Segoe UI" w:hAnsi="Segoe UI"/>
          <w:sz w:val="22"/>
        </w:rPr>
        <w:t xml:space="preserve"> </w:t>
      </w:r>
      <w:r>
        <w:rPr>
          <w:rFonts w:ascii="Segoe UI" w:hAnsi="Segoe UI"/>
          <w:sz w:val="22"/>
        </w:rPr>
        <w:t xml:space="preserve">- Register models post-training via Fabric APIs.</w:t>
      </w:r>
      <w:r>
        <w:rPr>
          <w:rFonts w:ascii="Segoe UI" w:hAnsi="Segoe UI"/>
          <w:sz w:val="22"/>
        </w:rPr>
        <w:t xml:space="preserve"> </w:t>
      </w:r>
      <w:r>
        <w:rPr>
          <w:rFonts w:ascii="Segoe UI" w:hAnsi="Segoe UI"/>
          <w:sz w:val="22"/>
        </w:rPr>
        <w:t xml:space="preserve">- Assign version numbers and tags.</w:t>
      </w:r>
      <w:r>
        <w:rPr>
          <w:rFonts w:ascii="Segoe UI" w:hAnsi="Segoe UI"/>
          <w:sz w:val="22"/>
        </w:rPr>
        <w:t xml:space="preserve"> </w:t>
      </w:r>
      <w:r>
        <w:rPr>
          <w:rFonts w:ascii="Segoe UI" w:hAnsi="Segoe UI"/>
          <w:sz w:val="22"/>
        </w:rPr>
        <w:t xml:space="preserve">- Document model lineage and dependencies.</w:t>
      </w:r>
    </w:p>
    <w:p>
      <w:pPr>
        <w:pStyle w:val="BodyText"/>
        <w:jc w:val="both"/>
      </w:pPr>
      <w:r>
        <w:rPr>
          <w:rFonts w:ascii="Segoe UI" w:hAnsi="Segoe UI"/>
          <w:sz w:val="22"/>
        </w:rPr>
        <w:t xml:space="preserve">Operational impact:</w:t>
      </w:r>
      <w:r>
        <w:rPr>
          <w:rFonts w:ascii="Segoe UI" w:hAnsi="Segoe UI"/>
          <w:sz w:val="22"/>
        </w:rPr>
        <w:t xml:space="preserve"> </w:t>
      </w:r>
      <w:r>
        <w:rPr>
          <w:rFonts w:ascii="Segoe UI" w:hAnsi="Segoe UI"/>
          <w:sz w:val="22"/>
        </w:rPr>
        <w:t xml:space="preserve">- Facilitates governance and auditability.</w:t>
      </w:r>
      <w:r>
        <w:rPr>
          <w:rFonts w:ascii="Segoe UI" w:hAnsi="Segoe UI"/>
          <w:sz w:val="22"/>
        </w:rPr>
        <w:t xml:space="preserve"> </w:t>
      </w:r>
      <w:r>
        <w:rPr>
          <w:rFonts w:ascii="Segoe UI" w:hAnsi="Segoe UI"/>
          <w:sz w:val="22"/>
        </w:rPr>
        <w:t xml:space="preserve">- Enables seamless model deployment and reuse.</w:t>
      </w:r>
    </w:p>
    <w:bookmarkEnd w:id="85"/>
    <w:bookmarkStart w:id="86" w:name="visualization"/>
    <w:p>
      <w:pPr>
        <w:pStyle w:val="Heading3"/>
      </w:pPr>
      <w:r>
        <w:rPr>
          <w:rFonts w:ascii="Segoe UI" w:hAnsi="Segoe UI"/>
          <w:b w:val="0"/>
          <w:sz w:val="26"/>
        </w:rPr>
        <w:t xml:space="preserve">Visualization</w:t>
      </w:r>
    </w:p>
    <w:p>
      <w:pPr>
        <w:pStyle w:val="FirstParagraph"/>
        <w:jc w:val="both"/>
      </w:pPr>
      <w:r>
        <w:rPr>
          <w:rFonts w:ascii="Segoe UI" w:hAnsi="Segoe UI"/>
          <w:sz w:val="22"/>
        </w:rPr>
        <w:t xml:space="preserve">The Gold Lakehouse serves as the standardized repository for all modeled and scored results. Power BI connects to the Semantic Model via OneLake, enabling advanced data modeling and visualization. UMS personnel access dashboards and reports for decision-making, research, and operational monitoring.</w:t>
      </w:r>
    </w:p>
    <w:p>
      <w:pPr>
        <w:pStyle w:val="BodyText"/>
        <w:jc w:val="both"/>
      </w:pPr>
      <w:r>
        <w:rPr>
          <w:rFonts w:ascii="Segoe UI" w:hAnsi="Segoe UI"/>
          <w:sz w:val="22"/>
        </w:rPr>
        <w:t xml:space="preserve">Configuration steps:</w:t>
      </w:r>
      <w:r>
        <w:rPr>
          <w:rFonts w:ascii="Segoe UI" w:hAnsi="Segoe UI"/>
          <w:sz w:val="22"/>
        </w:rPr>
        <w:t xml:space="preserve"> </w:t>
      </w:r>
      <w:r>
        <w:rPr>
          <w:rFonts w:ascii="Segoe UI" w:hAnsi="Segoe UI"/>
          <w:sz w:val="22"/>
        </w:rPr>
        <w:t xml:space="preserve">- Configure Semantic Model connections in Power BI Desktop.</w:t>
      </w:r>
      <w:r>
        <w:rPr>
          <w:rFonts w:ascii="Segoe UI" w:hAnsi="Segoe UI"/>
          <w:sz w:val="22"/>
        </w:rPr>
        <w:t xml:space="preserve"> </w:t>
      </w:r>
      <w:r>
        <w:rPr>
          <w:rFonts w:ascii="Segoe UI" w:hAnsi="Segoe UI"/>
          <w:sz w:val="22"/>
        </w:rPr>
        <w:t xml:space="preserve">- Implement Direct Lake connectivity via OneLake.</w:t>
      </w:r>
      <w:r>
        <w:rPr>
          <w:rFonts w:ascii="Segoe UI" w:hAnsi="Segoe UI"/>
          <w:sz w:val="22"/>
        </w:rPr>
        <w:t xml:space="preserve"> </w:t>
      </w:r>
      <w:r>
        <w:rPr>
          <w:rFonts w:ascii="Segoe UI" w:hAnsi="Segoe UI"/>
          <w:sz w:val="22"/>
        </w:rPr>
        <w:t xml:space="preserve">- Design and publish visualizations tailored to UMS’s requirements.</w:t>
      </w:r>
    </w:p>
    <w:p>
      <w:pPr>
        <w:pStyle w:val="BodyText"/>
        <w:jc w:val="both"/>
      </w:pPr>
      <w:r>
        <w:rPr>
          <w:rFonts w:ascii="Segoe UI" w:hAnsi="Segoe UI"/>
          <w:sz w:val="22"/>
        </w:rPr>
        <w:t xml:space="preserve">Operational impact:</w:t>
      </w:r>
      <w:r>
        <w:rPr>
          <w:rFonts w:ascii="Segoe UI" w:hAnsi="Segoe UI"/>
          <w:sz w:val="22"/>
        </w:rPr>
        <w:t xml:space="preserve"> </w:t>
      </w:r>
      <w:r>
        <w:rPr>
          <w:rFonts w:ascii="Segoe UI" w:hAnsi="Segoe UI"/>
          <w:sz w:val="22"/>
        </w:rPr>
        <w:t xml:space="preserve">- Empowers data-driven decision-making.</w:t>
      </w:r>
      <w:r>
        <w:rPr>
          <w:rFonts w:ascii="Segoe UI" w:hAnsi="Segoe UI"/>
          <w:sz w:val="22"/>
        </w:rPr>
        <w:t xml:space="preserve"> </w:t>
      </w:r>
      <w:r>
        <w:rPr>
          <w:rFonts w:ascii="Segoe UI" w:hAnsi="Segoe UI"/>
          <w:sz w:val="22"/>
        </w:rPr>
        <w:t xml:space="preserve">- Enhances transparency and stakeholder engagement.</w:t>
      </w:r>
    </w:p>
    <w:bookmarkEnd w:id="86"/>
    <w:bookmarkEnd w:id="87"/>
    <w:bookmarkStart w:id="88" w:name="design-decisions"/>
    <w:p>
      <w:pPr>
        <w:pStyle w:val="Heading2"/>
      </w:pPr>
      <w:r>
        <w:rPr>
          <w:rFonts w:ascii="Segoe UI" w:hAnsi="Segoe UI"/>
          <w:b w:val="0"/>
          <w:sz w:val="28"/>
        </w:rPr>
        <w:t xml:space="preserve">7.4 Design Decisions</w:t>
      </w:r>
    </w:p>
    <w:p>
      <w:pPr>
        <w:pStyle w:val="FirstParagraph"/>
        <w:jc w:val="both"/>
      </w:pPr>
      <w:r>
        <w:rPr>
          <w:rFonts w:ascii="Segoe UI" w:hAnsi="Segoe UI"/>
          <w:sz w:val="22"/>
        </w:rPr>
        <w:t xml:space="preserve">The following table summarizes key design considerations and their associated workload types for UMS’s AutoML workflow in Microsoft Fabric.</w:t>
      </w:r>
    </w:p>
    <w:p>
      <w:pPr>
        <w:pStyle w:val="BodyText"/>
        <w:jc w:val="both"/>
      </w:pPr>
      <w:r>
        <w:rPr>
          <w:rFonts w:ascii="Segoe UI" w:hAnsi="Segoe UI"/>
          <w:sz w:val="22"/>
        </w:rPr>
        <w:t xml:space="preserve">The table below provides a concise mapping of each major design decision, its description, and the relevant workload type.</w:t>
      </w:r>
    </w:p>
    <w:tbl>
      <w:tblPr>
        <w:tblStyle w:val="GridTable4-Accent11"/>
        <w:tblW w:type="pct" w:w="5000"/>
        <w:tblLayout w:type="autofit"/>
        <w:tblLook w:firstRow="1" w:lastRow="0" w:firstColumn="1" w:lastColumn="0" w:noHBand="0" w:noVBand="1" w:val="04A0"/>
      </w:tblPr>
      <w:tblGrid>
        <w:gridCol w:w="332"/>
        <w:gridCol w:w="6480"/>
        <w:gridCol w:w="1107"/>
      </w:tblGrid>
      <w:tr>
        <w:trPr>
          <w:tblHeader w:val="on"/>
        </w:trPr>
        <w:tc>
          <w:tcPr/>
          <w:p>
            <w:pPr>
              <w:pStyle w:val="Compact"/>
            </w:pPr>
            <w:r>
              <w:rPr>
                <w:rFonts w:ascii="Segoe UI" w:hAnsi="Segoe UI"/>
                <w:sz w:val="22"/>
              </w:rPr>
              <w:t xml:space="preserve">ID</w:t>
            </w:r>
          </w:p>
        </w:tc>
        <w:tc>
          <w:tcPr/>
          <w:p>
            <w:pPr>
              <w:pStyle w:val="Compact"/>
            </w:pPr>
            <w:r>
              <w:rPr>
                <w:rFonts w:ascii="Segoe UI" w:hAnsi="Segoe UI"/>
                <w:sz w:val="22"/>
              </w:rPr>
              <w:t xml:space="preserve">Description</w:t>
            </w:r>
          </w:p>
        </w:tc>
        <w:tc>
          <w:tcPr/>
          <w:p>
            <w:pPr>
              <w:pStyle w:val="Compact"/>
            </w:pPr>
            <w:r>
              <w:rPr>
                <w:rFonts w:ascii="Segoe UI" w:hAnsi="Segoe UI"/>
                <w:sz w:val="22"/>
              </w:rPr>
              <w:t xml:space="preserve">Workload Type</w:t>
            </w:r>
          </w:p>
        </w:tc>
      </w:tr>
      <w:tr>
        <w:tc>
          <w:tcPr/>
          <w:p>
            <w:pPr>
              <w:pStyle w:val="Compact"/>
            </w:pPr>
            <w:r>
              <w:rPr>
                <w:rFonts w:ascii="Segoe UI" w:hAnsi="Segoe UI"/>
                <w:sz w:val="22"/>
              </w:rPr>
              <w:t xml:space="preserve">DE01</w:t>
            </w:r>
          </w:p>
        </w:tc>
        <w:tc>
          <w:tcPr/>
          <w:p>
            <w:pPr>
              <w:pStyle w:val="Compact"/>
            </w:pPr>
            <w:r>
              <w:rPr>
                <w:rFonts w:ascii="Segoe UI" w:hAnsi="Segoe UI"/>
                <w:sz w:val="22"/>
              </w:rPr>
              <w:t xml:space="preserve">The cleaned data stored in Silver Lakehouse will serve as the input for all machine learning experimentation. The chosen data will be one of the programs selected from the overall Staging DB.</w:t>
            </w:r>
          </w:p>
        </w:tc>
        <w:tc>
          <w:tcPr/>
          <w:p>
            <w:pPr>
              <w:pStyle w:val="Compact"/>
            </w:pPr>
            <w:r>
              <w:rPr>
                <w:rFonts w:ascii="Segoe UI" w:hAnsi="Segoe UI"/>
                <w:sz w:val="22"/>
              </w:rPr>
              <w:t xml:space="preserve">Data Engineering</w:t>
            </w:r>
          </w:p>
        </w:tc>
      </w:tr>
      <w:tr>
        <w:tc>
          <w:tcPr/>
          <w:p>
            <w:pPr>
              <w:pStyle w:val="Compact"/>
            </w:pPr>
            <w:r>
              <w:rPr>
                <w:rFonts w:ascii="Segoe UI" w:hAnsi="Segoe UI"/>
                <w:sz w:val="22"/>
              </w:rPr>
              <w:t xml:space="preserve">DE02</w:t>
            </w:r>
          </w:p>
        </w:tc>
        <w:tc>
          <w:tcPr/>
          <w:p>
            <w:pPr>
              <w:pStyle w:val="Compact"/>
            </w:pPr>
            <w:r>
              <w:rPr>
                <w:rFonts w:ascii="Segoe UI" w:hAnsi="Segoe UI"/>
                <w:sz w:val="22"/>
              </w:rPr>
              <w:t xml:space="preserve">The Project will primarily adopt the Manual Machine Learning approach using Fabric Notebooks (PySpark or Python) to enable custom feature engineering, algorithm tuning, and model optimization.</w:t>
            </w:r>
          </w:p>
        </w:tc>
        <w:tc>
          <w:tcPr/>
          <w:p>
            <w:pPr>
              <w:pStyle w:val="Compact"/>
            </w:pPr>
            <w:r>
              <w:rPr>
                <w:rFonts w:ascii="Segoe UI" w:hAnsi="Segoe UI"/>
                <w:sz w:val="22"/>
              </w:rPr>
              <w:t xml:space="preserve">Data Science</w:t>
            </w:r>
          </w:p>
        </w:tc>
      </w:tr>
      <w:tr>
        <w:tc>
          <w:tcPr/>
          <w:p>
            <w:pPr>
              <w:pStyle w:val="Compact"/>
            </w:pPr>
            <w:r>
              <w:rPr>
                <w:rFonts w:ascii="Segoe UI" w:hAnsi="Segoe UI"/>
                <w:sz w:val="22"/>
              </w:rPr>
              <w:t xml:space="preserve">DE03</w:t>
            </w:r>
          </w:p>
        </w:tc>
        <w:tc>
          <w:tcPr/>
          <w:p>
            <w:pPr>
              <w:pStyle w:val="Compact"/>
            </w:pPr>
            <w:r>
              <w:rPr>
                <w:rFonts w:ascii="Segoe UI" w:hAnsi="Segoe UI"/>
                <w:sz w:val="22"/>
              </w:rPr>
              <w:t xml:space="preserve">Users will perform model training, evaluation, and fine-tuning directly in the Notebook environment to achieve more accurate and explainable results tailored to UMS’s datasets.</w:t>
            </w:r>
          </w:p>
        </w:tc>
        <w:tc>
          <w:tcPr/>
          <w:p>
            <w:pPr>
              <w:pStyle w:val="Compact"/>
            </w:pPr>
            <w:r>
              <w:rPr>
                <w:rFonts w:ascii="Segoe UI" w:hAnsi="Segoe UI"/>
                <w:sz w:val="22"/>
              </w:rPr>
              <w:t xml:space="preserve">Data Science</w:t>
            </w:r>
          </w:p>
        </w:tc>
      </w:tr>
      <w:tr>
        <w:tc>
          <w:tcPr/>
          <w:p>
            <w:pPr>
              <w:pStyle w:val="Compact"/>
            </w:pPr>
            <w:r>
              <w:rPr>
                <w:rFonts w:ascii="Segoe UI" w:hAnsi="Segoe UI"/>
                <w:sz w:val="22"/>
              </w:rPr>
              <w:t xml:space="preserve">DE04</w:t>
            </w:r>
          </w:p>
        </w:tc>
        <w:tc>
          <w:tcPr/>
          <w:p>
            <w:pPr>
              <w:pStyle w:val="Compact"/>
            </w:pPr>
            <w:r>
              <w:rPr>
                <w:rFonts w:ascii="Segoe UI" w:hAnsi="Segoe UI"/>
                <w:sz w:val="22"/>
              </w:rPr>
              <w:t xml:space="preserve">Trained models will be registered in the Fabric Model Registry to support model lifecycle management, versioning, and potential reuse across further adoption.</w:t>
            </w:r>
          </w:p>
        </w:tc>
        <w:tc>
          <w:tcPr/>
          <w:p>
            <w:pPr>
              <w:pStyle w:val="Compact"/>
            </w:pPr>
            <w:r>
              <w:rPr>
                <w:rFonts w:ascii="Segoe UI" w:hAnsi="Segoe UI"/>
                <w:sz w:val="22"/>
              </w:rPr>
              <w:t xml:space="preserve">Data Science</w:t>
            </w:r>
          </w:p>
        </w:tc>
      </w:tr>
      <w:tr>
        <w:tc>
          <w:tcPr/>
          <w:p>
            <w:pPr>
              <w:pStyle w:val="Compact"/>
            </w:pPr>
            <w:r>
              <w:rPr>
                <w:rFonts w:ascii="Segoe UI" w:hAnsi="Segoe UI"/>
                <w:sz w:val="22"/>
              </w:rPr>
              <w:t xml:space="preserve">DE05</w:t>
            </w:r>
          </w:p>
        </w:tc>
        <w:tc>
          <w:tcPr/>
          <w:p>
            <w:pPr>
              <w:pStyle w:val="Compact"/>
            </w:pPr>
            <w:r>
              <w:rPr>
                <w:rFonts w:ascii="Segoe UI" w:hAnsi="Segoe UI"/>
                <w:sz w:val="22"/>
              </w:rPr>
              <w:t xml:space="preserve">Scoring Notebooks will be used to apply trained models to new or unseen data. The scored outputs, predictions, probabilities, and performance metrics will be stored in the Gold Lakehouse.</w:t>
            </w:r>
          </w:p>
        </w:tc>
        <w:tc>
          <w:tcPr/>
          <w:p>
            <w:pPr>
              <w:pStyle w:val="Compact"/>
            </w:pPr>
            <w:r>
              <w:rPr>
                <w:rFonts w:ascii="Segoe UI" w:hAnsi="Segoe UI"/>
                <w:sz w:val="22"/>
              </w:rPr>
              <w:t xml:space="preserve">Data Engineering</w:t>
            </w:r>
          </w:p>
        </w:tc>
      </w:tr>
      <w:tr>
        <w:tc>
          <w:tcPr/>
          <w:p>
            <w:pPr>
              <w:pStyle w:val="Compact"/>
            </w:pPr>
            <w:r>
              <w:rPr>
                <w:rFonts w:ascii="Segoe UI" w:hAnsi="Segoe UI"/>
                <w:sz w:val="22"/>
              </w:rPr>
              <w:t xml:space="preserve">DE06</w:t>
            </w:r>
          </w:p>
        </w:tc>
        <w:tc>
          <w:tcPr/>
          <w:p>
            <w:pPr>
              <w:pStyle w:val="Compact"/>
            </w:pPr>
            <w:r>
              <w:rPr>
                <w:rFonts w:ascii="Segoe UI" w:hAnsi="Segoe UI"/>
                <w:sz w:val="22"/>
              </w:rPr>
              <w:t xml:space="preserve">The Gold Lakehouse will serve as the standardized repository for all modeled or scored results, ensuring consistency between AutoML and manual ML outputs.</w:t>
            </w:r>
          </w:p>
        </w:tc>
        <w:tc>
          <w:tcPr/>
          <w:p>
            <w:pPr>
              <w:pStyle w:val="Compact"/>
            </w:pPr>
            <w:r>
              <w:rPr>
                <w:rFonts w:ascii="Segoe UI" w:hAnsi="Segoe UI"/>
                <w:sz w:val="22"/>
              </w:rPr>
              <w:t xml:space="preserve">Data Engineering</w:t>
            </w:r>
          </w:p>
        </w:tc>
      </w:tr>
      <w:tr>
        <w:tc>
          <w:tcPr/>
          <w:p>
            <w:pPr>
              <w:pStyle w:val="Compact"/>
            </w:pPr>
            <w:r>
              <w:rPr>
                <w:rFonts w:ascii="Segoe UI" w:hAnsi="Segoe UI"/>
                <w:sz w:val="22"/>
              </w:rPr>
              <w:t xml:space="preserve">DE07</w:t>
            </w:r>
          </w:p>
        </w:tc>
        <w:tc>
          <w:tcPr/>
          <w:p>
            <w:pPr>
              <w:pStyle w:val="Compact"/>
            </w:pPr>
            <w:r>
              <w:rPr>
                <w:rFonts w:ascii="Segoe UI" w:hAnsi="Segoe UI"/>
                <w:sz w:val="22"/>
              </w:rPr>
              <w:t xml:space="preserve">The Semantic Model will connect to the Gold Lakehouse via Direct Lake (OneLake) and Data Modelling will be implemented</w:t>
            </w:r>
          </w:p>
        </w:tc>
        <w:tc>
          <w:tcPr/>
          <w:p>
            <w:pPr>
              <w:pStyle w:val="Compact"/>
            </w:pPr>
            <w:r>
              <w:rPr>
                <w:rFonts w:ascii="Segoe UI" w:hAnsi="Segoe UI"/>
                <w:sz w:val="22"/>
              </w:rPr>
              <w:t xml:space="preserve">Power BI</w:t>
            </w:r>
          </w:p>
        </w:tc>
      </w:tr>
      <w:tr>
        <w:tc>
          <w:tcPr/>
          <w:p>
            <w:pPr>
              <w:pStyle w:val="Compact"/>
            </w:pPr>
            <w:r>
              <w:rPr>
                <w:rFonts w:ascii="Segoe UI" w:hAnsi="Segoe UI"/>
                <w:sz w:val="22"/>
              </w:rPr>
              <w:t xml:space="preserve">DE08</w:t>
            </w:r>
          </w:p>
        </w:tc>
        <w:tc>
          <w:tcPr/>
          <w:p>
            <w:pPr>
              <w:pStyle w:val="Compact"/>
            </w:pPr>
            <w:r>
              <w:rPr>
                <w:rFonts w:ascii="Segoe UI" w:hAnsi="Segoe UI"/>
                <w:sz w:val="22"/>
              </w:rPr>
              <w:t xml:space="preserve">Power BI Desktop will connect to the Semantic Model via OneLake for data visualization.</w:t>
            </w:r>
          </w:p>
        </w:tc>
        <w:tc>
          <w:tcPr/>
          <w:p>
            <w:pPr>
              <w:pStyle w:val="Compact"/>
            </w:pPr>
            <w:r>
              <w:rPr>
                <w:rFonts w:ascii="Segoe UI" w:hAnsi="Segoe UI"/>
                <w:sz w:val="22"/>
              </w:rPr>
              <w:t xml:space="preserve">Power BI</w:t>
            </w:r>
          </w:p>
        </w:tc>
      </w:tr>
    </w:tbl>
    <w:p>
      <w:pPr>
        <w:pStyle w:val="BodyText"/>
        <w:jc w:val="both"/>
      </w:pPr>
      <w:r>
        <w:rPr>
          <w:rFonts w:ascii="Segoe UI" w:hAnsi="Segoe UI"/>
          <w:sz w:val="22"/>
        </w:rPr>
        <w:t xml:space="preserve">These decisions ensure that UMS’s AutoML workflow is robust, scalable, and aligned with operational, analytical, and governance requirements.</w:t>
      </w:r>
    </w:p>
    <w:bookmarkEnd w:id="88"/>
    <w:bookmarkEnd w:id="89"/>
    <w:bookmarkStart w:id="181" w:name="appendix"/>
    <w:p>
      <w:pPr>
        <w:pStyle w:val="Heading1"/>
        <w:pageBreakBefore/>
      </w:pPr>
      <w:r>
        <w:rPr>
          <w:rFonts w:ascii="Segoe UI" w:hAnsi="Segoe UI"/>
          <w:b w:val="0"/>
          <w:sz w:val="30"/>
        </w:rPr>
        <w:t xml:space="preserve">8.0 Appendix</w:t>
      </w:r>
    </w:p>
    <w:p>
      <w:pPr>
        <w:pStyle w:val="FirstParagraph"/>
        <w:jc w:val="both"/>
      </w:pPr>
      <w:r>
        <w:rPr>
          <w:rFonts w:ascii="Segoe UI" w:hAnsi="Segoe UI"/>
          <w:sz w:val="22"/>
        </w:rPr>
        <w:t xml:space="preserve">This appendix provides authoritative reference material and supplementary links to support Universiti Malaysia Sabah’s solution design. Each section is organized by technology domain, offering prerequisites, quota boundaries, and further reading.</w:t>
      </w:r>
    </w:p>
    <w:bookmarkStart w:id="102" w:name="appendix-1-computing"/>
    <w:p>
      <w:pPr>
        <w:pStyle w:val="Heading2"/>
      </w:pPr>
      <w:r>
        <w:rPr>
          <w:rFonts w:ascii="Segoe UI" w:hAnsi="Segoe UI"/>
          <w:b w:val="0"/>
          <w:sz w:val="28"/>
        </w:rPr>
        <w:t xml:space="preserve">8.1 Appendix 1 Computing</w:t>
      </w:r>
    </w:p>
    <w:bookmarkStart w:id="93" w:name="introductionprerequisites"/>
    <w:p>
      <w:pPr>
        <w:pStyle w:val="Heading3"/>
      </w:pPr>
      <w:r>
        <w:rPr>
          <w:rFonts w:ascii="Segoe UI" w:hAnsi="Segoe UI"/>
          <w:b w:val="0"/>
          <w:sz w:val="26"/>
        </w:rPr>
        <w:t xml:space="preserve">Introduction/Prerequisites</w:t>
      </w:r>
    </w:p>
    <w:p>
      <w:pPr>
        <w:pStyle w:val="Compact"/>
        <w:numPr>
          <w:ilvl w:val="0"/>
          <w:numId w:val="1002"/>
        </w:numPr>
        <w:jc w:val="both"/>
      </w:pPr>
      <w:hyperlink r:id="rId90">
        <w:r>
          <w:rPr>
            <w:rStyle w:val="Hyperlink"/>
          </w:rPr>
          <w:t xml:space="preserve">Azure Virtual Machines Documentation</w:t>
        </w:r>
      </w:hyperlink>
    </w:p>
    <w:p>
      <w:pPr>
        <w:pStyle w:val="Compact"/>
        <w:numPr>
          <w:ilvl w:val="0"/>
          <w:numId w:val="1002"/>
        </w:numPr>
        <w:jc w:val="both"/>
      </w:pPr>
      <w:hyperlink r:id="rId91">
        <w:r>
          <w:rPr>
            <w:rStyle w:val="Hyperlink"/>
          </w:rPr>
          <w:t xml:space="preserve">Azure Compute Overview</w:t>
        </w:r>
      </w:hyperlink>
    </w:p>
    <w:p>
      <w:pPr>
        <w:pStyle w:val="Compact"/>
        <w:numPr>
          <w:ilvl w:val="0"/>
          <w:numId w:val="1002"/>
        </w:numPr>
        <w:jc w:val="both"/>
      </w:pPr>
      <w:hyperlink r:id="rId92">
        <w:r>
          <w:rPr>
            <w:rStyle w:val="Hyperlink"/>
          </w:rPr>
          <w:t xml:space="preserve">Azure Resource Manager Templates</w:t>
        </w:r>
      </w:hyperlink>
    </w:p>
    <w:bookmarkEnd w:id="93"/>
    <w:bookmarkStart w:id="97" w:name="limits-and-boundaries"/>
    <w:p>
      <w:pPr>
        <w:pStyle w:val="Heading3"/>
      </w:pPr>
      <w:r>
        <w:rPr>
          <w:rFonts w:ascii="Segoe UI" w:hAnsi="Segoe UI"/>
          <w:b w:val="0"/>
          <w:sz w:val="26"/>
        </w:rPr>
        <w:t xml:space="preserve">Limits and Boundaries</w:t>
      </w:r>
    </w:p>
    <w:p>
      <w:pPr>
        <w:pStyle w:val="Compact"/>
        <w:numPr>
          <w:ilvl w:val="0"/>
          <w:numId w:val="1003"/>
        </w:numPr>
        <w:jc w:val="both"/>
      </w:pPr>
      <w:hyperlink r:id="rId94">
        <w:r>
          <w:rPr>
            <w:rStyle w:val="Hyperlink"/>
          </w:rPr>
          <w:t xml:space="preserve">Azure VM Size Limits</w:t>
        </w:r>
      </w:hyperlink>
    </w:p>
    <w:p>
      <w:pPr>
        <w:pStyle w:val="Compact"/>
        <w:numPr>
          <w:ilvl w:val="0"/>
          <w:numId w:val="1003"/>
        </w:numPr>
        <w:jc w:val="both"/>
      </w:pPr>
      <w:hyperlink r:id="rId95">
        <w:r>
          <w:rPr>
            <w:rStyle w:val="Hyperlink"/>
          </w:rPr>
          <w:t xml:space="preserve">Azure Subscription and Service Limits, Quotas, and Constraints</w:t>
        </w:r>
      </w:hyperlink>
    </w:p>
    <w:p>
      <w:pPr>
        <w:pStyle w:val="Compact"/>
        <w:numPr>
          <w:ilvl w:val="0"/>
          <w:numId w:val="1003"/>
        </w:numPr>
        <w:jc w:val="both"/>
      </w:pPr>
      <w:hyperlink r:id="rId96">
        <w:r>
          <w:rPr>
            <w:rStyle w:val="Hyperlink"/>
          </w:rPr>
          <w:t xml:space="preserve">Azure Compute Quotas</w:t>
        </w:r>
      </w:hyperlink>
    </w:p>
    <w:bookmarkEnd w:id="97"/>
    <w:bookmarkStart w:id="101" w:name="others"/>
    <w:p>
      <w:pPr>
        <w:pStyle w:val="Heading3"/>
      </w:pPr>
      <w:r>
        <w:rPr>
          <w:rFonts w:ascii="Segoe UI" w:hAnsi="Segoe UI"/>
          <w:b w:val="0"/>
          <w:sz w:val="26"/>
        </w:rPr>
        <w:t xml:space="preserve">Others</w:t>
      </w:r>
    </w:p>
    <w:p>
      <w:pPr>
        <w:pStyle w:val="Compact"/>
        <w:numPr>
          <w:ilvl w:val="0"/>
          <w:numId w:val="1004"/>
        </w:numPr>
        <w:jc w:val="both"/>
      </w:pPr>
      <w:hyperlink r:id="rId98">
        <w:r>
          <w:rPr>
            <w:rStyle w:val="Hyperlink"/>
          </w:rPr>
          <w:t xml:space="preserve">Azure Spot Virtual Machines</w:t>
        </w:r>
      </w:hyperlink>
    </w:p>
    <w:p>
      <w:pPr>
        <w:pStyle w:val="Compact"/>
        <w:numPr>
          <w:ilvl w:val="0"/>
          <w:numId w:val="1004"/>
        </w:numPr>
        <w:jc w:val="both"/>
      </w:pPr>
      <w:hyperlink r:id="rId99">
        <w:r>
          <w:rPr>
            <w:rStyle w:val="Hyperlink"/>
          </w:rPr>
          <w:t xml:space="preserve">Azure Managed Disks Documentation</w:t>
        </w:r>
      </w:hyperlink>
    </w:p>
    <w:p>
      <w:pPr>
        <w:pStyle w:val="Compact"/>
        <w:numPr>
          <w:ilvl w:val="0"/>
          <w:numId w:val="1004"/>
        </w:numPr>
        <w:jc w:val="both"/>
      </w:pPr>
      <w:hyperlink r:id="rId100">
        <w:r>
          <w:rPr>
            <w:rStyle w:val="Hyperlink"/>
          </w:rPr>
          <w:t xml:space="preserve">Azure VM Availability Sets</w:t>
        </w:r>
      </w:hyperlink>
    </w:p>
    <w:bookmarkEnd w:id="101"/>
    <w:bookmarkEnd w:id="102"/>
    <w:bookmarkStart w:id="115" w:name="appendix-2-network"/>
    <w:p>
      <w:pPr>
        <w:pStyle w:val="Heading2"/>
      </w:pPr>
      <w:r>
        <w:rPr>
          <w:rFonts w:ascii="Segoe UI" w:hAnsi="Segoe UI"/>
          <w:b w:val="0"/>
          <w:sz w:val="28"/>
        </w:rPr>
        <w:t xml:space="preserve">8.2 Appendix 2 Network</w:t>
      </w:r>
    </w:p>
    <w:bookmarkStart w:id="106" w:name="introductionprerequisites-1"/>
    <w:p>
      <w:pPr>
        <w:pStyle w:val="Heading3"/>
      </w:pPr>
      <w:r>
        <w:rPr>
          <w:rFonts w:ascii="Segoe UI" w:hAnsi="Segoe UI"/>
          <w:b w:val="0"/>
          <w:sz w:val="26"/>
        </w:rPr>
        <w:t xml:space="preserve">Introduction/Prerequisites</w:t>
      </w:r>
    </w:p>
    <w:p>
      <w:pPr>
        <w:pStyle w:val="Compact"/>
        <w:numPr>
          <w:ilvl w:val="0"/>
          <w:numId w:val="1005"/>
        </w:numPr>
        <w:jc w:val="both"/>
      </w:pPr>
      <w:hyperlink r:id="rId103">
        <w:r>
          <w:rPr>
            <w:rStyle w:val="Hyperlink"/>
          </w:rPr>
          <w:t xml:space="preserve">Azure Virtual Network Documentation</w:t>
        </w:r>
      </w:hyperlink>
    </w:p>
    <w:p>
      <w:pPr>
        <w:pStyle w:val="Compact"/>
        <w:numPr>
          <w:ilvl w:val="0"/>
          <w:numId w:val="1005"/>
        </w:numPr>
        <w:jc w:val="both"/>
      </w:pPr>
      <w:hyperlink r:id="rId104">
        <w:r>
          <w:rPr>
            <w:rStyle w:val="Hyperlink"/>
          </w:rPr>
          <w:t xml:space="preserve">Azure Network Security Overview</w:t>
        </w:r>
      </w:hyperlink>
    </w:p>
    <w:p>
      <w:pPr>
        <w:pStyle w:val="Compact"/>
        <w:numPr>
          <w:ilvl w:val="0"/>
          <w:numId w:val="1005"/>
        </w:numPr>
        <w:jc w:val="both"/>
      </w:pPr>
      <w:hyperlink r:id="rId105">
        <w:r>
          <w:rPr>
            <w:rStyle w:val="Hyperlink"/>
          </w:rPr>
          <w:t xml:space="preserve">Azure ExpressRoute Documentation</w:t>
        </w:r>
      </w:hyperlink>
    </w:p>
    <w:bookmarkEnd w:id="106"/>
    <w:bookmarkStart w:id="110" w:name="limits-and-boundaries-1"/>
    <w:p>
      <w:pPr>
        <w:pStyle w:val="Heading3"/>
      </w:pPr>
      <w:r>
        <w:rPr>
          <w:rFonts w:ascii="Segoe UI" w:hAnsi="Segoe UI"/>
          <w:b w:val="0"/>
          <w:sz w:val="26"/>
        </w:rPr>
        <w:t xml:space="preserve">Limits and Boundaries</w:t>
      </w:r>
    </w:p>
    <w:p>
      <w:pPr>
        <w:pStyle w:val="Compact"/>
        <w:numPr>
          <w:ilvl w:val="0"/>
          <w:numId w:val="1006"/>
        </w:numPr>
        <w:jc w:val="both"/>
      </w:pPr>
      <w:hyperlink r:id="rId107">
        <w:r>
          <w:rPr>
            <w:rStyle w:val="Hyperlink"/>
          </w:rPr>
          <w:t xml:space="preserve">Azure Networking Limits</w:t>
        </w:r>
      </w:hyperlink>
    </w:p>
    <w:p>
      <w:pPr>
        <w:pStyle w:val="Compact"/>
        <w:numPr>
          <w:ilvl w:val="0"/>
          <w:numId w:val="1006"/>
        </w:numPr>
        <w:jc w:val="both"/>
      </w:pPr>
      <w:hyperlink r:id="rId108">
        <w:r>
          <w:rPr>
            <w:rStyle w:val="Hyperlink"/>
          </w:rPr>
          <w:t xml:space="preserve">Azure VPN Gateway Limits</w:t>
        </w:r>
      </w:hyperlink>
    </w:p>
    <w:p>
      <w:pPr>
        <w:pStyle w:val="Compact"/>
        <w:numPr>
          <w:ilvl w:val="0"/>
          <w:numId w:val="1006"/>
        </w:numPr>
        <w:jc w:val="both"/>
      </w:pPr>
      <w:hyperlink r:id="rId109">
        <w:r>
          <w:rPr>
            <w:rStyle w:val="Hyperlink"/>
          </w:rPr>
          <w:t xml:space="preserve">Azure Load Balancer Limits</w:t>
        </w:r>
      </w:hyperlink>
    </w:p>
    <w:bookmarkEnd w:id="110"/>
    <w:bookmarkStart w:id="114" w:name="others-1"/>
    <w:p>
      <w:pPr>
        <w:pStyle w:val="Heading3"/>
      </w:pPr>
      <w:r>
        <w:rPr>
          <w:rFonts w:ascii="Segoe UI" w:hAnsi="Segoe UI"/>
          <w:b w:val="0"/>
          <w:sz w:val="26"/>
        </w:rPr>
        <w:t xml:space="preserve">Others</w:t>
      </w:r>
    </w:p>
    <w:p>
      <w:pPr>
        <w:pStyle w:val="Compact"/>
        <w:numPr>
          <w:ilvl w:val="0"/>
          <w:numId w:val="1007"/>
        </w:numPr>
        <w:jc w:val="both"/>
      </w:pPr>
      <w:hyperlink r:id="rId111">
        <w:r>
          <w:rPr>
            <w:rStyle w:val="Hyperlink"/>
          </w:rPr>
          <w:t xml:space="preserve">Azure Private Link Documentation</w:t>
        </w:r>
      </w:hyperlink>
    </w:p>
    <w:p>
      <w:pPr>
        <w:pStyle w:val="Compact"/>
        <w:numPr>
          <w:ilvl w:val="0"/>
          <w:numId w:val="1007"/>
        </w:numPr>
        <w:jc w:val="both"/>
      </w:pPr>
      <w:hyperlink r:id="rId112">
        <w:r>
          <w:rPr>
            <w:rStyle w:val="Hyperlink"/>
          </w:rPr>
          <w:t xml:space="preserve">Azure DNS Documentation</w:t>
        </w:r>
      </w:hyperlink>
    </w:p>
    <w:p>
      <w:pPr>
        <w:pStyle w:val="Compact"/>
        <w:numPr>
          <w:ilvl w:val="0"/>
          <w:numId w:val="1007"/>
        </w:numPr>
        <w:jc w:val="both"/>
      </w:pPr>
      <w:hyperlink r:id="rId113">
        <w:r>
          <w:rPr>
            <w:rStyle w:val="Hyperlink"/>
          </w:rPr>
          <w:t xml:space="preserve">Azure Traffic Manager Documentation</w:t>
        </w:r>
      </w:hyperlink>
    </w:p>
    <w:bookmarkEnd w:id="114"/>
    <w:bookmarkEnd w:id="115"/>
    <w:bookmarkStart w:id="128" w:name="appendix-3-identity-security"/>
    <w:p>
      <w:pPr>
        <w:pStyle w:val="Heading2"/>
      </w:pPr>
      <w:r>
        <w:rPr>
          <w:rFonts w:ascii="Segoe UI" w:hAnsi="Segoe UI"/>
          <w:b w:val="0"/>
          <w:sz w:val="28"/>
        </w:rPr>
        <w:t xml:space="preserve">8.3 Appendix 3 Identity &amp; Security</w:t>
      </w:r>
    </w:p>
    <w:bookmarkStart w:id="119" w:name="introductionprerequisites-2"/>
    <w:p>
      <w:pPr>
        <w:pStyle w:val="Heading3"/>
      </w:pPr>
      <w:r>
        <w:rPr>
          <w:rFonts w:ascii="Segoe UI" w:hAnsi="Segoe UI"/>
          <w:b w:val="0"/>
          <w:sz w:val="26"/>
        </w:rPr>
        <w:t xml:space="preserve">Introduction/Prerequisites</w:t>
      </w:r>
    </w:p>
    <w:p>
      <w:pPr>
        <w:pStyle w:val="Compact"/>
        <w:numPr>
          <w:ilvl w:val="0"/>
          <w:numId w:val="1008"/>
        </w:numPr>
        <w:jc w:val="both"/>
      </w:pPr>
      <w:hyperlink r:id="rId116">
        <w:r>
          <w:rPr>
            <w:rStyle w:val="Hyperlink"/>
          </w:rPr>
          <w:t xml:space="preserve">Azure Active Directory Documentation</w:t>
        </w:r>
      </w:hyperlink>
    </w:p>
    <w:p>
      <w:pPr>
        <w:pStyle w:val="Compact"/>
        <w:numPr>
          <w:ilvl w:val="0"/>
          <w:numId w:val="1008"/>
        </w:numPr>
        <w:jc w:val="both"/>
      </w:pPr>
      <w:hyperlink r:id="rId117">
        <w:r>
          <w:rPr>
            <w:rStyle w:val="Hyperlink"/>
          </w:rPr>
          <w:t xml:space="preserve">Azure Security Center Documentation</w:t>
        </w:r>
      </w:hyperlink>
    </w:p>
    <w:p>
      <w:pPr>
        <w:pStyle w:val="Compact"/>
        <w:numPr>
          <w:ilvl w:val="0"/>
          <w:numId w:val="1008"/>
        </w:numPr>
        <w:jc w:val="both"/>
      </w:pPr>
      <w:hyperlink r:id="rId118">
        <w:r>
          <w:rPr>
            <w:rStyle w:val="Hyperlink"/>
          </w:rPr>
          <w:t xml:space="preserve">Azure Identity Management Overview</w:t>
        </w:r>
      </w:hyperlink>
    </w:p>
    <w:bookmarkEnd w:id="119"/>
    <w:bookmarkStart w:id="123" w:name="limits-and-boundaries-2"/>
    <w:p>
      <w:pPr>
        <w:pStyle w:val="Heading3"/>
      </w:pPr>
      <w:r>
        <w:rPr>
          <w:rFonts w:ascii="Segoe UI" w:hAnsi="Segoe UI"/>
          <w:b w:val="0"/>
          <w:sz w:val="26"/>
        </w:rPr>
        <w:t xml:space="preserve">Limits and Boundaries</w:t>
      </w:r>
    </w:p>
    <w:p>
      <w:pPr>
        <w:pStyle w:val="Compact"/>
        <w:numPr>
          <w:ilvl w:val="0"/>
          <w:numId w:val="1009"/>
        </w:numPr>
        <w:jc w:val="both"/>
      </w:pPr>
      <w:hyperlink r:id="rId120">
        <w:r>
          <w:rPr>
            <w:rStyle w:val="Hyperlink"/>
          </w:rPr>
          <w:t xml:space="preserve">Azure AD Service Limits</w:t>
        </w:r>
      </w:hyperlink>
    </w:p>
    <w:p>
      <w:pPr>
        <w:pStyle w:val="Compact"/>
        <w:numPr>
          <w:ilvl w:val="0"/>
          <w:numId w:val="1009"/>
        </w:numPr>
        <w:jc w:val="both"/>
      </w:pPr>
      <w:hyperlink r:id="rId121">
        <w:r>
          <w:rPr>
            <w:rStyle w:val="Hyperlink"/>
          </w:rPr>
          <w:t xml:space="preserve">Azure Security Center Limits</w:t>
        </w:r>
      </w:hyperlink>
    </w:p>
    <w:p>
      <w:pPr>
        <w:pStyle w:val="Compact"/>
        <w:numPr>
          <w:ilvl w:val="0"/>
          <w:numId w:val="1009"/>
        </w:numPr>
        <w:jc w:val="both"/>
      </w:pPr>
      <w:hyperlink r:id="rId122">
        <w:r>
          <w:rPr>
            <w:rStyle w:val="Hyperlink"/>
          </w:rPr>
          <w:t xml:space="preserve">Azure Role-Based Access Control Limits</w:t>
        </w:r>
      </w:hyperlink>
    </w:p>
    <w:bookmarkEnd w:id="123"/>
    <w:bookmarkStart w:id="127" w:name="others-2"/>
    <w:p>
      <w:pPr>
        <w:pStyle w:val="Heading3"/>
      </w:pPr>
      <w:r>
        <w:rPr>
          <w:rFonts w:ascii="Segoe UI" w:hAnsi="Segoe UI"/>
          <w:b w:val="0"/>
          <w:sz w:val="26"/>
        </w:rPr>
        <w:t xml:space="preserve">Others</w:t>
      </w:r>
    </w:p>
    <w:p>
      <w:pPr>
        <w:pStyle w:val="Compact"/>
        <w:numPr>
          <w:ilvl w:val="0"/>
          <w:numId w:val="1010"/>
        </w:numPr>
        <w:jc w:val="both"/>
      </w:pPr>
      <w:hyperlink r:id="rId124">
        <w:r>
          <w:rPr>
            <w:rStyle w:val="Hyperlink"/>
          </w:rPr>
          <w:t xml:space="preserve">Azure Conditional Access Documentation</w:t>
        </w:r>
      </w:hyperlink>
    </w:p>
    <w:p>
      <w:pPr>
        <w:pStyle w:val="Compact"/>
        <w:numPr>
          <w:ilvl w:val="0"/>
          <w:numId w:val="1010"/>
        </w:numPr>
        <w:jc w:val="both"/>
      </w:pPr>
      <w:hyperlink r:id="rId125">
        <w:r>
          <w:rPr>
            <w:rStyle w:val="Hyperlink"/>
          </w:rPr>
          <w:t xml:space="preserve">Azure Key Vault Documentation</w:t>
        </w:r>
      </w:hyperlink>
    </w:p>
    <w:p>
      <w:pPr>
        <w:pStyle w:val="Compact"/>
        <w:numPr>
          <w:ilvl w:val="0"/>
          <w:numId w:val="1010"/>
        </w:numPr>
        <w:jc w:val="both"/>
      </w:pPr>
      <w:hyperlink r:id="rId126">
        <w:r>
          <w:rPr>
            <w:rStyle w:val="Hyperlink"/>
          </w:rPr>
          <w:t xml:space="preserve">Azure Multi-Factor Authentication</w:t>
        </w:r>
      </w:hyperlink>
    </w:p>
    <w:bookmarkEnd w:id="127"/>
    <w:bookmarkEnd w:id="128"/>
    <w:bookmarkStart w:id="141" w:name="appendix-4-logging-monitoring"/>
    <w:p>
      <w:pPr>
        <w:pStyle w:val="Heading2"/>
      </w:pPr>
      <w:r>
        <w:rPr>
          <w:rFonts w:ascii="Segoe UI" w:hAnsi="Segoe UI"/>
          <w:b w:val="0"/>
          <w:sz w:val="28"/>
        </w:rPr>
        <w:t xml:space="preserve">8.4 Appendix 4 Logging &amp; Monitoring</w:t>
      </w:r>
    </w:p>
    <w:bookmarkStart w:id="132" w:name="introductionprerequisites-3"/>
    <w:p>
      <w:pPr>
        <w:pStyle w:val="Heading3"/>
      </w:pPr>
      <w:r>
        <w:rPr>
          <w:rFonts w:ascii="Segoe UI" w:hAnsi="Segoe UI"/>
          <w:b w:val="0"/>
          <w:sz w:val="26"/>
        </w:rPr>
        <w:t xml:space="preserve">Introduction/Prerequisites</w:t>
      </w:r>
    </w:p>
    <w:p>
      <w:pPr>
        <w:pStyle w:val="Compact"/>
        <w:numPr>
          <w:ilvl w:val="0"/>
          <w:numId w:val="1011"/>
        </w:numPr>
        <w:jc w:val="both"/>
      </w:pPr>
      <w:hyperlink r:id="rId129">
        <w:r>
          <w:rPr>
            <w:rStyle w:val="Hyperlink"/>
          </w:rPr>
          <w:t xml:space="preserve">Azure Monitor Documentation</w:t>
        </w:r>
      </w:hyperlink>
    </w:p>
    <w:p>
      <w:pPr>
        <w:pStyle w:val="Compact"/>
        <w:numPr>
          <w:ilvl w:val="0"/>
          <w:numId w:val="1011"/>
        </w:numPr>
        <w:jc w:val="both"/>
      </w:pPr>
      <w:hyperlink r:id="rId130">
        <w:r>
          <w:rPr>
            <w:rStyle w:val="Hyperlink"/>
          </w:rPr>
          <w:t xml:space="preserve">Azure Log Analytics Documentation</w:t>
        </w:r>
      </w:hyperlink>
    </w:p>
    <w:p>
      <w:pPr>
        <w:pStyle w:val="Compact"/>
        <w:numPr>
          <w:ilvl w:val="0"/>
          <w:numId w:val="1011"/>
        </w:numPr>
        <w:jc w:val="both"/>
      </w:pPr>
      <w:hyperlink r:id="rId131">
        <w:r>
          <w:rPr>
            <w:rStyle w:val="Hyperlink"/>
          </w:rPr>
          <w:t xml:space="preserve">Azure Activity Logs Overview</w:t>
        </w:r>
      </w:hyperlink>
    </w:p>
    <w:bookmarkEnd w:id="132"/>
    <w:bookmarkStart w:id="136" w:name="limits-and-boundaries-3"/>
    <w:p>
      <w:pPr>
        <w:pStyle w:val="Heading3"/>
      </w:pPr>
      <w:r>
        <w:rPr>
          <w:rFonts w:ascii="Segoe UI" w:hAnsi="Segoe UI"/>
          <w:b w:val="0"/>
          <w:sz w:val="26"/>
        </w:rPr>
        <w:t xml:space="preserve">Limits and Boundaries</w:t>
      </w:r>
    </w:p>
    <w:p>
      <w:pPr>
        <w:pStyle w:val="Compact"/>
        <w:numPr>
          <w:ilvl w:val="0"/>
          <w:numId w:val="1012"/>
        </w:numPr>
        <w:jc w:val="both"/>
      </w:pPr>
      <w:hyperlink r:id="rId133">
        <w:r>
          <w:rPr>
            <w:rStyle w:val="Hyperlink"/>
          </w:rPr>
          <w:t xml:space="preserve">Azure Monitor Data Limits</w:t>
        </w:r>
      </w:hyperlink>
    </w:p>
    <w:p>
      <w:pPr>
        <w:pStyle w:val="Compact"/>
        <w:numPr>
          <w:ilvl w:val="0"/>
          <w:numId w:val="1012"/>
        </w:numPr>
        <w:jc w:val="both"/>
      </w:pPr>
      <w:hyperlink r:id="rId134">
        <w:r>
          <w:rPr>
            <w:rStyle w:val="Hyperlink"/>
          </w:rPr>
          <w:t xml:space="preserve">Log Analytics Workspace Limits</w:t>
        </w:r>
      </w:hyperlink>
    </w:p>
    <w:p>
      <w:pPr>
        <w:pStyle w:val="Compact"/>
        <w:numPr>
          <w:ilvl w:val="0"/>
          <w:numId w:val="1012"/>
        </w:numPr>
        <w:jc w:val="both"/>
      </w:pPr>
      <w:hyperlink r:id="rId135">
        <w:r>
          <w:rPr>
            <w:rStyle w:val="Hyperlink"/>
          </w:rPr>
          <w:t xml:space="preserve">Azure Diagnostic Settings Limits</w:t>
        </w:r>
      </w:hyperlink>
    </w:p>
    <w:bookmarkEnd w:id="136"/>
    <w:bookmarkStart w:id="140" w:name="others-3"/>
    <w:p>
      <w:pPr>
        <w:pStyle w:val="Heading3"/>
      </w:pPr>
      <w:r>
        <w:rPr>
          <w:rFonts w:ascii="Segoe UI" w:hAnsi="Segoe UI"/>
          <w:b w:val="0"/>
          <w:sz w:val="26"/>
        </w:rPr>
        <w:t xml:space="preserve">Others</w:t>
      </w:r>
    </w:p>
    <w:p>
      <w:pPr>
        <w:pStyle w:val="Compact"/>
        <w:numPr>
          <w:ilvl w:val="0"/>
          <w:numId w:val="1013"/>
        </w:numPr>
        <w:jc w:val="both"/>
      </w:pPr>
      <w:hyperlink r:id="rId137">
        <w:r>
          <w:rPr>
            <w:rStyle w:val="Hyperlink"/>
          </w:rPr>
          <w:t xml:space="preserve">Azure Application Insights Documentation</w:t>
        </w:r>
      </w:hyperlink>
    </w:p>
    <w:p>
      <w:pPr>
        <w:pStyle w:val="Compact"/>
        <w:numPr>
          <w:ilvl w:val="0"/>
          <w:numId w:val="1013"/>
        </w:numPr>
        <w:jc w:val="both"/>
      </w:pPr>
      <w:hyperlink r:id="rId138">
        <w:r>
          <w:rPr>
            <w:rStyle w:val="Hyperlink"/>
          </w:rPr>
          <w:t xml:space="preserve">Azure Monitor Alerts Documentation</w:t>
        </w:r>
      </w:hyperlink>
    </w:p>
    <w:p>
      <w:pPr>
        <w:pStyle w:val="Compact"/>
        <w:numPr>
          <w:ilvl w:val="0"/>
          <w:numId w:val="1013"/>
        </w:numPr>
        <w:jc w:val="both"/>
      </w:pPr>
      <w:hyperlink r:id="rId139">
        <w:r>
          <w:rPr>
            <w:rStyle w:val="Hyperlink"/>
          </w:rPr>
          <w:t xml:space="preserve">Azure Sentinel Documentation</w:t>
        </w:r>
      </w:hyperlink>
    </w:p>
    <w:bookmarkEnd w:id="140"/>
    <w:bookmarkEnd w:id="141"/>
    <w:bookmarkStart w:id="154" w:name="appendix-5-cloud-governance"/>
    <w:p>
      <w:pPr>
        <w:pStyle w:val="Heading2"/>
      </w:pPr>
      <w:r>
        <w:rPr>
          <w:rFonts w:ascii="Segoe UI" w:hAnsi="Segoe UI"/>
          <w:b w:val="0"/>
          <w:sz w:val="28"/>
        </w:rPr>
        <w:t xml:space="preserve">8.5 Appendix 5 Cloud Governance</w:t>
      </w:r>
    </w:p>
    <w:bookmarkStart w:id="145" w:name="introductionprerequisites-4"/>
    <w:p>
      <w:pPr>
        <w:pStyle w:val="Heading3"/>
      </w:pPr>
      <w:r>
        <w:rPr>
          <w:rFonts w:ascii="Segoe UI" w:hAnsi="Segoe UI"/>
          <w:b w:val="0"/>
          <w:sz w:val="26"/>
        </w:rPr>
        <w:t xml:space="preserve">Introduction/Prerequisites</w:t>
      </w:r>
    </w:p>
    <w:p>
      <w:pPr>
        <w:pStyle w:val="Compact"/>
        <w:numPr>
          <w:ilvl w:val="0"/>
          <w:numId w:val="1014"/>
        </w:numPr>
        <w:jc w:val="both"/>
      </w:pPr>
      <w:hyperlink r:id="rId142">
        <w:r>
          <w:rPr>
            <w:rStyle w:val="Hyperlink"/>
          </w:rPr>
          <w:t xml:space="preserve">Azure Governance Documentation</w:t>
        </w:r>
      </w:hyperlink>
    </w:p>
    <w:p>
      <w:pPr>
        <w:pStyle w:val="Compact"/>
        <w:numPr>
          <w:ilvl w:val="0"/>
          <w:numId w:val="1014"/>
        </w:numPr>
        <w:jc w:val="both"/>
      </w:pPr>
      <w:hyperlink r:id="rId143">
        <w:r>
          <w:rPr>
            <w:rStyle w:val="Hyperlink"/>
          </w:rPr>
          <w:t xml:space="preserve">Azure Policy Documentation</w:t>
        </w:r>
      </w:hyperlink>
    </w:p>
    <w:p>
      <w:pPr>
        <w:pStyle w:val="Compact"/>
        <w:numPr>
          <w:ilvl w:val="0"/>
          <w:numId w:val="1014"/>
        </w:numPr>
        <w:jc w:val="both"/>
      </w:pPr>
      <w:hyperlink r:id="rId144">
        <w:r>
          <w:rPr>
            <w:rStyle w:val="Hyperlink"/>
          </w:rPr>
          <w:t xml:space="preserve">Azure Management Groups Overview</w:t>
        </w:r>
      </w:hyperlink>
    </w:p>
    <w:bookmarkEnd w:id="145"/>
    <w:bookmarkStart w:id="149" w:name="limits-and-boundaries-4"/>
    <w:p>
      <w:pPr>
        <w:pStyle w:val="Heading3"/>
      </w:pPr>
      <w:r>
        <w:rPr>
          <w:rFonts w:ascii="Segoe UI" w:hAnsi="Segoe UI"/>
          <w:b w:val="0"/>
          <w:sz w:val="26"/>
        </w:rPr>
        <w:t xml:space="preserve">Limits and Boundaries</w:t>
      </w:r>
    </w:p>
    <w:p>
      <w:pPr>
        <w:pStyle w:val="Compact"/>
        <w:numPr>
          <w:ilvl w:val="0"/>
          <w:numId w:val="1015"/>
        </w:numPr>
        <w:jc w:val="both"/>
      </w:pPr>
      <w:hyperlink r:id="rId146">
        <w:r>
          <w:rPr>
            <w:rStyle w:val="Hyperlink"/>
          </w:rPr>
          <w:t xml:space="preserve">Azure Policy Limits</w:t>
        </w:r>
      </w:hyperlink>
    </w:p>
    <w:p>
      <w:pPr>
        <w:pStyle w:val="Compact"/>
        <w:numPr>
          <w:ilvl w:val="0"/>
          <w:numId w:val="1015"/>
        </w:numPr>
        <w:jc w:val="both"/>
      </w:pPr>
      <w:hyperlink r:id="rId147">
        <w:r>
          <w:rPr>
            <w:rStyle w:val="Hyperlink"/>
          </w:rPr>
          <w:t xml:space="preserve">Azure Management Groups Limits</w:t>
        </w:r>
      </w:hyperlink>
    </w:p>
    <w:p>
      <w:pPr>
        <w:pStyle w:val="Compact"/>
        <w:numPr>
          <w:ilvl w:val="0"/>
          <w:numId w:val="1015"/>
        </w:numPr>
        <w:jc w:val="both"/>
      </w:pPr>
      <w:hyperlink r:id="rId148">
        <w:r>
          <w:rPr>
            <w:rStyle w:val="Hyperlink"/>
          </w:rPr>
          <w:t xml:space="preserve">Azure Resource Locks Limits</w:t>
        </w:r>
      </w:hyperlink>
    </w:p>
    <w:bookmarkEnd w:id="149"/>
    <w:bookmarkStart w:id="153" w:name="others-4"/>
    <w:p>
      <w:pPr>
        <w:pStyle w:val="Heading3"/>
      </w:pPr>
      <w:r>
        <w:rPr>
          <w:rFonts w:ascii="Segoe UI" w:hAnsi="Segoe UI"/>
          <w:b w:val="0"/>
          <w:sz w:val="26"/>
        </w:rPr>
        <w:t xml:space="preserve">Others</w:t>
      </w:r>
    </w:p>
    <w:p>
      <w:pPr>
        <w:pStyle w:val="Compact"/>
        <w:numPr>
          <w:ilvl w:val="0"/>
          <w:numId w:val="1016"/>
        </w:numPr>
        <w:jc w:val="both"/>
      </w:pPr>
      <w:hyperlink r:id="rId150">
        <w:r>
          <w:rPr>
            <w:rStyle w:val="Hyperlink"/>
          </w:rPr>
          <w:t xml:space="preserve">Azure Cost Management Documentation</w:t>
        </w:r>
      </w:hyperlink>
    </w:p>
    <w:p>
      <w:pPr>
        <w:pStyle w:val="Compact"/>
        <w:numPr>
          <w:ilvl w:val="0"/>
          <w:numId w:val="1016"/>
        </w:numPr>
        <w:jc w:val="both"/>
      </w:pPr>
      <w:hyperlink r:id="rId151">
        <w:r>
          <w:rPr>
            <w:rStyle w:val="Hyperlink"/>
          </w:rPr>
          <w:t xml:space="preserve">Azure Blueprints Documentation</w:t>
        </w:r>
      </w:hyperlink>
    </w:p>
    <w:p>
      <w:pPr>
        <w:pStyle w:val="Compact"/>
        <w:numPr>
          <w:ilvl w:val="0"/>
          <w:numId w:val="1016"/>
        </w:numPr>
        <w:jc w:val="both"/>
      </w:pPr>
      <w:hyperlink r:id="rId152">
        <w:r>
          <w:rPr>
            <w:rStyle w:val="Hyperlink"/>
          </w:rPr>
          <w:t xml:space="preserve">Azure Tagging Best Practices</w:t>
        </w:r>
      </w:hyperlink>
    </w:p>
    <w:bookmarkEnd w:id="153"/>
    <w:bookmarkEnd w:id="154"/>
    <w:bookmarkStart w:id="167" w:name="appendix-6-opdg"/>
    <w:p>
      <w:pPr>
        <w:pStyle w:val="Heading2"/>
      </w:pPr>
      <w:r>
        <w:rPr>
          <w:rFonts w:ascii="Segoe UI" w:hAnsi="Segoe UI"/>
          <w:b w:val="0"/>
          <w:sz w:val="28"/>
        </w:rPr>
        <w:t xml:space="preserve">8.6 Appendix 6 OPDG</w:t>
      </w:r>
    </w:p>
    <w:bookmarkStart w:id="158" w:name="introductionprerequisites-5"/>
    <w:p>
      <w:pPr>
        <w:pStyle w:val="Heading3"/>
      </w:pPr>
      <w:r>
        <w:rPr>
          <w:rFonts w:ascii="Segoe UI" w:hAnsi="Segoe UI"/>
          <w:b w:val="0"/>
          <w:sz w:val="26"/>
        </w:rPr>
        <w:t xml:space="preserve">Introduction/Prerequisites</w:t>
      </w:r>
    </w:p>
    <w:p>
      <w:pPr>
        <w:pStyle w:val="Compact"/>
        <w:numPr>
          <w:ilvl w:val="0"/>
          <w:numId w:val="1017"/>
        </w:numPr>
        <w:jc w:val="both"/>
      </w:pPr>
      <w:hyperlink r:id="rId155">
        <w:r>
          <w:rPr>
            <w:rStyle w:val="Hyperlink"/>
          </w:rPr>
          <w:t xml:space="preserve">Open Data Protocol (OData) Documentation</w:t>
        </w:r>
      </w:hyperlink>
    </w:p>
    <w:p>
      <w:pPr>
        <w:pStyle w:val="Compact"/>
        <w:numPr>
          <w:ilvl w:val="0"/>
          <w:numId w:val="1017"/>
        </w:numPr>
        <w:jc w:val="both"/>
      </w:pPr>
      <w:hyperlink r:id="rId156">
        <w:r>
          <w:rPr>
            <w:rStyle w:val="Hyperlink"/>
          </w:rPr>
          <w:t xml:space="preserve">Azure Data Lake Documentation</w:t>
        </w:r>
      </w:hyperlink>
    </w:p>
    <w:p>
      <w:pPr>
        <w:pStyle w:val="Compact"/>
        <w:numPr>
          <w:ilvl w:val="0"/>
          <w:numId w:val="1017"/>
        </w:numPr>
        <w:jc w:val="both"/>
      </w:pPr>
      <w:hyperlink r:id="rId157">
        <w:r>
          <w:rPr>
            <w:rStyle w:val="Hyperlink"/>
          </w:rPr>
          <w:t xml:space="preserve">Azure Data Factory Documentation</w:t>
        </w:r>
      </w:hyperlink>
    </w:p>
    <w:bookmarkEnd w:id="158"/>
    <w:bookmarkStart w:id="162" w:name="limits-and-boundaries-5"/>
    <w:p>
      <w:pPr>
        <w:pStyle w:val="Heading3"/>
      </w:pPr>
      <w:r>
        <w:rPr>
          <w:rFonts w:ascii="Segoe UI" w:hAnsi="Segoe UI"/>
          <w:b w:val="0"/>
          <w:sz w:val="26"/>
        </w:rPr>
        <w:t xml:space="preserve">Limits and Boundaries</w:t>
      </w:r>
    </w:p>
    <w:p>
      <w:pPr>
        <w:pStyle w:val="Compact"/>
        <w:numPr>
          <w:ilvl w:val="0"/>
          <w:numId w:val="1018"/>
        </w:numPr>
        <w:jc w:val="both"/>
      </w:pPr>
      <w:hyperlink r:id="rId159">
        <w:r>
          <w:rPr>
            <w:rStyle w:val="Hyperlink"/>
          </w:rPr>
          <w:t xml:space="preserve">Azure Data Lake Storage Limits</w:t>
        </w:r>
      </w:hyperlink>
    </w:p>
    <w:p>
      <w:pPr>
        <w:pStyle w:val="Compact"/>
        <w:numPr>
          <w:ilvl w:val="0"/>
          <w:numId w:val="1018"/>
        </w:numPr>
        <w:jc w:val="both"/>
      </w:pPr>
      <w:hyperlink r:id="rId160">
        <w:r>
          <w:rPr>
            <w:rStyle w:val="Hyperlink"/>
          </w:rPr>
          <w:t xml:space="preserve">Azure Data Factory Limits</w:t>
        </w:r>
      </w:hyperlink>
    </w:p>
    <w:p>
      <w:pPr>
        <w:pStyle w:val="Compact"/>
        <w:numPr>
          <w:ilvl w:val="0"/>
          <w:numId w:val="1018"/>
        </w:numPr>
        <w:jc w:val="both"/>
      </w:pPr>
      <w:hyperlink r:id="rId161">
        <w:r>
          <w:rPr>
            <w:rStyle w:val="Hyperlink"/>
          </w:rPr>
          <w:t xml:space="preserve">Azure Data Share Limits</w:t>
        </w:r>
      </w:hyperlink>
    </w:p>
    <w:bookmarkEnd w:id="162"/>
    <w:bookmarkStart w:id="166" w:name="others-5"/>
    <w:p>
      <w:pPr>
        <w:pStyle w:val="Heading3"/>
      </w:pPr>
      <w:r>
        <w:rPr>
          <w:rFonts w:ascii="Segoe UI" w:hAnsi="Segoe UI"/>
          <w:b w:val="0"/>
          <w:sz w:val="26"/>
        </w:rPr>
        <w:t xml:space="preserve">Others</w:t>
      </w:r>
    </w:p>
    <w:p>
      <w:pPr>
        <w:pStyle w:val="Compact"/>
        <w:numPr>
          <w:ilvl w:val="0"/>
          <w:numId w:val="1019"/>
        </w:numPr>
        <w:jc w:val="both"/>
      </w:pPr>
      <w:hyperlink r:id="rId163">
        <w:r>
          <w:rPr>
            <w:rStyle w:val="Hyperlink"/>
          </w:rPr>
          <w:t xml:space="preserve">Azure Synapse Analytics Documentation</w:t>
        </w:r>
      </w:hyperlink>
    </w:p>
    <w:p>
      <w:pPr>
        <w:pStyle w:val="Compact"/>
        <w:numPr>
          <w:ilvl w:val="0"/>
          <w:numId w:val="1019"/>
        </w:numPr>
        <w:jc w:val="both"/>
      </w:pPr>
      <w:hyperlink r:id="rId164">
        <w:r>
          <w:rPr>
            <w:rStyle w:val="Hyperlink"/>
          </w:rPr>
          <w:t xml:space="preserve">Azure Data Catalog Documentation</w:t>
        </w:r>
      </w:hyperlink>
    </w:p>
    <w:p>
      <w:pPr>
        <w:pStyle w:val="Compact"/>
        <w:numPr>
          <w:ilvl w:val="0"/>
          <w:numId w:val="1019"/>
        </w:numPr>
        <w:jc w:val="both"/>
      </w:pPr>
      <w:hyperlink r:id="rId165">
        <w:r>
          <w:rPr>
            <w:rStyle w:val="Hyperlink"/>
          </w:rPr>
          <w:t xml:space="preserve">Azure Purview Documentation</w:t>
        </w:r>
      </w:hyperlink>
    </w:p>
    <w:bookmarkEnd w:id="166"/>
    <w:bookmarkEnd w:id="167"/>
    <w:bookmarkStart w:id="180" w:name="appendix-7-machine-learning"/>
    <w:p>
      <w:pPr>
        <w:pStyle w:val="Heading2"/>
      </w:pPr>
      <w:r>
        <w:rPr>
          <w:rFonts w:ascii="Segoe UI" w:hAnsi="Segoe UI"/>
          <w:b w:val="0"/>
          <w:sz w:val="28"/>
        </w:rPr>
        <w:t xml:space="preserve">8.7 Appendix 7 Machine Learning</w:t>
      </w:r>
    </w:p>
    <w:bookmarkStart w:id="171" w:name="introductionprerequisites-6"/>
    <w:p>
      <w:pPr>
        <w:pStyle w:val="Heading3"/>
      </w:pPr>
      <w:r>
        <w:rPr>
          <w:rFonts w:ascii="Segoe UI" w:hAnsi="Segoe UI"/>
          <w:b w:val="0"/>
          <w:sz w:val="26"/>
        </w:rPr>
        <w:t xml:space="preserve">Introduction/Prerequisites</w:t>
      </w:r>
    </w:p>
    <w:p>
      <w:pPr>
        <w:pStyle w:val="Compact"/>
        <w:numPr>
          <w:ilvl w:val="0"/>
          <w:numId w:val="1020"/>
        </w:numPr>
        <w:jc w:val="both"/>
      </w:pPr>
      <w:hyperlink r:id="rId168">
        <w:r>
          <w:rPr>
            <w:rStyle w:val="Hyperlink"/>
          </w:rPr>
          <w:t xml:space="preserve">Azure Machine Learning Documentation</w:t>
        </w:r>
      </w:hyperlink>
    </w:p>
    <w:p>
      <w:pPr>
        <w:pStyle w:val="Compact"/>
        <w:numPr>
          <w:ilvl w:val="0"/>
          <w:numId w:val="1020"/>
        </w:numPr>
        <w:jc w:val="both"/>
      </w:pPr>
      <w:hyperlink r:id="rId169">
        <w:r>
          <w:rPr>
            <w:rStyle w:val="Hyperlink"/>
          </w:rPr>
          <w:t xml:space="preserve">Azure ML Studio Documentation</w:t>
        </w:r>
      </w:hyperlink>
    </w:p>
    <w:p>
      <w:pPr>
        <w:pStyle w:val="Compact"/>
        <w:numPr>
          <w:ilvl w:val="0"/>
          <w:numId w:val="1020"/>
        </w:numPr>
        <w:jc w:val="both"/>
      </w:pPr>
      <w:hyperlink r:id="rId170">
        <w:r>
          <w:rPr>
            <w:rStyle w:val="Hyperlink"/>
          </w:rPr>
          <w:t xml:space="preserve">Azure Cognitive Services Documentation</w:t>
        </w:r>
      </w:hyperlink>
    </w:p>
    <w:bookmarkEnd w:id="171"/>
    <w:bookmarkStart w:id="175" w:name="limits-and-boundaries-6"/>
    <w:p>
      <w:pPr>
        <w:pStyle w:val="Heading3"/>
      </w:pPr>
      <w:r>
        <w:rPr>
          <w:rFonts w:ascii="Segoe UI" w:hAnsi="Segoe UI"/>
          <w:b w:val="0"/>
          <w:sz w:val="26"/>
        </w:rPr>
        <w:t xml:space="preserve">Limits and Boundaries</w:t>
      </w:r>
    </w:p>
    <w:p>
      <w:pPr>
        <w:pStyle w:val="Compact"/>
        <w:numPr>
          <w:ilvl w:val="0"/>
          <w:numId w:val="1021"/>
        </w:numPr>
        <w:jc w:val="both"/>
      </w:pPr>
      <w:hyperlink r:id="rId172">
        <w:r>
          <w:rPr>
            <w:rStyle w:val="Hyperlink"/>
          </w:rPr>
          <w:t xml:space="preserve">Azure Machine Learning Quotas and Limits</w:t>
        </w:r>
      </w:hyperlink>
    </w:p>
    <w:p>
      <w:pPr>
        <w:pStyle w:val="Compact"/>
        <w:numPr>
          <w:ilvl w:val="0"/>
          <w:numId w:val="1021"/>
        </w:numPr>
        <w:jc w:val="both"/>
      </w:pPr>
      <w:hyperlink r:id="rId173">
        <w:r>
          <w:rPr>
            <w:rStyle w:val="Hyperlink"/>
          </w:rPr>
          <w:t xml:space="preserve">Azure ML Compute Instance Limits</w:t>
        </w:r>
      </w:hyperlink>
    </w:p>
    <w:p>
      <w:pPr>
        <w:pStyle w:val="Compact"/>
        <w:numPr>
          <w:ilvl w:val="0"/>
          <w:numId w:val="1021"/>
        </w:numPr>
        <w:jc w:val="both"/>
      </w:pPr>
      <w:hyperlink r:id="rId174">
        <w:r>
          <w:rPr>
            <w:rStyle w:val="Hyperlink"/>
          </w:rPr>
          <w:t xml:space="preserve">Azure ML Workspace Limits</w:t>
        </w:r>
      </w:hyperlink>
    </w:p>
    <w:bookmarkEnd w:id="175"/>
    <w:bookmarkStart w:id="179" w:name="others-6"/>
    <w:p>
      <w:pPr>
        <w:pStyle w:val="Heading3"/>
      </w:pPr>
      <w:r>
        <w:rPr>
          <w:rFonts w:ascii="Segoe UI" w:hAnsi="Segoe UI"/>
          <w:b w:val="0"/>
          <w:sz w:val="26"/>
        </w:rPr>
        <w:t xml:space="preserve">Others</w:t>
      </w:r>
    </w:p>
    <w:p>
      <w:pPr>
        <w:pStyle w:val="Compact"/>
        <w:numPr>
          <w:ilvl w:val="0"/>
          <w:numId w:val="1022"/>
        </w:numPr>
        <w:jc w:val="both"/>
      </w:pPr>
      <w:hyperlink r:id="rId176">
        <w:r>
          <w:rPr>
            <w:rStyle w:val="Hyperlink"/>
          </w:rPr>
          <w:t xml:space="preserve">Azure ML Pipelines Documentation</w:t>
        </w:r>
      </w:hyperlink>
    </w:p>
    <w:p>
      <w:pPr>
        <w:pStyle w:val="Compact"/>
        <w:numPr>
          <w:ilvl w:val="0"/>
          <w:numId w:val="1022"/>
        </w:numPr>
        <w:jc w:val="both"/>
      </w:pPr>
      <w:hyperlink r:id="rId177">
        <w:r>
          <w:rPr>
            <w:rStyle w:val="Hyperlink"/>
          </w:rPr>
          <w:t xml:space="preserve">Azure ML Model Deployment Documentation</w:t>
        </w:r>
      </w:hyperlink>
    </w:p>
    <w:p>
      <w:pPr>
        <w:pStyle w:val="Compact"/>
        <w:numPr>
          <w:ilvl w:val="0"/>
          <w:numId w:val="1022"/>
        </w:numPr>
        <w:jc w:val="both"/>
      </w:pPr>
      <w:hyperlink r:id="rId178">
        <w:r>
          <w:rPr>
            <w:rStyle w:val="Hyperlink"/>
          </w:rPr>
          <w:t xml:space="preserve">Azure ML Security Best Practices</w:t>
        </w:r>
      </w:hyperlink>
    </w:p>
    <w:p>
      <w:pPr>
        <w:pStyle w:val="FirstParagraph"/>
        <w:jc w:val="both"/>
      </w:pPr>
      <w:r>
        <w:rPr>
          <w:rFonts w:ascii="Segoe UI" w:hAnsi="Segoe UI"/>
          <w:b/>
          <w:bCs/>
          <w:sz w:val="22"/>
        </w:rPr>
        <w:t xml:space="preserve">Note:</w:t>
      </w:r>
      <w:r>
        <w:rPr>
          <w:rFonts w:ascii="Segoe UI" w:hAnsi="Segoe UI"/>
          <w:sz w:val="22"/>
        </w:rPr>
        <w:t xml:space="preserve"> </w:t>
      </w:r>
      <w:r>
        <w:rPr>
          <w:rFonts w:ascii="Segoe UI" w:hAnsi="Segoe UI"/>
          <w:sz w:val="22"/>
        </w:rPr>
        <w:t xml:space="preserve">For VM specifications, NSG rules, and naming conventions, refer to Section 4.3 (Platform Design), Section 6.2 (Security Design), and Section 7.1 (Resource Organization Design) respectively.</w:t>
      </w:r>
    </w:p>
    <w:bookmarkEnd w:id="179"/>
    <w:bookmarkEnd w:id="180"/>
    <w:bookmarkEnd w:id="181"/>
    <w:sectPr w:rsidR="0064469A" w:rsidSect="001A3742">
      <w:headerReference r:id="rId11" w:type="default"/>
      <w:footerReference r:id="rId12" w:type="default"/>
      <w:headerReference r:id="rId13" w:type="first"/>
      <w:pgSz w:h="16838" w:w="11906"/>
      <w:pgMar w:bottom="1440" w:footer="708" w:gutter="0" w:header="708" w:left="1440" w:right="144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FC3F" w14:textId="5820EE3C" w:rsidR="00596483" w:rsidRPr="00A122E9" w:rsidRDefault="0063557B" w:rsidP="00A122E9">
    <w:pPr>
      <w:pStyle w:val="Footer"/>
    </w:pPr>
    <w:r>
      <w:rPr>
        <w:rFonts w:ascii="Times New Roman" w:eastAsia="DengXian" w:hAnsi="Times New Roman" w:cs="Arial"/>
        <w:color w:val="808080"/>
        <w:kern w:val="0"/>
        <w:sz w:val="18"/>
        <w:szCs w:val="18"/>
        <w:lang w:val="en-US" w:eastAsia="zh-CN"/>
        <w14:ligatures w14:val="none"/>
      </w:rPr>
      <w:t xml:space="preserve">UMS Power BI &amp; Fabric </w:t>
    </w:r>
    <w:r w:rsidRPr="00B53330">
      <w:rPr>
        <w:rFonts w:ascii="Times New Roman" w:eastAsia="DengXian" w:hAnsi="Times New Roman" w:cs="Arial"/>
        <w:color w:val="808080"/>
        <w:kern w:val="0"/>
        <w:sz w:val="18"/>
        <w:szCs w:val="18"/>
        <w:lang w:val="en-US" w:eastAsia="zh-CN"/>
        <w14:ligatures w14:val="none"/>
      </w:rPr>
      <w:t>- Planning &amp; Design Document</w:t>
    </w:r>
    <w:r w:rsidR="00861BB7">
      <w:tab/>
    </w:r>
    <w:r w:rsidR="00861BB7">
      <w:tab/>
    </w:r>
    <w:r w:rsidRPr="00B53330">
      <w:rPr>
        <w:rFonts w:ascii="Times New Roman" w:eastAsia="DengXian" w:hAnsi="Times New Roman" w:cs="Arial"/>
        <w:color w:val="808080"/>
        <w:kern w:val="0"/>
        <w:sz w:val="18"/>
        <w:szCs w:val="18"/>
        <w:lang w:val="en-US" w:eastAsia="zh-CN"/>
        <w14:ligatures w14:val="none"/>
      </w:rPr>
      <w:fldChar w:fldCharType="begin"/>
    </w:r>
    <w:r w:rsidRPr="00B53330">
      <w:rPr>
        <w:rFonts w:ascii="Times New Roman" w:eastAsia="DengXian" w:hAnsi="Times New Roman" w:cs="Arial"/>
        <w:color w:val="808080"/>
        <w:kern w:val="0"/>
        <w:sz w:val="18"/>
        <w:szCs w:val="18"/>
        <w:lang w:val="en-US" w:eastAsia="zh-CN"/>
        <w14:ligatures w14:val="none"/>
      </w:rPr>
      <w:instrText xml:space="preserve"> PAGE   \* MERGEFORMAT </w:instrText>
    </w:r>
    <w:r w:rsidRPr="00B53330">
      <w:rPr>
        <w:rFonts w:ascii="Times New Roman" w:eastAsia="DengXian" w:hAnsi="Times New Roman" w:cs="Arial"/>
        <w:color w:val="808080"/>
        <w:kern w:val="0"/>
        <w:sz w:val="18"/>
        <w:szCs w:val="18"/>
        <w:lang w:val="en-US" w:eastAsia="zh-CN"/>
        <w14:ligatures w14:val="none"/>
      </w:rPr>
      <w:fldChar w:fldCharType="separate"/>
    </w:r>
    <w:r>
      <w:rPr>
        <w:rFonts w:ascii="Times New Roman" w:eastAsia="DengXian" w:hAnsi="Times New Roman" w:cs="Arial"/>
        <w:color w:val="808080"/>
        <w:kern w:val="0"/>
        <w:sz w:val="18"/>
        <w:szCs w:val="18"/>
        <w:lang w:val="en-US" w:eastAsia="zh-CN"/>
        <w14:ligatures w14:val="none"/>
      </w:rPr>
      <w:t>2</w:t>
    </w:r>
    <w:r w:rsidRPr="00B53330">
      <w:rPr>
        <w:rFonts w:ascii="Times New Roman" w:eastAsia="DengXian" w:hAnsi="Times New Roman" w:cs="Arial"/>
        <w:color w:val="808080"/>
        <w:kern w:val="0"/>
        <w:sz w:val="18"/>
        <w:szCs w:val="18"/>
        <w:lang w:val="en-US" w:eastAsia="zh-CN"/>
        <w14:ligatures w14:val="none"/>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320"/>
        </w:tcPr>
        <w:p>
          <w:pPr>
            <w:jc w:val="left"/>
          </w:pPr>
          <w:r>
            <w:drawing>
              <wp:inline xmlns:a="http://schemas.openxmlformats.org/drawingml/2006/main" xmlns:pic="http://schemas.openxmlformats.org/drawingml/2006/picture">
                <wp:extent cx="548640" cy="548640"/>
                <wp:docPr id="1" name="Picture 1"/>
                <wp:cNvGraphicFramePr>
                  <a:graphicFrameLocks noChangeAspect="1"/>
                </wp:cNvGraphicFramePr>
                <a:graphic>
                  <a:graphicData uri="http://schemas.openxmlformats.org/drawingml/2006/picture">
                    <pic:pic>
                      <pic:nvPicPr>
                        <pic:cNvPr id="0" name="ums-logo.png"/>
                        <pic:cNvPicPr/>
                      </pic:nvPicPr>
                      <pic:blipFill>
                        <a:blip r:embed="rId2"/>
                        <a:stretch>
                          <a:fillRect/>
                        </a:stretch>
                      </pic:blipFill>
                      <pic:spPr>
                        <a:xfrm>
                          <a:off x="0" y="0"/>
                          <a:ext cx="548640" cy="548640"/>
                        </a:xfrm>
                        <a:prstGeom prst="rect"/>
                      </pic:spPr>
                    </pic:pic>
                  </a:graphicData>
                </a:graphic>
              </wp:inline>
            </w:drawing>
          </w:r>
        </w:p>
      </w:tc>
      <w:tc>
        <w:tcPr>
          <w:tcW w:type="dxa" w:w="4320"/>
          <w:vAlign w:val="center"/>
        </w:tcPr>
        <w:p>
          <w:pPr>
            <w:jc w:val="right"/>
          </w:pPr>
          <w:r>
            <w:drawing>
              <wp:inline xmlns:a="http://schemas.openxmlformats.org/drawingml/2006/main" xmlns:pic="http://schemas.openxmlformats.org/drawingml/2006/picture">
                <wp:extent cx="1371600" cy="312516"/>
                <wp:docPr id="2" name="Picture 2"/>
                <wp:cNvGraphicFramePr>
                  <a:graphicFrameLocks noChangeAspect="1"/>
                </wp:cNvGraphicFramePr>
                <a:graphic>
                  <a:graphicData uri="http://schemas.openxmlformats.org/drawingml/2006/picture">
                    <pic:pic>
                      <pic:nvPicPr>
                        <pic:cNvPr id="0" name="enfrasys-logo.jpg"/>
                        <pic:cNvPicPr/>
                      </pic:nvPicPr>
                      <pic:blipFill>
                        <a:blip r:embed="rId3"/>
                        <a:stretch>
                          <a:fillRect/>
                        </a:stretch>
                      </pic:blipFill>
                      <pic:spPr>
                        <a:xfrm>
                          <a:off x="0" y="0"/>
                          <a:ext cx="1371600" cy="312516"/>
                        </a:xfrm>
                        <a:prstGeom prst="rect"/>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C1B2A" w14:textId="45ADC26B" w:rsidR="001E68B0" w:rsidRDefault="001E68B0">
    <w:pPr>
      <w:pStyle w:val="Header"/>
    </w:pPr>
    <w:r>
      <w:ptab w:relativeTo="margin" w:alignment="center" w:leader="none"/>
    </w:r>
    <w:r>
      <w:ptab w:relativeTo="margin" w:alignment="right" w:leader="none"/>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3030A50"/>
    <w:multiLevelType w:val="hybridMultilevel"/>
    <w:tmpl w:val="B94C0EB4"/>
    <w:lvl w:ilvl="0" w:tplc="44090001">
      <w:start w:val="1"/>
      <w:numFmt w:val="bullet"/>
      <w:lvlText w:val=""/>
      <w:lvlJc w:val="left"/>
      <w:pPr>
        <w:ind w:hanging="360" w:left="360"/>
      </w:pPr>
      <w:rPr>
        <w:rFonts w:ascii="Symbol" w:hAnsi="Symbol" w:hint="default"/>
      </w:rPr>
    </w:lvl>
    <w:lvl w:ilvl="1" w:tentative="1" w:tplc="44090003">
      <w:start w:val="1"/>
      <w:numFmt w:val="bullet"/>
      <w:lvlText w:val="o"/>
      <w:lvlJc w:val="left"/>
      <w:pPr>
        <w:ind w:hanging="360" w:left="1080"/>
      </w:pPr>
      <w:rPr>
        <w:rFonts w:ascii="Courier New" w:cs="Courier New" w:hAnsi="Courier New" w:hint="default"/>
      </w:rPr>
    </w:lvl>
    <w:lvl w:ilvl="2" w:tentative="1" w:tplc="44090005">
      <w:start w:val="1"/>
      <w:numFmt w:val="bullet"/>
      <w:lvlText w:val=""/>
      <w:lvlJc w:val="left"/>
      <w:pPr>
        <w:ind w:hanging="360" w:left="1800"/>
      </w:pPr>
      <w:rPr>
        <w:rFonts w:ascii="Wingdings" w:hAnsi="Wingdings" w:hint="default"/>
      </w:rPr>
    </w:lvl>
    <w:lvl w:ilvl="3" w:tentative="1" w:tplc="44090001">
      <w:start w:val="1"/>
      <w:numFmt w:val="bullet"/>
      <w:lvlText w:val=""/>
      <w:lvlJc w:val="left"/>
      <w:pPr>
        <w:ind w:hanging="360" w:left="2520"/>
      </w:pPr>
      <w:rPr>
        <w:rFonts w:ascii="Symbol" w:hAnsi="Symbol" w:hint="default"/>
      </w:rPr>
    </w:lvl>
    <w:lvl w:ilvl="4" w:tentative="1" w:tplc="44090003">
      <w:start w:val="1"/>
      <w:numFmt w:val="bullet"/>
      <w:lvlText w:val="o"/>
      <w:lvlJc w:val="left"/>
      <w:pPr>
        <w:ind w:hanging="360" w:left="3240"/>
      </w:pPr>
      <w:rPr>
        <w:rFonts w:ascii="Courier New" w:cs="Courier New" w:hAnsi="Courier New" w:hint="default"/>
      </w:rPr>
    </w:lvl>
    <w:lvl w:ilvl="5" w:tentative="1" w:tplc="44090005">
      <w:start w:val="1"/>
      <w:numFmt w:val="bullet"/>
      <w:lvlText w:val=""/>
      <w:lvlJc w:val="left"/>
      <w:pPr>
        <w:ind w:hanging="360" w:left="3960"/>
      </w:pPr>
      <w:rPr>
        <w:rFonts w:ascii="Wingdings" w:hAnsi="Wingdings" w:hint="default"/>
      </w:rPr>
    </w:lvl>
    <w:lvl w:ilvl="6" w:tentative="1" w:tplc="44090001">
      <w:start w:val="1"/>
      <w:numFmt w:val="bullet"/>
      <w:lvlText w:val=""/>
      <w:lvlJc w:val="left"/>
      <w:pPr>
        <w:ind w:hanging="360" w:left="4680"/>
      </w:pPr>
      <w:rPr>
        <w:rFonts w:ascii="Symbol" w:hAnsi="Symbol" w:hint="default"/>
      </w:rPr>
    </w:lvl>
    <w:lvl w:ilvl="7" w:tentative="1" w:tplc="44090003">
      <w:start w:val="1"/>
      <w:numFmt w:val="bullet"/>
      <w:lvlText w:val="o"/>
      <w:lvlJc w:val="left"/>
      <w:pPr>
        <w:ind w:hanging="360" w:left="5400"/>
      </w:pPr>
      <w:rPr>
        <w:rFonts w:ascii="Courier New" w:cs="Courier New" w:hAnsi="Courier New" w:hint="default"/>
      </w:rPr>
    </w:lvl>
    <w:lvl w:ilvl="8" w:tentative="1" w:tplc="44090005">
      <w:start w:val="1"/>
      <w:numFmt w:val="bullet"/>
      <w:lvlText w:val=""/>
      <w:lvlJc w:val="left"/>
      <w:pPr>
        <w:ind w:hanging="360" w:left="6120"/>
      </w:pPr>
      <w:rPr>
        <w:rFonts w:ascii="Wingdings" w:hAnsi="Wingdings" w:hint="default"/>
      </w:rPr>
    </w:lvl>
  </w:abstractNum>
  <w:abstractNum w15:restartNumberingAfterBreak="0" w:abstractNumId="1">
    <w:nsid w:val="145E1599"/>
    <w:multiLevelType w:val="hybridMultilevel"/>
    <w:tmpl w:val="65223B84"/>
    <w:lvl w:ilvl="0" w:tplc="44090001">
      <w:start w:val="1"/>
      <w:numFmt w:val="bullet"/>
      <w:lvlText w:val=""/>
      <w:lvlJc w:val="left"/>
      <w:pPr>
        <w:ind w:hanging="360" w:left="360"/>
      </w:pPr>
      <w:rPr>
        <w:rFonts w:ascii="Symbol" w:hAnsi="Symbol" w:hint="default"/>
      </w:rPr>
    </w:lvl>
    <w:lvl w:ilvl="1" w:tentative="1" w:tplc="44090003">
      <w:start w:val="1"/>
      <w:numFmt w:val="bullet"/>
      <w:lvlText w:val="o"/>
      <w:lvlJc w:val="left"/>
      <w:pPr>
        <w:ind w:hanging="360" w:left="1080"/>
      </w:pPr>
      <w:rPr>
        <w:rFonts w:ascii="Courier New" w:cs="Courier New" w:hAnsi="Courier New" w:hint="default"/>
      </w:rPr>
    </w:lvl>
    <w:lvl w:ilvl="2" w:tentative="1" w:tplc="44090005">
      <w:start w:val="1"/>
      <w:numFmt w:val="bullet"/>
      <w:lvlText w:val=""/>
      <w:lvlJc w:val="left"/>
      <w:pPr>
        <w:ind w:hanging="360" w:left="1800"/>
      </w:pPr>
      <w:rPr>
        <w:rFonts w:ascii="Wingdings" w:hAnsi="Wingdings" w:hint="default"/>
      </w:rPr>
    </w:lvl>
    <w:lvl w:ilvl="3" w:tentative="1" w:tplc="44090001">
      <w:start w:val="1"/>
      <w:numFmt w:val="bullet"/>
      <w:lvlText w:val=""/>
      <w:lvlJc w:val="left"/>
      <w:pPr>
        <w:ind w:hanging="360" w:left="2520"/>
      </w:pPr>
      <w:rPr>
        <w:rFonts w:ascii="Symbol" w:hAnsi="Symbol" w:hint="default"/>
      </w:rPr>
    </w:lvl>
    <w:lvl w:ilvl="4" w:tentative="1" w:tplc="44090003">
      <w:start w:val="1"/>
      <w:numFmt w:val="bullet"/>
      <w:lvlText w:val="o"/>
      <w:lvlJc w:val="left"/>
      <w:pPr>
        <w:ind w:hanging="360" w:left="3240"/>
      </w:pPr>
      <w:rPr>
        <w:rFonts w:ascii="Courier New" w:cs="Courier New" w:hAnsi="Courier New" w:hint="default"/>
      </w:rPr>
    </w:lvl>
    <w:lvl w:ilvl="5" w:tentative="1" w:tplc="44090005">
      <w:start w:val="1"/>
      <w:numFmt w:val="bullet"/>
      <w:lvlText w:val=""/>
      <w:lvlJc w:val="left"/>
      <w:pPr>
        <w:ind w:hanging="360" w:left="3960"/>
      </w:pPr>
      <w:rPr>
        <w:rFonts w:ascii="Wingdings" w:hAnsi="Wingdings" w:hint="default"/>
      </w:rPr>
    </w:lvl>
    <w:lvl w:ilvl="6" w:tentative="1" w:tplc="44090001">
      <w:start w:val="1"/>
      <w:numFmt w:val="bullet"/>
      <w:lvlText w:val=""/>
      <w:lvlJc w:val="left"/>
      <w:pPr>
        <w:ind w:hanging="360" w:left="4680"/>
      </w:pPr>
      <w:rPr>
        <w:rFonts w:ascii="Symbol" w:hAnsi="Symbol" w:hint="default"/>
      </w:rPr>
    </w:lvl>
    <w:lvl w:ilvl="7" w:tentative="1" w:tplc="44090003">
      <w:start w:val="1"/>
      <w:numFmt w:val="bullet"/>
      <w:lvlText w:val="o"/>
      <w:lvlJc w:val="left"/>
      <w:pPr>
        <w:ind w:hanging="360" w:left="5400"/>
      </w:pPr>
      <w:rPr>
        <w:rFonts w:ascii="Courier New" w:cs="Courier New" w:hAnsi="Courier New" w:hint="default"/>
      </w:rPr>
    </w:lvl>
    <w:lvl w:ilvl="8" w:tentative="1" w:tplc="44090005">
      <w:start w:val="1"/>
      <w:numFmt w:val="bullet"/>
      <w:lvlText w:val=""/>
      <w:lvlJc w:val="left"/>
      <w:pPr>
        <w:ind w:hanging="360" w:left="6120"/>
      </w:pPr>
      <w:rPr>
        <w:rFonts w:ascii="Wingdings" w:hAnsi="Wingdings" w:hint="default"/>
      </w:rPr>
    </w:lvl>
  </w:abstractNum>
  <w:abstractNum w15:restartNumberingAfterBreak="0" w:abstractNumId="2">
    <w:nsid w:val="1EB414C1"/>
    <w:multiLevelType w:val="hybridMultilevel"/>
    <w:tmpl w:val="E4203A18"/>
    <w:lvl w:ilvl="0" w:tplc="44090017">
      <w:start w:val="1"/>
      <w:numFmt w:val="lowerLetter"/>
      <w:lvlText w:val="%1)"/>
      <w:lvlJc w:val="left"/>
      <w:pPr>
        <w:ind w:hanging="360" w:left="720"/>
      </w:p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3">
    <w:nsid w:val="31734DDB"/>
    <w:multiLevelType w:val="hybridMultilevel"/>
    <w:tmpl w:val="33BE5508"/>
    <w:lvl w:ilvl="0" w:tplc="44090001">
      <w:start w:val="1"/>
      <w:numFmt w:val="bullet"/>
      <w:lvlText w:val=""/>
      <w:lvlJc w:val="left"/>
      <w:pPr>
        <w:ind w:hanging="360" w:left="360"/>
      </w:pPr>
      <w:rPr>
        <w:rFonts w:ascii="Symbol" w:hAnsi="Symbol" w:hint="default"/>
      </w:rPr>
    </w:lvl>
    <w:lvl w:ilvl="1" w:tentative="1" w:tplc="44090003">
      <w:start w:val="1"/>
      <w:numFmt w:val="bullet"/>
      <w:lvlText w:val="o"/>
      <w:lvlJc w:val="left"/>
      <w:pPr>
        <w:ind w:hanging="360" w:left="1080"/>
      </w:pPr>
      <w:rPr>
        <w:rFonts w:ascii="Courier New" w:cs="Courier New" w:hAnsi="Courier New" w:hint="default"/>
      </w:rPr>
    </w:lvl>
    <w:lvl w:ilvl="2" w:tentative="1" w:tplc="44090005">
      <w:start w:val="1"/>
      <w:numFmt w:val="bullet"/>
      <w:lvlText w:val=""/>
      <w:lvlJc w:val="left"/>
      <w:pPr>
        <w:ind w:hanging="360" w:left="1800"/>
      </w:pPr>
      <w:rPr>
        <w:rFonts w:ascii="Wingdings" w:hAnsi="Wingdings" w:hint="default"/>
      </w:rPr>
    </w:lvl>
    <w:lvl w:ilvl="3" w:tentative="1" w:tplc="44090001">
      <w:start w:val="1"/>
      <w:numFmt w:val="bullet"/>
      <w:lvlText w:val=""/>
      <w:lvlJc w:val="left"/>
      <w:pPr>
        <w:ind w:hanging="360" w:left="2520"/>
      </w:pPr>
      <w:rPr>
        <w:rFonts w:ascii="Symbol" w:hAnsi="Symbol" w:hint="default"/>
      </w:rPr>
    </w:lvl>
    <w:lvl w:ilvl="4" w:tentative="1" w:tplc="44090003">
      <w:start w:val="1"/>
      <w:numFmt w:val="bullet"/>
      <w:lvlText w:val="o"/>
      <w:lvlJc w:val="left"/>
      <w:pPr>
        <w:ind w:hanging="360" w:left="3240"/>
      </w:pPr>
      <w:rPr>
        <w:rFonts w:ascii="Courier New" w:cs="Courier New" w:hAnsi="Courier New" w:hint="default"/>
      </w:rPr>
    </w:lvl>
    <w:lvl w:ilvl="5" w:tentative="1" w:tplc="44090005">
      <w:start w:val="1"/>
      <w:numFmt w:val="bullet"/>
      <w:lvlText w:val=""/>
      <w:lvlJc w:val="left"/>
      <w:pPr>
        <w:ind w:hanging="360" w:left="3960"/>
      </w:pPr>
      <w:rPr>
        <w:rFonts w:ascii="Wingdings" w:hAnsi="Wingdings" w:hint="default"/>
      </w:rPr>
    </w:lvl>
    <w:lvl w:ilvl="6" w:tentative="1" w:tplc="44090001">
      <w:start w:val="1"/>
      <w:numFmt w:val="bullet"/>
      <w:lvlText w:val=""/>
      <w:lvlJc w:val="left"/>
      <w:pPr>
        <w:ind w:hanging="360" w:left="4680"/>
      </w:pPr>
      <w:rPr>
        <w:rFonts w:ascii="Symbol" w:hAnsi="Symbol" w:hint="default"/>
      </w:rPr>
    </w:lvl>
    <w:lvl w:ilvl="7" w:tentative="1" w:tplc="44090003">
      <w:start w:val="1"/>
      <w:numFmt w:val="bullet"/>
      <w:lvlText w:val="o"/>
      <w:lvlJc w:val="left"/>
      <w:pPr>
        <w:ind w:hanging="360" w:left="5400"/>
      </w:pPr>
      <w:rPr>
        <w:rFonts w:ascii="Courier New" w:cs="Courier New" w:hAnsi="Courier New" w:hint="default"/>
      </w:rPr>
    </w:lvl>
    <w:lvl w:ilvl="8" w:tentative="1" w:tplc="44090005">
      <w:start w:val="1"/>
      <w:numFmt w:val="bullet"/>
      <w:lvlText w:val=""/>
      <w:lvlJc w:val="left"/>
      <w:pPr>
        <w:ind w:hanging="360" w:left="6120"/>
      </w:pPr>
      <w:rPr>
        <w:rFonts w:ascii="Wingdings" w:hAnsi="Wingdings" w:hint="default"/>
      </w:rPr>
    </w:lvl>
  </w:abstractNum>
  <w:abstractNum w15:restartNumberingAfterBreak="0" w:abstractNumId="4">
    <w:nsid w:val="34F2734A"/>
    <w:multiLevelType w:val="hybridMultilevel"/>
    <w:tmpl w:val="6240C13A"/>
    <w:lvl w:ilvl="0" w:tplc="4409000F">
      <w:start w:val="1"/>
      <w:numFmt w:val="decimal"/>
      <w:lvlText w:val="%1."/>
      <w:lvlJc w:val="left"/>
      <w:pPr>
        <w:ind w:hanging="360" w:left="1440"/>
      </w:pPr>
    </w:lvl>
    <w:lvl w:ilvl="1" w:tentative="1" w:tplc="44090019">
      <w:start w:val="1"/>
      <w:numFmt w:val="lowerLetter"/>
      <w:lvlText w:val="%2."/>
      <w:lvlJc w:val="left"/>
      <w:pPr>
        <w:ind w:hanging="360" w:left="2160"/>
      </w:pPr>
    </w:lvl>
    <w:lvl w:ilvl="2" w:tentative="1" w:tplc="4409001B">
      <w:start w:val="1"/>
      <w:numFmt w:val="lowerRoman"/>
      <w:lvlText w:val="%3."/>
      <w:lvlJc w:val="right"/>
      <w:pPr>
        <w:ind w:hanging="180" w:left="2880"/>
      </w:pPr>
    </w:lvl>
    <w:lvl w:ilvl="3" w:tentative="1" w:tplc="4409000F">
      <w:start w:val="1"/>
      <w:numFmt w:val="decimal"/>
      <w:lvlText w:val="%4."/>
      <w:lvlJc w:val="left"/>
      <w:pPr>
        <w:ind w:hanging="360" w:left="3600"/>
      </w:pPr>
    </w:lvl>
    <w:lvl w:ilvl="4" w:tentative="1" w:tplc="44090019">
      <w:start w:val="1"/>
      <w:numFmt w:val="lowerLetter"/>
      <w:lvlText w:val="%5."/>
      <w:lvlJc w:val="left"/>
      <w:pPr>
        <w:ind w:hanging="360" w:left="4320"/>
      </w:pPr>
    </w:lvl>
    <w:lvl w:ilvl="5" w:tentative="1" w:tplc="4409001B">
      <w:start w:val="1"/>
      <w:numFmt w:val="lowerRoman"/>
      <w:lvlText w:val="%6."/>
      <w:lvlJc w:val="right"/>
      <w:pPr>
        <w:ind w:hanging="180" w:left="5040"/>
      </w:pPr>
    </w:lvl>
    <w:lvl w:ilvl="6" w:tentative="1" w:tplc="4409000F">
      <w:start w:val="1"/>
      <w:numFmt w:val="decimal"/>
      <w:lvlText w:val="%7."/>
      <w:lvlJc w:val="left"/>
      <w:pPr>
        <w:ind w:hanging="360" w:left="5760"/>
      </w:pPr>
    </w:lvl>
    <w:lvl w:ilvl="7" w:tentative="1" w:tplc="44090019">
      <w:start w:val="1"/>
      <w:numFmt w:val="lowerLetter"/>
      <w:lvlText w:val="%8."/>
      <w:lvlJc w:val="left"/>
      <w:pPr>
        <w:ind w:hanging="360" w:left="6480"/>
      </w:pPr>
    </w:lvl>
    <w:lvl w:ilvl="8" w:tentative="1" w:tplc="4409001B">
      <w:start w:val="1"/>
      <w:numFmt w:val="lowerRoman"/>
      <w:lvlText w:val="%9."/>
      <w:lvlJc w:val="right"/>
      <w:pPr>
        <w:ind w:hanging="180" w:left="7200"/>
      </w:pPr>
    </w:lvl>
  </w:abstractNum>
  <w:abstractNum w15:restartNumberingAfterBreak="0" w:abstractNumId="5">
    <w:nsid w:val="3F461474"/>
    <w:multiLevelType w:val="hybridMultilevel"/>
    <w:tmpl w:val="98D2553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45A50406"/>
    <w:multiLevelType w:val="hybridMultilevel"/>
    <w:tmpl w:val="ED2095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
    <w:nsid w:val="5593427B"/>
    <w:multiLevelType w:val="hybridMultilevel"/>
    <w:tmpl w:val="72FCAAE4"/>
    <w:lvl w:ilvl="0" w:tplc="44090011">
      <w:start w:val="1"/>
      <w:numFmt w:val="decimal"/>
      <w:lvlText w:val="%1)"/>
      <w:lvlJc w:val="left"/>
      <w:pPr>
        <w:ind w:hanging="360" w:left="720"/>
      </w:pPr>
      <w:rPr>
        <w:rFonts w:hint="default"/>
      </w:rPr>
    </w:lvl>
    <w:lvl w:ilvl="1" w:tentative="1" w:tplc="44090019">
      <w:start w:val="1"/>
      <w:numFmt w:val="lowerLetter"/>
      <w:lvlText w:val="%2."/>
      <w:lvlJc w:val="left"/>
      <w:pPr>
        <w:ind w:hanging="360" w:left="1440"/>
      </w:pPr>
    </w:lvl>
    <w:lvl w:ilvl="2" w:tentative="1" w:tplc="4409001B">
      <w:start w:val="1"/>
      <w:numFmt w:val="lowerRoman"/>
      <w:lvlText w:val="%3."/>
      <w:lvlJc w:val="right"/>
      <w:pPr>
        <w:ind w:hanging="180" w:left="2160"/>
      </w:pPr>
    </w:lvl>
    <w:lvl w:ilvl="3" w:tentative="1" w:tplc="4409000F">
      <w:start w:val="1"/>
      <w:numFmt w:val="decimal"/>
      <w:lvlText w:val="%4."/>
      <w:lvlJc w:val="left"/>
      <w:pPr>
        <w:ind w:hanging="360" w:left="2880"/>
      </w:pPr>
    </w:lvl>
    <w:lvl w:ilvl="4" w:tentative="1" w:tplc="44090019">
      <w:start w:val="1"/>
      <w:numFmt w:val="lowerLetter"/>
      <w:lvlText w:val="%5."/>
      <w:lvlJc w:val="left"/>
      <w:pPr>
        <w:ind w:hanging="360" w:left="3600"/>
      </w:pPr>
    </w:lvl>
    <w:lvl w:ilvl="5" w:tentative="1" w:tplc="4409001B">
      <w:start w:val="1"/>
      <w:numFmt w:val="lowerRoman"/>
      <w:lvlText w:val="%6."/>
      <w:lvlJc w:val="right"/>
      <w:pPr>
        <w:ind w:hanging="180" w:left="4320"/>
      </w:pPr>
    </w:lvl>
    <w:lvl w:ilvl="6" w:tentative="1" w:tplc="4409000F">
      <w:start w:val="1"/>
      <w:numFmt w:val="decimal"/>
      <w:lvlText w:val="%7."/>
      <w:lvlJc w:val="left"/>
      <w:pPr>
        <w:ind w:hanging="360" w:left="5040"/>
      </w:pPr>
    </w:lvl>
    <w:lvl w:ilvl="7" w:tentative="1" w:tplc="44090019">
      <w:start w:val="1"/>
      <w:numFmt w:val="lowerLetter"/>
      <w:lvlText w:val="%8."/>
      <w:lvlJc w:val="left"/>
      <w:pPr>
        <w:ind w:hanging="360" w:left="5760"/>
      </w:pPr>
    </w:lvl>
    <w:lvl w:ilvl="8" w:tentative="1" w:tplc="4409001B">
      <w:start w:val="1"/>
      <w:numFmt w:val="lowerRoman"/>
      <w:lvlText w:val="%9."/>
      <w:lvlJc w:val="right"/>
      <w:pPr>
        <w:ind w:hanging="180" w:left="6480"/>
      </w:pPr>
    </w:lvl>
  </w:abstractNum>
  <w:abstractNum w15:restartNumberingAfterBreak="0" w:abstractNumId="8">
    <w:nsid w:val="57454A9C"/>
    <w:multiLevelType w:val="hybridMultilevel"/>
    <w:tmpl w:val="159085AC"/>
    <w:lvl w:ilvl="0" w:tplc="44090001">
      <w:start w:val="1"/>
      <w:numFmt w:val="bullet"/>
      <w:lvlText w:val=""/>
      <w:lvlJc w:val="left"/>
      <w:pPr>
        <w:ind w:hanging="360" w:left="360"/>
      </w:pPr>
      <w:rPr>
        <w:rFonts w:ascii="Symbol" w:hAnsi="Symbol" w:hint="default"/>
      </w:rPr>
    </w:lvl>
    <w:lvl w:ilvl="1" w:tentative="1" w:tplc="44090003">
      <w:start w:val="1"/>
      <w:numFmt w:val="bullet"/>
      <w:lvlText w:val="o"/>
      <w:lvlJc w:val="left"/>
      <w:pPr>
        <w:ind w:hanging="360" w:left="1080"/>
      </w:pPr>
      <w:rPr>
        <w:rFonts w:ascii="Courier New" w:cs="Courier New" w:hAnsi="Courier New" w:hint="default"/>
      </w:rPr>
    </w:lvl>
    <w:lvl w:ilvl="2" w:tentative="1" w:tplc="44090005">
      <w:start w:val="1"/>
      <w:numFmt w:val="bullet"/>
      <w:lvlText w:val=""/>
      <w:lvlJc w:val="left"/>
      <w:pPr>
        <w:ind w:hanging="360" w:left="1800"/>
      </w:pPr>
      <w:rPr>
        <w:rFonts w:ascii="Wingdings" w:hAnsi="Wingdings" w:hint="default"/>
      </w:rPr>
    </w:lvl>
    <w:lvl w:ilvl="3" w:tentative="1" w:tplc="44090001">
      <w:start w:val="1"/>
      <w:numFmt w:val="bullet"/>
      <w:lvlText w:val=""/>
      <w:lvlJc w:val="left"/>
      <w:pPr>
        <w:ind w:hanging="360" w:left="2520"/>
      </w:pPr>
      <w:rPr>
        <w:rFonts w:ascii="Symbol" w:hAnsi="Symbol" w:hint="default"/>
      </w:rPr>
    </w:lvl>
    <w:lvl w:ilvl="4" w:tentative="1" w:tplc="44090003">
      <w:start w:val="1"/>
      <w:numFmt w:val="bullet"/>
      <w:lvlText w:val="o"/>
      <w:lvlJc w:val="left"/>
      <w:pPr>
        <w:ind w:hanging="360" w:left="3240"/>
      </w:pPr>
      <w:rPr>
        <w:rFonts w:ascii="Courier New" w:cs="Courier New" w:hAnsi="Courier New" w:hint="default"/>
      </w:rPr>
    </w:lvl>
    <w:lvl w:ilvl="5" w:tentative="1" w:tplc="44090005">
      <w:start w:val="1"/>
      <w:numFmt w:val="bullet"/>
      <w:lvlText w:val=""/>
      <w:lvlJc w:val="left"/>
      <w:pPr>
        <w:ind w:hanging="360" w:left="3960"/>
      </w:pPr>
      <w:rPr>
        <w:rFonts w:ascii="Wingdings" w:hAnsi="Wingdings" w:hint="default"/>
      </w:rPr>
    </w:lvl>
    <w:lvl w:ilvl="6" w:tentative="1" w:tplc="44090001">
      <w:start w:val="1"/>
      <w:numFmt w:val="bullet"/>
      <w:lvlText w:val=""/>
      <w:lvlJc w:val="left"/>
      <w:pPr>
        <w:ind w:hanging="360" w:left="4680"/>
      </w:pPr>
      <w:rPr>
        <w:rFonts w:ascii="Symbol" w:hAnsi="Symbol" w:hint="default"/>
      </w:rPr>
    </w:lvl>
    <w:lvl w:ilvl="7" w:tentative="1" w:tplc="44090003">
      <w:start w:val="1"/>
      <w:numFmt w:val="bullet"/>
      <w:lvlText w:val="o"/>
      <w:lvlJc w:val="left"/>
      <w:pPr>
        <w:ind w:hanging="360" w:left="5400"/>
      </w:pPr>
      <w:rPr>
        <w:rFonts w:ascii="Courier New" w:cs="Courier New" w:hAnsi="Courier New" w:hint="default"/>
      </w:rPr>
    </w:lvl>
    <w:lvl w:ilvl="8" w:tentative="1" w:tplc="44090005">
      <w:start w:val="1"/>
      <w:numFmt w:val="bullet"/>
      <w:lvlText w:val=""/>
      <w:lvlJc w:val="left"/>
      <w:pPr>
        <w:ind w:hanging="360" w:left="6120"/>
      </w:pPr>
      <w:rPr>
        <w:rFonts w:ascii="Wingdings" w:hAnsi="Wingdings" w:hint="default"/>
      </w:rPr>
    </w:lvl>
  </w:abstractNum>
  <w:abstractNum w15:restartNumberingAfterBreak="0" w:abstractNumId="9">
    <w:nsid w:val="57F929E6"/>
    <w:multiLevelType w:val="hybridMultilevel"/>
    <w:tmpl w:val="358EDC7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5ABE6AB1"/>
    <w:multiLevelType w:val="hybridMultilevel"/>
    <w:tmpl w:val="C66244E2"/>
    <w:lvl w:ilvl="0" w:tplc="44090001">
      <w:start w:val="1"/>
      <w:numFmt w:val="bullet"/>
      <w:lvlText w:val=""/>
      <w:lvlJc w:val="left"/>
      <w:pPr>
        <w:ind w:hanging="360" w:left="360"/>
      </w:pPr>
      <w:rPr>
        <w:rFonts w:ascii="Symbol" w:hAnsi="Symbol" w:hint="default"/>
      </w:rPr>
    </w:lvl>
    <w:lvl w:ilvl="1" w:tentative="1" w:tplc="44090003">
      <w:start w:val="1"/>
      <w:numFmt w:val="bullet"/>
      <w:lvlText w:val="o"/>
      <w:lvlJc w:val="left"/>
      <w:pPr>
        <w:ind w:hanging="360" w:left="1080"/>
      </w:pPr>
      <w:rPr>
        <w:rFonts w:ascii="Courier New" w:cs="Courier New" w:hAnsi="Courier New" w:hint="default"/>
      </w:rPr>
    </w:lvl>
    <w:lvl w:ilvl="2" w:tentative="1" w:tplc="44090005">
      <w:start w:val="1"/>
      <w:numFmt w:val="bullet"/>
      <w:lvlText w:val=""/>
      <w:lvlJc w:val="left"/>
      <w:pPr>
        <w:ind w:hanging="360" w:left="1800"/>
      </w:pPr>
      <w:rPr>
        <w:rFonts w:ascii="Wingdings" w:hAnsi="Wingdings" w:hint="default"/>
      </w:rPr>
    </w:lvl>
    <w:lvl w:ilvl="3" w:tentative="1" w:tplc="44090001">
      <w:start w:val="1"/>
      <w:numFmt w:val="bullet"/>
      <w:lvlText w:val=""/>
      <w:lvlJc w:val="left"/>
      <w:pPr>
        <w:ind w:hanging="360" w:left="2520"/>
      </w:pPr>
      <w:rPr>
        <w:rFonts w:ascii="Symbol" w:hAnsi="Symbol" w:hint="default"/>
      </w:rPr>
    </w:lvl>
    <w:lvl w:ilvl="4" w:tentative="1" w:tplc="44090003">
      <w:start w:val="1"/>
      <w:numFmt w:val="bullet"/>
      <w:lvlText w:val="o"/>
      <w:lvlJc w:val="left"/>
      <w:pPr>
        <w:ind w:hanging="360" w:left="3240"/>
      </w:pPr>
      <w:rPr>
        <w:rFonts w:ascii="Courier New" w:cs="Courier New" w:hAnsi="Courier New" w:hint="default"/>
      </w:rPr>
    </w:lvl>
    <w:lvl w:ilvl="5" w:tentative="1" w:tplc="44090005">
      <w:start w:val="1"/>
      <w:numFmt w:val="bullet"/>
      <w:lvlText w:val=""/>
      <w:lvlJc w:val="left"/>
      <w:pPr>
        <w:ind w:hanging="360" w:left="3960"/>
      </w:pPr>
      <w:rPr>
        <w:rFonts w:ascii="Wingdings" w:hAnsi="Wingdings" w:hint="default"/>
      </w:rPr>
    </w:lvl>
    <w:lvl w:ilvl="6" w:tentative="1" w:tplc="44090001">
      <w:start w:val="1"/>
      <w:numFmt w:val="bullet"/>
      <w:lvlText w:val=""/>
      <w:lvlJc w:val="left"/>
      <w:pPr>
        <w:ind w:hanging="360" w:left="4680"/>
      </w:pPr>
      <w:rPr>
        <w:rFonts w:ascii="Symbol" w:hAnsi="Symbol" w:hint="default"/>
      </w:rPr>
    </w:lvl>
    <w:lvl w:ilvl="7" w:tentative="1" w:tplc="44090003">
      <w:start w:val="1"/>
      <w:numFmt w:val="bullet"/>
      <w:lvlText w:val="o"/>
      <w:lvlJc w:val="left"/>
      <w:pPr>
        <w:ind w:hanging="360" w:left="5400"/>
      </w:pPr>
      <w:rPr>
        <w:rFonts w:ascii="Courier New" w:cs="Courier New" w:hAnsi="Courier New" w:hint="default"/>
      </w:rPr>
    </w:lvl>
    <w:lvl w:ilvl="8" w:tentative="1" w:tplc="44090005">
      <w:start w:val="1"/>
      <w:numFmt w:val="bullet"/>
      <w:lvlText w:val=""/>
      <w:lvlJc w:val="left"/>
      <w:pPr>
        <w:ind w:hanging="360" w:left="6120"/>
      </w:pPr>
      <w:rPr>
        <w:rFonts w:ascii="Wingdings" w:hAnsi="Wingdings" w:hint="default"/>
      </w:rPr>
    </w:lvl>
  </w:abstractNum>
  <w:abstractNum w15:restartNumberingAfterBreak="0" w:abstractNumId="11">
    <w:nsid w:val="5D303F1F"/>
    <w:multiLevelType w:val="hybridMultilevel"/>
    <w:tmpl w:val="AA9A4230"/>
    <w:lvl w:ilvl="0" w:tplc="44090001">
      <w:start w:val="1"/>
      <w:numFmt w:val="bullet"/>
      <w:lvlText w:val=""/>
      <w:lvlJc w:val="left"/>
      <w:pPr>
        <w:ind w:hanging="360" w:left="360"/>
      </w:pPr>
      <w:rPr>
        <w:rFonts w:ascii="Symbol" w:hAnsi="Symbol" w:hint="default"/>
      </w:rPr>
    </w:lvl>
    <w:lvl w:ilvl="1" w:tentative="1" w:tplc="44090003">
      <w:start w:val="1"/>
      <w:numFmt w:val="bullet"/>
      <w:lvlText w:val="o"/>
      <w:lvlJc w:val="left"/>
      <w:pPr>
        <w:ind w:hanging="360" w:left="1080"/>
      </w:pPr>
      <w:rPr>
        <w:rFonts w:ascii="Courier New" w:cs="Courier New" w:hAnsi="Courier New" w:hint="default"/>
      </w:rPr>
    </w:lvl>
    <w:lvl w:ilvl="2" w:tentative="1" w:tplc="44090005">
      <w:start w:val="1"/>
      <w:numFmt w:val="bullet"/>
      <w:lvlText w:val=""/>
      <w:lvlJc w:val="left"/>
      <w:pPr>
        <w:ind w:hanging="360" w:left="1800"/>
      </w:pPr>
      <w:rPr>
        <w:rFonts w:ascii="Wingdings" w:hAnsi="Wingdings" w:hint="default"/>
      </w:rPr>
    </w:lvl>
    <w:lvl w:ilvl="3" w:tentative="1" w:tplc="44090001">
      <w:start w:val="1"/>
      <w:numFmt w:val="bullet"/>
      <w:lvlText w:val=""/>
      <w:lvlJc w:val="left"/>
      <w:pPr>
        <w:ind w:hanging="360" w:left="2520"/>
      </w:pPr>
      <w:rPr>
        <w:rFonts w:ascii="Symbol" w:hAnsi="Symbol" w:hint="default"/>
      </w:rPr>
    </w:lvl>
    <w:lvl w:ilvl="4" w:tentative="1" w:tplc="44090003">
      <w:start w:val="1"/>
      <w:numFmt w:val="bullet"/>
      <w:lvlText w:val="o"/>
      <w:lvlJc w:val="left"/>
      <w:pPr>
        <w:ind w:hanging="360" w:left="3240"/>
      </w:pPr>
      <w:rPr>
        <w:rFonts w:ascii="Courier New" w:cs="Courier New" w:hAnsi="Courier New" w:hint="default"/>
      </w:rPr>
    </w:lvl>
    <w:lvl w:ilvl="5" w:tentative="1" w:tplc="44090005">
      <w:start w:val="1"/>
      <w:numFmt w:val="bullet"/>
      <w:lvlText w:val=""/>
      <w:lvlJc w:val="left"/>
      <w:pPr>
        <w:ind w:hanging="360" w:left="3960"/>
      </w:pPr>
      <w:rPr>
        <w:rFonts w:ascii="Wingdings" w:hAnsi="Wingdings" w:hint="default"/>
      </w:rPr>
    </w:lvl>
    <w:lvl w:ilvl="6" w:tentative="1" w:tplc="44090001">
      <w:start w:val="1"/>
      <w:numFmt w:val="bullet"/>
      <w:lvlText w:val=""/>
      <w:lvlJc w:val="left"/>
      <w:pPr>
        <w:ind w:hanging="360" w:left="4680"/>
      </w:pPr>
      <w:rPr>
        <w:rFonts w:ascii="Symbol" w:hAnsi="Symbol" w:hint="default"/>
      </w:rPr>
    </w:lvl>
    <w:lvl w:ilvl="7" w:tentative="1" w:tplc="44090003">
      <w:start w:val="1"/>
      <w:numFmt w:val="bullet"/>
      <w:lvlText w:val="o"/>
      <w:lvlJc w:val="left"/>
      <w:pPr>
        <w:ind w:hanging="360" w:left="5400"/>
      </w:pPr>
      <w:rPr>
        <w:rFonts w:ascii="Courier New" w:cs="Courier New" w:hAnsi="Courier New" w:hint="default"/>
      </w:rPr>
    </w:lvl>
    <w:lvl w:ilvl="8" w:tentative="1" w:tplc="44090005">
      <w:start w:val="1"/>
      <w:numFmt w:val="bullet"/>
      <w:lvlText w:val=""/>
      <w:lvlJc w:val="left"/>
      <w:pPr>
        <w:ind w:hanging="360" w:left="6120"/>
      </w:pPr>
      <w:rPr>
        <w:rFonts w:ascii="Wingdings" w:hAnsi="Wingdings" w:hint="default"/>
      </w:rPr>
    </w:lvl>
  </w:abstractNum>
  <w:abstractNum w15:restartNumberingAfterBreak="0" w:abstractNumId="12">
    <w:nsid w:val="60741FE3"/>
    <w:multiLevelType w:val="multilevel"/>
    <w:tmpl w:val="804C42A6"/>
    <w:lvl w:ilvl="0">
      <w:start w:val="1"/>
      <w:numFmt w:val="decimal"/>
      <w:lvlText w:val="%1"/>
      <w:lvlJc w:val="left"/>
      <w:pPr>
        <w:ind w:hanging="360" w:left="360"/>
      </w:pPr>
      <w:rPr>
        <w:rFonts w:hint="default"/>
      </w:rPr>
    </w:lvl>
    <w:lvl w:ilvl="1">
      <w:start w:val="1"/>
      <w:numFmt w:val="decimal"/>
      <w:isLgl/>
      <w:lvlText w:val="%1.%2"/>
      <w:lvlJc w:val="left"/>
      <w:pPr>
        <w:ind w:hanging="720" w:left="720"/>
      </w:pPr>
      <w:rPr>
        <w:rFonts w:hint="default"/>
        <w:sz w:val="28"/>
        <w:szCs w:val="28"/>
      </w:rPr>
    </w:lvl>
    <w:lvl w:ilvl="2">
      <w:start w:val="1"/>
      <w:numFmt w:val="decimal"/>
      <w:isLgl/>
      <w:lvlText w:val="%1.%2.%3."/>
      <w:lvlJc w:val="left"/>
      <w:pPr>
        <w:ind w:hanging="720" w:left="720"/>
      </w:pPr>
      <w:rPr>
        <w:rFonts w:hint="default"/>
        <w:sz w:val="24"/>
        <w:szCs w:val="24"/>
      </w:rPr>
    </w:lvl>
    <w:lvl w:ilvl="3">
      <w:start w:val="1"/>
      <w:numFmt w:val="decimal"/>
      <w:isLgl/>
      <w:lvlText w:val="%1.%2.%3.%4."/>
      <w:lvlJc w:val="left"/>
      <w:pPr>
        <w:ind w:hanging="1080" w:left="1080"/>
      </w:pPr>
      <w:rPr>
        <w:rFonts w:hint="default"/>
        <w:sz w:val="22"/>
        <w:szCs w:val="22"/>
      </w:rPr>
    </w:lvl>
    <w:lvl w:ilvl="4">
      <w:start w:val="1"/>
      <w:numFmt w:val="decimal"/>
      <w:isLgl/>
      <w:lvlText w:val="%1.%2.%3.%4.%5."/>
      <w:lvlJc w:val="left"/>
      <w:pPr>
        <w:ind w:hanging="1440" w:left="144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2160" w:left="2160"/>
      </w:pPr>
      <w:rPr>
        <w:rFonts w:hint="default"/>
      </w:rPr>
    </w:lvl>
    <w:lvl w:ilvl="8">
      <w:start w:val="1"/>
      <w:numFmt w:val="decimal"/>
      <w:isLgl/>
      <w:lvlText w:val="%1.%2.%3.%4.%5.%6.%7.%8.%9."/>
      <w:lvlJc w:val="left"/>
      <w:pPr>
        <w:ind w:hanging="2160" w:left="2160"/>
      </w:pPr>
      <w:rPr>
        <w:rFonts w:hint="default"/>
      </w:rPr>
    </w:lvl>
  </w:abstractNum>
  <w:abstractNum w15:restartNumberingAfterBreak="0" w:abstractNumId="13">
    <w:nsid w:val="61B1156A"/>
    <w:multiLevelType w:val="hybridMultilevel"/>
    <w:tmpl w:val="8FB0D5C8"/>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4">
    <w:nsid w:val="620D6B55"/>
    <w:multiLevelType w:val="hybridMultilevel"/>
    <w:tmpl w:val="EB60673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63BA21CC"/>
    <w:multiLevelType w:val="hybridMultilevel"/>
    <w:tmpl w:val="ABD202A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6690742A"/>
    <w:multiLevelType w:val="hybridMultilevel"/>
    <w:tmpl w:val="6EE6D130"/>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17">
    <w:nsid w:val="67190061"/>
    <w:multiLevelType w:val="hybridMultilevel"/>
    <w:tmpl w:val="52F4BD80"/>
    <w:lvl w:ilvl="0" w:tplc="44090001">
      <w:start w:val="1"/>
      <w:numFmt w:val="bullet"/>
      <w:lvlText w:val=""/>
      <w:lvlJc w:val="left"/>
      <w:pPr>
        <w:ind w:hanging="360" w:left="360"/>
      </w:pPr>
      <w:rPr>
        <w:rFonts w:ascii="Symbol" w:hAnsi="Symbol" w:hint="default"/>
      </w:rPr>
    </w:lvl>
    <w:lvl w:ilvl="1" w:tentative="1" w:tplc="44090003">
      <w:start w:val="1"/>
      <w:numFmt w:val="bullet"/>
      <w:lvlText w:val="o"/>
      <w:lvlJc w:val="left"/>
      <w:pPr>
        <w:ind w:hanging="360" w:left="1080"/>
      </w:pPr>
      <w:rPr>
        <w:rFonts w:ascii="Courier New" w:cs="Courier New" w:hAnsi="Courier New" w:hint="default"/>
      </w:rPr>
    </w:lvl>
    <w:lvl w:ilvl="2" w:tentative="1" w:tplc="44090005">
      <w:start w:val="1"/>
      <w:numFmt w:val="bullet"/>
      <w:lvlText w:val=""/>
      <w:lvlJc w:val="left"/>
      <w:pPr>
        <w:ind w:hanging="360" w:left="1800"/>
      </w:pPr>
      <w:rPr>
        <w:rFonts w:ascii="Wingdings" w:hAnsi="Wingdings" w:hint="default"/>
      </w:rPr>
    </w:lvl>
    <w:lvl w:ilvl="3" w:tentative="1" w:tplc="44090001">
      <w:start w:val="1"/>
      <w:numFmt w:val="bullet"/>
      <w:lvlText w:val=""/>
      <w:lvlJc w:val="left"/>
      <w:pPr>
        <w:ind w:hanging="360" w:left="2520"/>
      </w:pPr>
      <w:rPr>
        <w:rFonts w:ascii="Symbol" w:hAnsi="Symbol" w:hint="default"/>
      </w:rPr>
    </w:lvl>
    <w:lvl w:ilvl="4" w:tentative="1" w:tplc="44090003">
      <w:start w:val="1"/>
      <w:numFmt w:val="bullet"/>
      <w:lvlText w:val="o"/>
      <w:lvlJc w:val="left"/>
      <w:pPr>
        <w:ind w:hanging="360" w:left="3240"/>
      </w:pPr>
      <w:rPr>
        <w:rFonts w:ascii="Courier New" w:cs="Courier New" w:hAnsi="Courier New" w:hint="default"/>
      </w:rPr>
    </w:lvl>
    <w:lvl w:ilvl="5" w:tentative="1" w:tplc="44090005">
      <w:start w:val="1"/>
      <w:numFmt w:val="bullet"/>
      <w:lvlText w:val=""/>
      <w:lvlJc w:val="left"/>
      <w:pPr>
        <w:ind w:hanging="360" w:left="3960"/>
      </w:pPr>
      <w:rPr>
        <w:rFonts w:ascii="Wingdings" w:hAnsi="Wingdings" w:hint="default"/>
      </w:rPr>
    </w:lvl>
    <w:lvl w:ilvl="6" w:tentative="1" w:tplc="44090001">
      <w:start w:val="1"/>
      <w:numFmt w:val="bullet"/>
      <w:lvlText w:val=""/>
      <w:lvlJc w:val="left"/>
      <w:pPr>
        <w:ind w:hanging="360" w:left="4680"/>
      </w:pPr>
      <w:rPr>
        <w:rFonts w:ascii="Symbol" w:hAnsi="Symbol" w:hint="default"/>
      </w:rPr>
    </w:lvl>
    <w:lvl w:ilvl="7" w:tentative="1" w:tplc="44090003">
      <w:start w:val="1"/>
      <w:numFmt w:val="bullet"/>
      <w:lvlText w:val="o"/>
      <w:lvlJc w:val="left"/>
      <w:pPr>
        <w:ind w:hanging="360" w:left="5400"/>
      </w:pPr>
      <w:rPr>
        <w:rFonts w:ascii="Courier New" w:cs="Courier New" w:hAnsi="Courier New" w:hint="default"/>
      </w:rPr>
    </w:lvl>
    <w:lvl w:ilvl="8" w:tentative="1" w:tplc="44090005">
      <w:start w:val="1"/>
      <w:numFmt w:val="bullet"/>
      <w:lvlText w:val=""/>
      <w:lvlJc w:val="left"/>
      <w:pPr>
        <w:ind w:hanging="360" w:left="6120"/>
      </w:pPr>
      <w:rPr>
        <w:rFonts w:ascii="Wingdings" w:hAnsi="Wingdings" w:hint="default"/>
      </w:rPr>
    </w:lvl>
  </w:abstractNum>
  <w:abstractNum w15:restartNumberingAfterBreak="0" w:abstractNumId="18">
    <w:nsid w:val="6807EAC5"/>
    <w:multiLevelType w:val="hybridMultilevel"/>
    <w:tmpl w:val="965A872C"/>
    <w:lvl w:ilvl="0" w:tplc="7090C910">
      <w:start w:val="1"/>
      <w:numFmt w:val="bullet"/>
      <w:lvlText w:val=""/>
      <w:lvlJc w:val="left"/>
      <w:pPr>
        <w:ind w:hanging="360" w:left="1080"/>
      </w:pPr>
      <w:rPr>
        <w:rFonts w:ascii="Symbol" w:hAnsi="Symbol" w:hint="default"/>
      </w:rPr>
    </w:lvl>
    <w:lvl w:ilvl="1" w:tplc="FB0C8706">
      <w:start w:val="1"/>
      <w:numFmt w:val="bullet"/>
      <w:lvlText w:val="o"/>
      <w:lvlJc w:val="left"/>
      <w:pPr>
        <w:ind w:hanging="360" w:left="1800"/>
      </w:pPr>
      <w:rPr>
        <w:rFonts w:ascii="Courier New" w:hAnsi="Courier New" w:hint="default"/>
      </w:rPr>
    </w:lvl>
    <w:lvl w:ilvl="2" w:tplc="7DF83770">
      <w:start w:val="1"/>
      <w:numFmt w:val="bullet"/>
      <w:lvlText w:val=""/>
      <w:lvlJc w:val="left"/>
      <w:pPr>
        <w:ind w:hanging="360" w:left="2520"/>
      </w:pPr>
      <w:rPr>
        <w:rFonts w:ascii="Wingdings" w:hAnsi="Wingdings" w:hint="default"/>
      </w:rPr>
    </w:lvl>
    <w:lvl w:ilvl="3" w:tplc="1F4AD30E">
      <w:start w:val="1"/>
      <w:numFmt w:val="bullet"/>
      <w:lvlText w:val=""/>
      <w:lvlJc w:val="left"/>
      <w:pPr>
        <w:ind w:hanging="360" w:left="3240"/>
      </w:pPr>
      <w:rPr>
        <w:rFonts w:ascii="Symbol" w:hAnsi="Symbol" w:hint="default"/>
      </w:rPr>
    </w:lvl>
    <w:lvl w:ilvl="4" w:tplc="48C62D56">
      <w:start w:val="1"/>
      <w:numFmt w:val="bullet"/>
      <w:lvlText w:val="o"/>
      <w:lvlJc w:val="left"/>
      <w:pPr>
        <w:ind w:hanging="360" w:left="3960"/>
      </w:pPr>
      <w:rPr>
        <w:rFonts w:ascii="Courier New" w:hAnsi="Courier New" w:hint="default"/>
      </w:rPr>
    </w:lvl>
    <w:lvl w:ilvl="5" w:tplc="B1688F82">
      <w:start w:val="1"/>
      <w:numFmt w:val="bullet"/>
      <w:lvlText w:val=""/>
      <w:lvlJc w:val="left"/>
      <w:pPr>
        <w:ind w:hanging="360" w:left="4680"/>
      </w:pPr>
      <w:rPr>
        <w:rFonts w:ascii="Wingdings" w:hAnsi="Wingdings" w:hint="default"/>
      </w:rPr>
    </w:lvl>
    <w:lvl w:ilvl="6" w:tplc="EDFA2B0C">
      <w:start w:val="1"/>
      <w:numFmt w:val="bullet"/>
      <w:lvlText w:val=""/>
      <w:lvlJc w:val="left"/>
      <w:pPr>
        <w:ind w:hanging="360" w:left="5400"/>
      </w:pPr>
      <w:rPr>
        <w:rFonts w:ascii="Symbol" w:hAnsi="Symbol" w:hint="default"/>
      </w:rPr>
    </w:lvl>
    <w:lvl w:ilvl="7" w:tplc="BE9E4D2A">
      <w:start w:val="1"/>
      <w:numFmt w:val="bullet"/>
      <w:lvlText w:val="o"/>
      <w:lvlJc w:val="left"/>
      <w:pPr>
        <w:ind w:hanging="360" w:left="6120"/>
      </w:pPr>
      <w:rPr>
        <w:rFonts w:ascii="Courier New" w:hAnsi="Courier New" w:hint="default"/>
      </w:rPr>
    </w:lvl>
    <w:lvl w:ilvl="8" w:tplc="9D5C7616">
      <w:start w:val="1"/>
      <w:numFmt w:val="bullet"/>
      <w:lvlText w:val=""/>
      <w:lvlJc w:val="left"/>
      <w:pPr>
        <w:ind w:hanging="360" w:left="6840"/>
      </w:pPr>
      <w:rPr>
        <w:rFonts w:ascii="Wingdings" w:hAnsi="Wingdings" w:hint="default"/>
      </w:rPr>
    </w:lvl>
  </w:abstractNum>
  <w:abstractNum w15:restartNumberingAfterBreak="0" w:abstractNumId="19">
    <w:nsid w:val="6B691A91"/>
    <w:multiLevelType w:val="hybridMultilevel"/>
    <w:tmpl w:val="FFFFFFFF"/>
    <w:lvl w:ilvl="0" w:tplc="632881C2">
      <w:start w:val="1"/>
      <w:numFmt w:val="bullet"/>
      <w:lvlText w:val=""/>
      <w:lvlJc w:val="left"/>
      <w:pPr>
        <w:ind w:hanging="360" w:left="720"/>
      </w:pPr>
      <w:rPr>
        <w:rFonts w:ascii="Symbol" w:hAnsi="Symbol" w:hint="default"/>
      </w:rPr>
    </w:lvl>
    <w:lvl w:ilvl="1" w:tplc="8B8E6210">
      <w:start w:val="1"/>
      <w:numFmt w:val="bullet"/>
      <w:lvlText w:val="o"/>
      <w:lvlJc w:val="left"/>
      <w:pPr>
        <w:ind w:hanging="360" w:left="1440"/>
      </w:pPr>
      <w:rPr>
        <w:rFonts w:ascii="Courier New" w:hAnsi="Courier New" w:hint="default"/>
      </w:rPr>
    </w:lvl>
    <w:lvl w:ilvl="2" w:tplc="55CA8344">
      <w:start w:val="1"/>
      <w:numFmt w:val="bullet"/>
      <w:lvlText w:val=""/>
      <w:lvlJc w:val="left"/>
      <w:pPr>
        <w:ind w:hanging="360" w:left="2160"/>
      </w:pPr>
      <w:rPr>
        <w:rFonts w:ascii="Wingdings" w:hAnsi="Wingdings" w:hint="default"/>
      </w:rPr>
    </w:lvl>
    <w:lvl w:ilvl="3" w:tplc="451CC948">
      <w:start w:val="1"/>
      <w:numFmt w:val="bullet"/>
      <w:lvlText w:val=""/>
      <w:lvlJc w:val="left"/>
      <w:pPr>
        <w:ind w:hanging="360" w:left="2880"/>
      </w:pPr>
      <w:rPr>
        <w:rFonts w:ascii="Symbol" w:hAnsi="Symbol" w:hint="default"/>
      </w:rPr>
    </w:lvl>
    <w:lvl w:ilvl="4" w:tplc="841E1978">
      <w:start w:val="1"/>
      <w:numFmt w:val="bullet"/>
      <w:lvlText w:val="o"/>
      <w:lvlJc w:val="left"/>
      <w:pPr>
        <w:ind w:hanging="360" w:left="3600"/>
      </w:pPr>
      <w:rPr>
        <w:rFonts w:ascii="Courier New" w:hAnsi="Courier New" w:hint="default"/>
      </w:rPr>
    </w:lvl>
    <w:lvl w:ilvl="5" w:tplc="4FF82E18">
      <w:start w:val="1"/>
      <w:numFmt w:val="bullet"/>
      <w:lvlText w:val=""/>
      <w:lvlJc w:val="left"/>
      <w:pPr>
        <w:ind w:hanging="360" w:left="4320"/>
      </w:pPr>
      <w:rPr>
        <w:rFonts w:ascii="Wingdings" w:hAnsi="Wingdings" w:hint="default"/>
      </w:rPr>
    </w:lvl>
    <w:lvl w:ilvl="6" w:tplc="BE74DEA2">
      <w:start w:val="1"/>
      <w:numFmt w:val="bullet"/>
      <w:lvlText w:val=""/>
      <w:lvlJc w:val="left"/>
      <w:pPr>
        <w:ind w:hanging="360" w:left="5040"/>
      </w:pPr>
      <w:rPr>
        <w:rFonts w:ascii="Symbol" w:hAnsi="Symbol" w:hint="default"/>
      </w:rPr>
    </w:lvl>
    <w:lvl w:ilvl="7" w:tplc="A8F65A5C">
      <w:start w:val="1"/>
      <w:numFmt w:val="bullet"/>
      <w:lvlText w:val="o"/>
      <w:lvlJc w:val="left"/>
      <w:pPr>
        <w:ind w:hanging="360" w:left="5760"/>
      </w:pPr>
      <w:rPr>
        <w:rFonts w:ascii="Courier New" w:hAnsi="Courier New" w:hint="default"/>
      </w:rPr>
    </w:lvl>
    <w:lvl w:ilvl="8" w:tplc="0DA271AC">
      <w:start w:val="1"/>
      <w:numFmt w:val="bullet"/>
      <w:lvlText w:val=""/>
      <w:lvlJc w:val="left"/>
      <w:pPr>
        <w:ind w:hanging="360" w:left="6480"/>
      </w:pPr>
      <w:rPr>
        <w:rFonts w:ascii="Wingdings" w:hAnsi="Wingdings" w:hint="default"/>
      </w:rPr>
    </w:lvl>
  </w:abstractNum>
  <w:abstractNum w15:restartNumberingAfterBreak="0" w:abstractNumId="20">
    <w:nsid w:val="6F125796"/>
    <w:multiLevelType w:val="hybridMultilevel"/>
    <w:tmpl w:val="C6AE9A3E"/>
    <w:lvl w:ilvl="0" w:tplc="44090001">
      <w:start w:val="1"/>
      <w:numFmt w:val="bullet"/>
      <w:lvlText w:val=""/>
      <w:lvlJc w:val="left"/>
      <w:pPr>
        <w:ind w:hanging="360" w:left="720"/>
      </w:pPr>
      <w:rPr>
        <w:rFonts w:ascii="Symbol" w:hAnsi="Symbol" w:hint="default"/>
      </w:rPr>
    </w:lvl>
    <w:lvl w:ilvl="1" w:tentative="1" w:tplc="44090003">
      <w:start w:val="1"/>
      <w:numFmt w:val="bullet"/>
      <w:lvlText w:val="o"/>
      <w:lvlJc w:val="left"/>
      <w:pPr>
        <w:ind w:hanging="360" w:left="1440"/>
      </w:pPr>
      <w:rPr>
        <w:rFonts w:ascii="Courier New" w:cs="Courier New" w:hAnsi="Courier New" w:hint="default"/>
      </w:rPr>
    </w:lvl>
    <w:lvl w:ilvl="2" w:tentative="1" w:tplc="44090005">
      <w:start w:val="1"/>
      <w:numFmt w:val="bullet"/>
      <w:lvlText w:val=""/>
      <w:lvlJc w:val="left"/>
      <w:pPr>
        <w:ind w:hanging="360" w:left="2160"/>
      </w:pPr>
      <w:rPr>
        <w:rFonts w:ascii="Wingdings" w:hAnsi="Wingdings" w:hint="default"/>
      </w:rPr>
    </w:lvl>
    <w:lvl w:ilvl="3" w:tentative="1" w:tplc="44090001">
      <w:start w:val="1"/>
      <w:numFmt w:val="bullet"/>
      <w:lvlText w:val=""/>
      <w:lvlJc w:val="left"/>
      <w:pPr>
        <w:ind w:hanging="360" w:left="2880"/>
      </w:pPr>
      <w:rPr>
        <w:rFonts w:ascii="Symbol" w:hAnsi="Symbol" w:hint="default"/>
      </w:rPr>
    </w:lvl>
    <w:lvl w:ilvl="4" w:tentative="1" w:tplc="44090003">
      <w:start w:val="1"/>
      <w:numFmt w:val="bullet"/>
      <w:lvlText w:val="o"/>
      <w:lvlJc w:val="left"/>
      <w:pPr>
        <w:ind w:hanging="360" w:left="3600"/>
      </w:pPr>
      <w:rPr>
        <w:rFonts w:ascii="Courier New" w:cs="Courier New" w:hAnsi="Courier New" w:hint="default"/>
      </w:rPr>
    </w:lvl>
    <w:lvl w:ilvl="5" w:tentative="1" w:tplc="44090005">
      <w:start w:val="1"/>
      <w:numFmt w:val="bullet"/>
      <w:lvlText w:val=""/>
      <w:lvlJc w:val="left"/>
      <w:pPr>
        <w:ind w:hanging="360" w:left="4320"/>
      </w:pPr>
      <w:rPr>
        <w:rFonts w:ascii="Wingdings" w:hAnsi="Wingdings" w:hint="default"/>
      </w:rPr>
    </w:lvl>
    <w:lvl w:ilvl="6" w:tentative="1" w:tplc="44090001">
      <w:start w:val="1"/>
      <w:numFmt w:val="bullet"/>
      <w:lvlText w:val=""/>
      <w:lvlJc w:val="left"/>
      <w:pPr>
        <w:ind w:hanging="360" w:left="5040"/>
      </w:pPr>
      <w:rPr>
        <w:rFonts w:ascii="Symbol" w:hAnsi="Symbol" w:hint="default"/>
      </w:rPr>
    </w:lvl>
    <w:lvl w:ilvl="7" w:tentative="1" w:tplc="44090003">
      <w:start w:val="1"/>
      <w:numFmt w:val="bullet"/>
      <w:lvlText w:val="o"/>
      <w:lvlJc w:val="left"/>
      <w:pPr>
        <w:ind w:hanging="360" w:left="5760"/>
      </w:pPr>
      <w:rPr>
        <w:rFonts w:ascii="Courier New" w:cs="Courier New" w:hAnsi="Courier New" w:hint="default"/>
      </w:rPr>
    </w:lvl>
    <w:lvl w:ilvl="8" w:tentative="1" w:tplc="44090005">
      <w:start w:val="1"/>
      <w:numFmt w:val="bullet"/>
      <w:lvlText w:val=""/>
      <w:lvlJc w:val="left"/>
      <w:pPr>
        <w:ind w:hanging="360" w:left="6480"/>
      </w:pPr>
      <w:rPr>
        <w:rFonts w:ascii="Wingdings" w:hAnsi="Wingdings" w:hint="default"/>
      </w:rPr>
    </w:lvl>
  </w:abstractNum>
  <w:abstractNum w15:restartNumberingAfterBreak="0" w:abstractNumId="21">
    <w:nsid w:val="792E24A2"/>
    <w:multiLevelType w:val="hybridMultilevel"/>
    <w:tmpl w:val="EDAC9E06"/>
    <w:lvl w:ilvl="0" w:tplc="44090019">
      <w:start w:val="1"/>
      <w:numFmt w:val="lowerLetter"/>
      <w:lvlText w:val="%1."/>
      <w:lvlJc w:val="left"/>
      <w:pPr>
        <w:ind w:hanging="360" w:left="1080"/>
      </w:pPr>
      <w:rPr>
        <w:rFonts w:hint="default"/>
      </w:rPr>
    </w:lvl>
    <w:lvl w:ilvl="1" w:tentative="1" w:tplc="FFFFFFFF">
      <w:start w:val="1"/>
      <w:numFmt w:val="bullet"/>
      <w:lvlText w:val="o"/>
      <w:lvlJc w:val="left"/>
      <w:pPr>
        <w:ind w:hanging="360" w:left="1800"/>
      </w:pPr>
      <w:rPr>
        <w:rFonts w:ascii="Courier New" w:cs="Courier New" w:hAnsi="Courier New" w:hint="default"/>
      </w:rPr>
    </w:lvl>
    <w:lvl w:ilvl="2" w:tentative="1" w:tplc="FFFFFFFF">
      <w:start w:val="1"/>
      <w:numFmt w:val="bullet"/>
      <w:lvlText w:val=""/>
      <w:lvlJc w:val="left"/>
      <w:pPr>
        <w:ind w:hanging="360" w:left="2520"/>
      </w:pPr>
      <w:rPr>
        <w:rFonts w:ascii="Wingdings" w:hAnsi="Wingdings" w:hint="default"/>
      </w:rPr>
    </w:lvl>
    <w:lvl w:ilvl="3" w:tentative="1" w:tplc="FFFFFFFF">
      <w:start w:val="1"/>
      <w:numFmt w:val="bullet"/>
      <w:lvlText w:val=""/>
      <w:lvlJc w:val="left"/>
      <w:pPr>
        <w:ind w:hanging="360" w:left="3240"/>
      </w:pPr>
      <w:rPr>
        <w:rFonts w:ascii="Symbol" w:hAnsi="Symbol" w:hint="default"/>
      </w:rPr>
    </w:lvl>
    <w:lvl w:ilvl="4" w:tentative="1" w:tplc="FFFFFFFF">
      <w:start w:val="1"/>
      <w:numFmt w:val="bullet"/>
      <w:lvlText w:val="o"/>
      <w:lvlJc w:val="left"/>
      <w:pPr>
        <w:ind w:hanging="360" w:left="3960"/>
      </w:pPr>
      <w:rPr>
        <w:rFonts w:ascii="Courier New" w:cs="Courier New" w:hAnsi="Courier New" w:hint="default"/>
      </w:rPr>
    </w:lvl>
    <w:lvl w:ilvl="5" w:tentative="1" w:tplc="FFFFFFFF">
      <w:start w:val="1"/>
      <w:numFmt w:val="bullet"/>
      <w:lvlText w:val=""/>
      <w:lvlJc w:val="left"/>
      <w:pPr>
        <w:ind w:hanging="360" w:left="4680"/>
      </w:pPr>
      <w:rPr>
        <w:rFonts w:ascii="Wingdings" w:hAnsi="Wingdings" w:hint="default"/>
      </w:rPr>
    </w:lvl>
    <w:lvl w:ilvl="6" w:tentative="1" w:tplc="FFFFFFFF">
      <w:start w:val="1"/>
      <w:numFmt w:val="bullet"/>
      <w:lvlText w:val=""/>
      <w:lvlJc w:val="left"/>
      <w:pPr>
        <w:ind w:hanging="360" w:left="5400"/>
      </w:pPr>
      <w:rPr>
        <w:rFonts w:ascii="Symbol" w:hAnsi="Symbol" w:hint="default"/>
      </w:rPr>
    </w:lvl>
    <w:lvl w:ilvl="7" w:tentative="1" w:tplc="FFFFFFFF">
      <w:start w:val="1"/>
      <w:numFmt w:val="bullet"/>
      <w:lvlText w:val="o"/>
      <w:lvlJc w:val="left"/>
      <w:pPr>
        <w:ind w:hanging="360" w:left="6120"/>
      </w:pPr>
      <w:rPr>
        <w:rFonts w:ascii="Courier New" w:cs="Courier New" w:hAnsi="Courier New" w:hint="default"/>
      </w:rPr>
    </w:lvl>
    <w:lvl w:ilvl="8" w:tentative="1" w:tplc="FFFFFFFF">
      <w:start w:val="1"/>
      <w:numFmt w:val="bullet"/>
      <w:lvlText w:val=""/>
      <w:lvlJc w:val="left"/>
      <w:pPr>
        <w:ind w:hanging="360" w:left="684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84337513" w:numId="1">
    <w:abstractNumId w:val="12"/>
  </w:num>
  <w:num w16cid:durableId="821317718" w:numId="2">
    <w:abstractNumId w:val="4"/>
  </w:num>
  <w:num w16cid:durableId="464926961" w:numId="3">
    <w:abstractNumId w:val="19"/>
  </w:num>
  <w:num w16cid:durableId="1129125088" w:numId="4">
    <w:abstractNumId w:val="18"/>
  </w:num>
  <w:num w16cid:durableId="1500534509" w:numId="5">
    <w:abstractNumId w:val="12"/>
    <w:lvlOverride w:ilvl="0">
      <w:lvl w:ilvl="0">
        <w:start w:val="1"/>
        <w:numFmt w:val="decimal"/>
        <w:lvlText w:val="%1"/>
        <w:lvlJc w:val="left"/>
        <w:pPr>
          <w:ind w:hanging="360" w:left="360"/>
        </w:pPr>
        <w:rPr>
          <w:rFonts w:hint="default"/>
        </w:rPr>
      </w:lvl>
    </w:lvlOverride>
    <w:lvlOverride w:ilvl="1">
      <w:lvl w:ilvl="1">
        <w:start w:val="1"/>
        <w:numFmt w:val="decimal"/>
        <w:isLgl/>
        <w:lvlText w:val="%1.%2"/>
        <w:lvlJc w:val="left"/>
        <w:pPr>
          <w:ind w:hanging="720" w:left="720"/>
        </w:pPr>
        <w:rPr>
          <w:rFonts w:hint="default"/>
          <w:sz w:val="28"/>
          <w:szCs w:val="28"/>
        </w:rPr>
      </w:lvl>
    </w:lvlOverride>
    <w:lvlOverride w:ilvl="2">
      <w:lvl w:ilvl="2">
        <w:start w:val="1"/>
        <w:numFmt w:val="decimal"/>
        <w:isLgl/>
        <w:lvlText w:val="%1.%2.%3"/>
        <w:lvlJc w:val="left"/>
        <w:pPr>
          <w:ind w:hanging="720" w:left="720"/>
        </w:pPr>
        <w:rPr>
          <w:rFonts w:hint="default"/>
          <w:sz w:val="24"/>
          <w:szCs w:val="24"/>
        </w:rPr>
      </w:lvl>
    </w:lvlOverride>
    <w:lvlOverride w:ilvl="3">
      <w:lvl w:ilvl="3">
        <w:start w:val="1"/>
        <w:numFmt w:val="decimal"/>
        <w:isLgl/>
        <w:lvlText w:val="%1.%2.%3.%4"/>
        <w:lvlJc w:val="left"/>
        <w:pPr>
          <w:ind w:hanging="1080" w:left="1080"/>
        </w:pPr>
        <w:rPr>
          <w:rFonts w:hint="default"/>
          <w:sz w:val="22"/>
          <w:szCs w:val="22"/>
        </w:rPr>
      </w:lvl>
    </w:lvlOverride>
    <w:lvlOverride w:ilvl="4">
      <w:lvl w:ilvl="4">
        <w:start w:val="1"/>
        <w:numFmt w:val="decimal"/>
        <w:isLgl/>
        <w:lvlText w:val="%1.%2.%3.%4.%5"/>
        <w:lvlJc w:val="left"/>
        <w:pPr>
          <w:ind w:hanging="1440" w:left="1440"/>
        </w:pPr>
        <w:rPr>
          <w:rFonts w:hint="default"/>
        </w:rPr>
      </w:lvl>
    </w:lvlOverride>
    <w:lvlOverride w:ilvl="5">
      <w:lvl w:ilvl="5">
        <w:start w:val="1"/>
        <w:numFmt w:val="decimal"/>
        <w:isLgl/>
        <w:lvlText w:val="%1.%2.%3.%4.%5.%6"/>
        <w:lvlJc w:val="left"/>
        <w:pPr>
          <w:ind w:hanging="1440" w:left="1440"/>
        </w:pPr>
        <w:rPr>
          <w:rFonts w:hint="default"/>
        </w:rPr>
      </w:lvl>
    </w:lvlOverride>
    <w:lvlOverride w:ilvl="6">
      <w:lvl w:ilvl="6">
        <w:start w:val="1"/>
        <w:numFmt w:val="decimal"/>
        <w:isLgl/>
        <w:lvlText w:val="%1.%2.%3.%4.%5.%6.%7"/>
        <w:lvlJc w:val="left"/>
        <w:pPr>
          <w:ind w:hanging="1800" w:left="1800"/>
        </w:pPr>
        <w:rPr>
          <w:rFonts w:hint="default"/>
        </w:rPr>
      </w:lvl>
    </w:lvlOverride>
    <w:lvlOverride w:ilvl="7">
      <w:lvl w:ilvl="7">
        <w:start w:val="1"/>
        <w:numFmt w:val="decimal"/>
        <w:isLgl/>
        <w:lvlText w:val="%1.%2.%3.%4.%5.%6.%7.%8"/>
        <w:lvlJc w:val="left"/>
        <w:pPr>
          <w:ind w:hanging="2160" w:left="2160"/>
        </w:pPr>
        <w:rPr>
          <w:rFonts w:hint="default"/>
        </w:rPr>
      </w:lvl>
    </w:lvlOverride>
    <w:lvlOverride w:ilvl="8">
      <w:lvl w:ilvl="8">
        <w:start w:val="1"/>
        <w:numFmt w:val="decimal"/>
        <w:isLgl/>
        <w:lvlText w:val="%1.%2.%3.%4.%5.%6.%7.%8.%9"/>
        <w:lvlJc w:val="left"/>
        <w:pPr>
          <w:ind w:hanging="2160" w:left="2160"/>
        </w:pPr>
        <w:rPr>
          <w:rFonts w:hint="default"/>
        </w:rPr>
      </w:lvl>
    </w:lvlOverride>
  </w:num>
  <w:num w16cid:durableId="475150446" w:numId="6">
    <w:abstractNumId w:val="1"/>
  </w:num>
  <w:num w16cid:durableId="66808394" w:numId="7">
    <w:abstractNumId w:val="13"/>
  </w:num>
  <w:num w16cid:durableId="1268584124" w:numId="8">
    <w:abstractNumId w:val="21"/>
  </w:num>
  <w:num w16cid:durableId="1477911719" w:numId="9">
    <w:abstractNumId w:val="16"/>
  </w:num>
  <w:num w16cid:durableId="1187407567" w:numId="10">
    <w:abstractNumId w:val="2"/>
  </w:num>
  <w:num w16cid:durableId="580062758" w:numId="11">
    <w:abstractNumId w:val="15"/>
  </w:num>
  <w:num w16cid:durableId="586039578" w:numId="12">
    <w:abstractNumId w:val="14"/>
  </w:num>
  <w:num w16cid:durableId="1900895974" w:numId="13">
    <w:abstractNumId w:val="9"/>
  </w:num>
  <w:num w16cid:durableId="1927110550" w:numId="14">
    <w:abstractNumId w:val="5"/>
  </w:num>
  <w:num w16cid:durableId="322776544" w:numId="15">
    <w:abstractNumId w:val="6"/>
  </w:num>
  <w:num w16cid:durableId="158350122" w:numId="16">
    <w:abstractNumId w:val="20"/>
  </w:num>
  <w:num w16cid:durableId="1929120718" w:numId="17">
    <w:abstractNumId w:val="10"/>
  </w:num>
  <w:num w16cid:durableId="832187681" w:numId="18">
    <w:abstractNumId w:val="11"/>
  </w:num>
  <w:num w16cid:durableId="1808931457" w:numId="19">
    <w:abstractNumId w:val="8"/>
  </w:num>
  <w:num w16cid:durableId="2029288212" w:numId="20">
    <w:abstractNumId w:val="17"/>
  </w:num>
  <w:num w16cid:durableId="948707426" w:numId="21">
    <w:abstractNumId w:val="3"/>
  </w:num>
  <w:num w16cid:durableId="354117934" w:numId="22">
    <w:abstractNumId w:val="0"/>
  </w:num>
  <w:num w16cid:durableId="1784835363" w:numId="23">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EC1"/>
    <w:rsid w:val="00003EC5"/>
    <w:rsid w:val="00006019"/>
    <w:rsid w:val="00007538"/>
    <w:rsid w:val="0001031B"/>
    <w:rsid w:val="0001547A"/>
    <w:rsid w:val="00016A09"/>
    <w:rsid w:val="00020A22"/>
    <w:rsid w:val="00024387"/>
    <w:rsid w:val="0002767B"/>
    <w:rsid w:val="000409AB"/>
    <w:rsid w:val="000412FD"/>
    <w:rsid w:val="00044F29"/>
    <w:rsid w:val="00046F45"/>
    <w:rsid w:val="000537E7"/>
    <w:rsid w:val="000601F1"/>
    <w:rsid w:val="00060832"/>
    <w:rsid w:val="00060A31"/>
    <w:rsid w:val="00061016"/>
    <w:rsid w:val="000624A1"/>
    <w:rsid w:val="00064571"/>
    <w:rsid w:val="0006529D"/>
    <w:rsid w:val="00067934"/>
    <w:rsid w:val="0007231F"/>
    <w:rsid w:val="000738C4"/>
    <w:rsid w:val="00083B51"/>
    <w:rsid w:val="000904AE"/>
    <w:rsid w:val="000965AA"/>
    <w:rsid w:val="000A054B"/>
    <w:rsid w:val="000A08FC"/>
    <w:rsid w:val="000A201F"/>
    <w:rsid w:val="000A317C"/>
    <w:rsid w:val="000A69F8"/>
    <w:rsid w:val="000B6FD3"/>
    <w:rsid w:val="000C4573"/>
    <w:rsid w:val="000C4E68"/>
    <w:rsid w:val="000C5B1A"/>
    <w:rsid w:val="000D1AC2"/>
    <w:rsid w:val="000D4053"/>
    <w:rsid w:val="000D4272"/>
    <w:rsid w:val="000D43F1"/>
    <w:rsid w:val="000E60AA"/>
    <w:rsid w:val="000F073C"/>
    <w:rsid w:val="000F1E28"/>
    <w:rsid w:val="000F3FB7"/>
    <w:rsid w:val="000F6AC7"/>
    <w:rsid w:val="00100DCA"/>
    <w:rsid w:val="00104396"/>
    <w:rsid w:val="001062CB"/>
    <w:rsid w:val="00112A1E"/>
    <w:rsid w:val="001224E9"/>
    <w:rsid w:val="0012379D"/>
    <w:rsid w:val="001318A2"/>
    <w:rsid w:val="00137A7F"/>
    <w:rsid w:val="0014098B"/>
    <w:rsid w:val="0014345B"/>
    <w:rsid w:val="00151C35"/>
    <w:rsid w:val="00153FB7"/>
    <w:rsid w:val="0016045F"/>
    <w:rsid w:val="0016358C"/>
    <w:rsid w:val="00170243"/>
    <w:rsid w:val="001720B1"/>
    <w:rsid w:val="00172491"/>
    <w:rsid w:val="00176A2B"/>
    <w:rsid w:val="001809CA"/>
    <w:rsid w:val="00182C11"/>
    <w:rsid w:val="001919A2"/>
    <w:rsid w:val="001A3742"/>
    <w:rsid w:val="001A4DEA"/>
    <w:rsid w:val="001A6F51"/>
    <w:rsid w:val="001B34A8"/>
    <w:rsid w:val="001C33FE"/>
    <w:rsid w:val="001D1EC1"/>
    <w:rsid w:val="001D41AB"/>
    <w:rsid w:val="001D77C2"/>
    <w:rsid w:val="001E150A"/>
    <w:rsid w:val="001E68B0"/>
    <w:rsid w:val="001E72E2"/>
    <w:rsid w:val="001E7E30"/>
    <w:rsid w:val="001F7E56"/>
    <w:rsid w:val="00200F88"/>
    <w:rsid w:val="002033EE"/>
    <w:rsid w:val="00206A45"/>
    <w:rsid w:val="00207023"/>
    <w:rsid w:val="00210ABC"/>
    <w:rsid w:val="00212231"/>
    <w:rsid w:val="00214929"/>
    <w:rsid w:val="002150B3"/>
    <w:rsid w:val="00217881"/>
    <w:rsid w:val="00223CD9"/>
    <w:rsid w:val="002279AD"/>
    <w:rsid w:val="00230F51"/>
    <w:rsid w:val="002438D4"/>
    <w:rsid w:val="00244BC8"/>
    <w:rsid w:val="00254B78"/>
    <w:rsid w:val="00263059"/>
    <w:rsid w:val="00263CCA"/>
    <w:rsid w:val="00265835"/>
    <w:rsid w:val="002717E5"/>
    <w:rsid w:val="002747E2"/>
    <w:rsid w:val="002771FF"/>
    <w:rsid w:val="00282447"/>
    <w:rsid w:val="002824B1"/>
    <w:rsid w:val="0028536A"/>
    <w:rsid w:val="0028570A"/>
    <w:rsid w:val="00285CFA"/>
    <w:rsid w:val="002861F3"/>
    <w:rsid w:val="002870CA"/>
    <w:rsid w:val="00287D42"/>
    <w:rsid w:val="00290C0D"/>
    <w:rsid w:val="002976D2"/>
    <w:rsid w:val="002A3290"/>
    <w:rsid w:val="002A3350"/>
    <w:rsid w:val="002A445F"/>
    <w:rsid w:val="002A6DE5"/>
    <w:rsid w:val="002B1125"/>
    <w:rsid w:val="002C26E0"/>
    <w:rsid w:val="002C3591"/>
    <w:rsid w:val="002C4DBB"/>
    <w:rsid w:val="002C702C"/>
    <w:rsid w:val="002E140C"/>
    <w:rsid w:val="002E1457"/>
    <w:rsid w:val="002E4B7F"/>
    <w:rsid w:val="002E605F"/>
    <w:rsid w:val="002E71E4"/>
    <w:rsid w:val="002E75F5"/>
    <w:rsid w:val="00307A20"/>
    <w:rsid w:val="003114FC"/>
    <w:rsid w:val="00314A06"/>
    <w:rsid w:val="00315906"/>
    <w:rsid w:val="003161D5"/>
    <w:rsid w:val="00316951"/>
    <w:rsid w:val="0032179A"/>
    <w:rsid w:val="00331AE8"/>
    <w:rsid w:val="00333284"/>
    <w:rsid w:val="00334FD7"/>
    <w:rsid w:val="00341F25"/>
    <w:rsid w:val="003446D5"/>
    <w:rsid w:val="00344DD6"/>
    <w:rsid w:val="00345D61"/>
    <w:rsid w:val="00350B89"/>
    <w:rsid w:val="00353666"/>
    <w:rsid w:val="0035399F"/>
    <w:rsid w:val="00356947"/>
    <w:rsid w:val="00356C71"/>
    <w:rsid w:val="00356F95"/>
    <w:rsid w:val="00357770"/>
    <w:rsid w:val="0037051E"/>
    <w:rsid w:val="00370E75"/>
    <w:rsid w:val="00375134"/>
    <w:rsid w:val="0037574C"/>
    <w:rsid w:val="00384FB0"/>
    <w:rsid w:val="00385463"/>
    <w:rsid w:val="00385990"/>
    <w:rsid w:val="00386D9D"/>
    <w:rsid w:val="003911DB"/>
    <w:rsid w:val="0039249C"/>
    <w:rsid w:val="003929BB"/>
    <w:rsid w:val="003948BB"/>
    <w:rsid w:val="00397A47"/>
    <w:rsid w:val="003A209D"/>
    <w:rsid w:val="003A669C"/>
    <w:rsid w:val="003C711C"/>
    <w:rsid w:val="003C78C0"/>
    <w:rsid w:val="003D19FD"/>
    <w:rsid w:val="003D4778"/>
    <w:rsid w:val="003E3F59"/>
    <w:rsid w:val="003E4F55"/>
    <w:rsid w:val="003F4B97"/>
    <w:rsid w:val="00414542"/>
    <w:rsid w:val="00417192"/>
    <w:rsid w:val="00431A59"/>
    <w:rsid w:val="00432A41"/>
    <w:rsid w:val="004361B1"/>
    <w:rsid w:val="00441B5F"/>
    <w:rsid w:val="004535A3"/>
    <w:rsid w:val="00456883"/>
    <w:rsid w:val="00470ACF"/>
    <w:rsid w:val="00474F46"/>
    <w:rsid w:val="004831CD"/>
    <w:rsid w:val="00491E49"/>
    <w:rsid w:val="004A2935"/>
    <w:rsid w:val="004A3D8A"/>
    <w:rsid w:val="004B0655"/>
    <w:rsid w:val="004B3DF6"/>
    <w:rsid w:val="004B47BD"/>
    <w:rsid w:val="004B4AEB"/>
    <w:rsid w:val="004C3671"/>
    <w:rsid w:val="004D2D33"/>
    <w:rsid w:val="004D65AE"/>
    <w:rsid w:val="004D70B0"/>
    <w:rsid w:val="004D7A9D"/>
    <w:rsid w:val="004E3D00"/>
    <w:rsid w:val="004E5A32"/>
    <w:rsid w:val="004E5DFA"/>
    <w:rsid w:val="004E6B80"/>
    <w:rsid w:val="004E7367"/>
    <w:rsid w:val="004E7EE9"/>
    <w:rsid w:val="004F1CE3"/>
    <w:rsid w:val="00502D3B"/>
    <w:rsid w:val="00504B96"/>
    <w:rsid w:val="0051123E"/>
    <w:rsid w:val="00512A19"/>
    <w:rsid w:val="0051351E"/>
    <w:rsid w:val="0051789E"/>
    <w:rsid w:val="0052177A"/>
    <w:rsid w:val="00523485"/>
    <w:rsid w:val="00526679"/>
    <w:rsid w:val="00535180"/>
    <w:rsid w:val="005361FA"/>
    <w:rsid w:val="00547CB0"/>
    <w:rsid w:val="005538EE"/>
    <w:rsid w:val="005541BE"/>
    <w:rsid w:val="005558F1"/>
    <w:rsid w:val="00562D56"/>
    <w:rsid w:val="00571A89"/>
    <w:rsid w:val="00573463"/>
    <w:rsid w:val="005832E6"/>
    <w:rsid w:val="0058784E"/>
    <w:rsid w:val="00587C41"/>
    <w:rsid w:val="00593039"/>
    <w:rsid w:val="00596483"/>
    <w:rsid w:val="005A31CB"/>
    <w:rsid w:val="005A34E5"/>
    <w:rsid w:val="005A3DA9"/>
    <w:rsid w:val="005B2D7B"/>
    <w:rsid w:val="005B3E00"/>
    <w:rsid w:val="005C1E65"/>
    <w:rsid w:val="005C3BA8"/>
    <w:rsid w:val="005C3BF5"/>
    <w:rsid w:val="005C3C10"/>
    <w:rsid w:val="005E11DD"/>
    <w:rsid w:val="005E39B2"/>
    <w:rsid w:val="005E4CD3"/>
    <w:rsid w:val="005E51BB"/>
    <w:rsid w:val="005E6982"/>
    <w:rsid w:val="005E7D9B"/>
    <w:rsid w:val="005F2453"/>
    <w:rsid w:val="005F4582"/>
    <w:rsid w:val="005F4D92"/>
    <w:rsid w:val="00600DFB"/>
    <w:rsid w:val="0060224E"/>
    <w:rsid w:val="006056B4"/>
    <w:rsid w:val="00605920"/>
    <w:rsid w:val="00610B95"/>
    <w:rsid w:val="00614984"/>
    <w:rsid w:val="006159BB"/>
    <w:rsid w:val="0062055D"/>
    <w:rsid w:val="0062099D"/>
    <w:rsid w:val="00620B31"/>
    <w:rsid w:val="0062795D"/>
    <w:rsid w:val="0063557B"/>
    <w:rsid w:val="0064469A"/>
    <w:rsid w:val="00646D5C"/>
    <w:rsid w:val="006479C5"/>
    <w:rsid w:val="006553BD"/>
    <w:rsid w:val="006559DE"/>
    <w:rsid w:val="00657BC6"/>
    <w:rsid w:val="0066001F"/>
    <w:rsid w:val="006641AC"/>
    <w:rsid w:val="00666A40"/>
    <w:rsid w:val="00670F71"/>
    <w:rsid w:val="00673DE7"/>
    <w:rsid w:val="0067434E"/>
    <w:rsid w:val="00676EC4"/>
    <w:rsid w:val="00677BA8"/>
    <w:rsid w:val="006830B2"/>
    <w:rsid w:val="00683ABF"/>
    <w:rsid w:val="00687DCA"/>
    <w:rsid w:val="0069292C"/>
    <w:rsid w:val="006A0BEB"/>
    <w:rsid w:val="006A2843"/>
    <w:rsid w:val="006A6BCF"/>
    <w:rsid w:val="006A7B41"/>
    <w:rsid w:val="006B2900"/>
    <w:rsid w:val="006B5515"/>
    <w:rsid w:val="006B5B7F"/>
    <w:rsid w:val="006C0841"/>
    <w:rsid w:val="006C3C70"/>
    <w:rsid w:val="006D7B04"/>
    <w:rsid w:val="006D7CF9"/>
    <w:rsid w:val="006D7E66"/>
    <w:rsid w:val="006E61BC"/>
    <w:rsid w:val="006F34B2"/>
    <w:rsid w:val="006F5C53"/>
    <w:rsid w:val="007071AB"/>
    <w:rsid w:val="007125D6"/>
    <w:rsid w:val="00712952"/>
    <w:rsid w:val="007159BE"/>
    <w:rsid w:val="00723C5B"/>
    <w:rsid w:val="007247D8"/>
    <w:rsid w:val="00740140"/>
    <w:rsid w:val="00740F87"/>
    <w:rsid w:val="00747BCE"/>
    <w:rsid w:val="00747C72"/>
    <w:rsid w:val="00762D77"/>
    <w:rsid w:val="007635B0"/>
    <w:rsid w:val="00766313"/>
    <w:rsid w:val="00767386"/>
    <w:rsid w:val="00776FE6"/>
    <w:rsid w:val="00780C56"/>
    <w:rsid w:val="00781DB3"/>
    <w:rsid w:val="00782C94"/>
    <w:rsid w:val="00791B4B"/>
    <w:rsid w:val="007B140F"/>
    <w:rsid w:val="007B3555"/>
    <w:rsid w:val="007B4E5C"/>
    <w:rsid w:val="007B614E"/>
    <w:rsid w:val="007C05C7"/>
    <w:rsid w:val="007D0A2E"/>
    <w:rsid w:val="007D5EAD"/>
    <w:rsid w:val="007D676C"/>
    <w:rsid w:val="007E119E"/>
    <w:rsid w:val="007E4C61"/>
    <w:rsid w:val="007F7BC0"/>
    <w:rsid w:val="008023AA"/>
    <w:rsid w:val="00805979"/>
    <w:rsid w:val="008061C0"/>
    <w:rsid w:val="00810A78"/>
    <w:rsid w:val="00811F2E"/>
    <w:rsid w:val="00811FDD"/>
    <w:rsid w:val="00815A93"/>
    <w:rsid w:val="00816813"/>
    <w:rsid w:val="00816864"/>
    <w:rsid w:val="008366BC"/>
    <w:rsid w:val="00843166"/>
    <w:rsid w:val="008446A1"/>
    <w:rsid w:val="008469AF"/>
    <w:rsid w:val="008558D1"/>
    <w:rsid w:val="008565DF"/>
    <w:rsid w:val="00857780"/>
    <w:rsid w:val="0086124D"/>
    <w:rsid w:val="00861BB7"/>
    <w:rsid w:val="00876AC7"/>
    <w:rsid w:val="008924D3"/>
    <w:rsid w:val="008A7674"/>
    <w:rsid w:val="008B04FE"/>
    <w:rsid w:val="008B0D0A"/>
    <w:rsid w:val="008B17EF"/>
    <w:rsid w:val="008B1C89"/>
    <w:rsid w:val="008B53E8"/>
    <w:rsid w:val="008B6514"/>
    <w:rsid w:val="008C0777"/>
    <w:rsid w:val="008D472F"/>
    <w:rsid w:val="008E12E9"/>
    <w:rsid w:val="008E2FE6"/>
    <w:rsid w:val="008E3A3A"/>
    <w:rsid w:val="008F0090"/>
    <w:rsid w:val="00900DB9"/>
    <w:rsid w:val="00903E71"/>
    <w:rsid w:val="009067D5"/>
    <w:rsid w:val="00911375"/>
    <w:rsid w:val="009117C6"/>
    <w:rsid w:val="009168EF"/>
    <w:rsid w:val="00917C0C"/>
    <w:rsid w:val="009310C5"/>
    <w:rsid w:val="00931B49"/>
    <w:rsid w:val="009320F7"/>
    <w:rsid w:val="00935B79"/>
    <w:rsid w:val="00943146"/>
    <w:rsid w:val="009468AC"/>
    <w:rsid w:val="00952778"/>
    <w:rsid w:val="00956D7A"/>
    <w:rsid w:val="00957F96"/>
    <w:rsid w:val="00963E84"/>
    <w:rsid w:val="0096554E"/>
    <w:rsid w:val="0096710A"/>
    <w:rsid w:val="00971BE3"/>
    <w:rsid w:val="00972B02"/>
    <w:rsid w:val="00975499"/>
    <w:rsid w:val="0097565D"/>
    <w:rsid w:val="009802BB"/>
    <w:rsid w:val="00982047"/>
    <w:rsid w:val="009848E1"/>
    <w:rsid w:val="00984D09"/>
    <w:rsid w:val="00985AE9"/>
    <w:rsid w:val="00991B39"/>
    <w:rsid w:val="00991FE8"/>
    <w:rsid w:val="009934C7"/>
    <w:rsid w:val="0099428A"/>
    <w:rsid w:val="00995686"/>
    <w:rsid w:val="009962EC"/>
    <w:rsid w:val="009A1120"/>
    <w:rsid w:val="009A3B15"/>
    <w:rsid w:val="009A6B94"/>
    <w:rsid w:val="009B271A"/>
    <w:rsid w:val="009B494A"/>
    <w:rsid w:val="009B663D"/>
    <w:rsid w:val="009B71E0"/>
    <w:rsid w:val="009B799F"/>
    <w:rsid w:val="009C251B"/>
    <w:rsid w:val="009C4E6C"/>
    <w:rsid w:val="009D72C6"/>
    <w:rsid w:val="009E157F"/>
    <w:rsid w:val="009E411B"/>
    <w:rsid w:val="009E45BB"/>
    <w:rsid w:val="009E5C01"/>
    <w:rsid w:val="009E5C15"/>
    <w:rsid w:val="009E6815"/>
    <w:rsid w:val="009F093B"/>
    <w:rsid w:val="009F1027"/>
    <w:rsid w:val="009F1C8D"/>
    <w:rsid w:val="009F3A1C"/>
    <w:rsid w:val="009F3DCB"/>
    <w:rsid w:val="009F67BE"/>
    <w:rsid w:val="009F692C"/>
    <w:rsid w:val="009F6E5A"/>
    <w:rsid w:val="00A059E1"/>
    <w:rsid w:val="00A122E9"/>
    <w:rsid w:val="00A1585C"/>
    <w:rsid w:val="00A20C4D"/>
    <w:rsid w:val="00A24FA3"/>
    <w:rsid w:val="00A26486"/>
    <w:rsid w:val="00A30015"/>
    <w:rsid w:val="00A31ABB"/>
    <w:rsid w:val="00A414C0"/>
    <w:rsid w:val="00A417B8"/>
    <w:rsid w:val="00A4184C"/>
    <w:rsid w:val="00A4604B"/>
    <w:rsid w:val="00A60AA6"/>
    <w:rsid w:val="00A76A67"/>
    <w:rsid w:val="00A80D55"/>
    <w:rsid w:val="00A825FB"/>
    <w:rsid w:val="00A82FDA"/>
    <w:rsid w:val="00A8649A"/>
    <w:rsid w:val="00A903B1"/>
    <w:rsid w:val="00A90537"/>
    <w:rsid w:val="00A906DB"/>
    <w:rsid w:val="00A907D9"/>
    <w:rsid w:val="00A90A62"/>
    <w:rsid w:val="00A9294D"/>
    <w:rsid w:val="00A95AAF"/>
    <w:rsid w:val="00AA0A00"/>
    <w:rsid w:val="00AA204A"/>
    <w:rsid w:val="00AA72D1"/>
    <w:rsid w:val="00AB2FC1"/>
    <w:rsid w:val="00AB5C26"/>
    <w:rsid w:val="00AC2B27"/>
    <w:rsid w:val="00AC2BB2"/>
    <w:rsid w:val="00AC42D0"/>
    <w:rsid w:val="00AD298D"/>
    <w:rsid w:val="00AE0C57"/>
    <w:rsid w:val="00AE226B"/>
    <w:rsid w:val="00AE75AF"/>
    <w:rsid w:val="00AE7EE4"/>
    <w:rsid w:val="00AF2BC4"/>
    <w:rsid w:val="00AF5DD4"/>
    <w:rsid w:val="00B01BC1"/>
    <w:rsid w:val="00B111B2"/>
    <w:rsid w:val="00B163EE"/>
    <w:rsid w:val="00B166DB"/>
    <w:rsid w:val="00B26D2C"/>
    <w:rsid w:val="00B306DC"/>
    <w:rsid w:val="00B341A9"/>
    <w:rsid w:val="00B3448D"/>
    <w:rsid w:val="00B356F6"/>
    <w:rsid w:val="00B3604F"/>
    <w:rsid w:val="00B41813"/>
    <w:rsid w:val="00B42AC2"/>
    <w:rsid w:val="00B454DB"/>
    <w:rsid w:val="00B47E1E"/>
    <w:rsid w:val="00B47F1B"/>
    <w:rsid w:val="00B515DE"/>
    <w:rsid w:val="00B5223F"/>
    <w:rsid w:val="00B522ED"/>
    <w:rsid w:val="00B53330"/>
    <w:rsid w:val="00B54173"/>
    <w:rsid w:val="00B62C8A"/>
    <w:rsid w:val="00B700C5"/>
    <w:rsid w:val="00B75057"/>
    <w:rsid w:val="00B758EA"/>
    <w:rsid w:val="00B75C3B"/>
    <w:rsid w:val="00B7644D"/>
    <w:rsid w:val="00B82666"/>
    <w:rsid w:val="00B829F9"/>
    <w:rsid w:val="00B844FB"/>
    <w:rsid w:val="00B90CD8"/>
    <w:rsid w:val="00B92706"/>
    <w:rsid w:val="00B95255"/>
    <w:rsid w:val="00B969C4"/>
    <w:rsid w:val="00B97ECB"/>
    <w:rsid w:val="00BA2488"/>
    <w:rsid w:val="00BA385D"/>
    <w:rsid w:val="00BA617C"/>
    <w:rsid w:val="00BB61E8"/>
    <w:rsid w:val="00BC09E5"/>
    <w:rsid w:val="00BC1A8D"/>
    <w:rsid w:val="00BD1D3E"/>
    <w:rsid w:val="00BD23A2"/>
    <w:rsid w:val="00BE0B72"/>
    <w:rsid w:val="00BF15D4"/>
    <w:rsid w:val="00BF4240"/>
    <w:rsid w:val="00BF5823"/>
    <w:rsid w:val="00C0224A"/>
    <w:rsid w:val="00C040EB"/>
    <w:rsid w:val="00C15257"/>
    <w:rsid w:val="00C16F0A"/>
    <w:rsid w:val="00C223BF"/>
    <w:rsid w:val="00C24EF2"/>
    <w:rsid w:val="00C26A31"/>
    <w:rsid w:val="00C32CC4"/>
    <w:rsid w:val="00C356FB"/>
    <w:rsid w:val="00C3623C"/>
    <w:rsid w:val="00C40DAD"/>
    <w:rsid w:val="00C40F1D"/>
    <w:rsid w:val="00C41098"/>
    <w:rsid w:val="00C433E0"/>
    <w:rsid w:val="00C478A3"/>
    <w:rsid w:val="00C5106B"/>
    <w:rsid w:val="00C54015"/>
    <w:rsid w:val="00C5468A"/>
    <w:rsid w:val="00C557DE"/>
    <w:rsid w:val="00C56007"/>
    <w:rsid w:val="00C60F7C"/>
    <w:rsid w:val="00C622A4"/>
    <w:rsid w:val="00C6469C"/>
    <w:rsid w:val="00C65013"/>
    <w:rsid w:val="00C65D14"/>
    <w:rsid w:val="00C75EFE"/>
    <w:rsid w:val="00CA1701"/>
    <w:rsid w:val="00CA5C0F"/>
    <w:rsid w:val="00CA73EE"/>
    <w:rsid w:val="00CA7982"/>
    <w:rsid w:val="00CB091A"/>
    <w:rsid w:val="00CB701E"/>
    <w:rsid w:val="00CB7517"/>
    <w:rsid w:val="00CC456F"/>
    <w:rsid w:val="00CC6B5C"/>
    <w:rsid w:val="00CC7B12"/>
    <w:rsid w:val="00CD0CD4"/>
    <w:rsid w:val="00CD6672"/>
    <w:rsid w:val="00CE2ADC"/>
    <w:rsid w:val="00CE6A1A"/>
    <w:rsid w:val="00CF27E5"/>
    <w:rsid w:val="00D02118"/>
    <w:rsid w:val="00D048A4"/>
    <w:rsid w:val="00D078E8"/>
    <w:rsid w:val="00D1344B"/>
    <w:rsid w:val="00D148B3"/>
    <w:rsid w:val="00D1565B"/>
    <w:rsid w:val="00D16019"/>
    <w:rsid w:val="00D25C48"/>
    <w:rsid w:val="00D3003F"/>
    <w:rsid w:val="00D306BD"/>
    <w:rsid w:val="00D308CB"/>
    <w:rsid w:val="00D33154"/>
    <w:rsid w:val="00D3330A"/>
    <w:rsid w:val="00D40D20"/>
    <w:rsid w:val="00D42747"/>
    <w:rsid w:val="00D5792A"/>
    <w:rsid w:val="00D57980"/>
    <w:rsid w:val="00D600C5"/>
    <w:rsid w:val="00D60497"/>
    <w:rsid w:val="00D6325B"/>
    <w:rsid w:val="00D64BCE"/>
    <w:rsid w:val="00D65753"/>
    <w:rsid w:val="00D66505"/>
    <w:rsid w:val="00D756B8"/>
    <w:rsid w:val="00D756E2"/>
    <w:rsid w:val="00D765D6"/>
    <w:rsid w:val="00D8259B"/>
    <w:rsid w:val="00D86768"/>
    <w:rsid w:val="00D91231"/>
    <w:rsid w:val="00D970DF"/>
    <w:rsid w:val="00DA49D1"/>
    <w:rsid w:val="00DA4D92"/>
    <w:rsid w:val="00DA685F"/>
    <w:rsid w:val="00DB7296"/>
    <w:rsid w:val="00DC65F8"/>
    <w:rsid w:val="00DD1068"/>
    <w:rsid w:val="00DD1B70"/>
    <w:rsid w:val="00DD4347"/>
    <w:rsid w:val="00DD4F22"/>
    <w:rsid w:val="00DD5BF6"/>
    <w:rsid w:val="00DD7747"/>
    <w:rsid w:val="00DF285D"/>
    <w:rsid w:val="00DF4CDA"/>
    <w:rsid w:val="00DF757B"/>
    <w:rsid w:val="00E00E63"/>
    <w:rsid w:val="00E02385"/>
    <w:rsid w:val="00E06E56"/>
    <w:rsid w:val="00E14937"/>
    <w:rsid w:val="00E213D9"/>
    <w:rsid w:val="00E21D17"/>
    <w:rsid w:val="00E3298D"/>
    <w:rsid w:val="00E338C5"/>
    <w:rsid w:val="00E3445D"/>
    <w:rsid w:val="00E35123"/>
    <w:rsid w:val="00E366A5"/>
    <w:rsid w:val="00E412B5"/>
    <w:rsid w:val="00E43FA5"/>
    <w:rsid w:val="00E52370"/>
    <w:rsid w:val="00E54A36"/>
    <w:rsid w:val="00E56DD4"/>
    <w:rsid w:val="00E64322"/>
    <w:rsid w:val="00E65DAA"/>
    <w:rsid w:val="00E67A5D"/>
    <w:rsid w:val="00E70AAC"/>
    <w:rsid w:val="00E81608"/>
    <w:rsid w:val="00E83833"/>
    <w:rsid w:val="00E83C83"/>
    <w:rsid w:val="00E84C1F"/>
    <w:rsid w:val="00E85C5B"/>
    <w:rsid w:val="00E86C29"/>
    <w:rsid w:val="00E87178"/>
    <w:rsid w:val="00E87910"/>
    <w:rsid w:val="00E900B7"/>
    <w:rsid w:val="00EA0E3C"/>
    <w:rsid w:val="00EA15CD"/>
    <w:rsid w:val="00EA7C84"/>
    <w:rsid w:val="00EB6985"/>
    <w:rsid w:val="00EC26B3"/>
    <w:rsid w:val="00EC46C6"/>
    <w:rsid w:val="00ED1F62"/>
    <w:rsid w:val="00ED322F"/>
    <w:rsid w:val="00ED3C2B"/>
    <w:rsid w:val="00ED7303"/>
    <w:rsid w:val="00EE3ED5"/>
    <w:rsid w:val="00EE429F"/>
    <w:rsid w:val="00EE73B8"/>
    <w:rsid w:val="00EF3D58"/>
    <w:rsid w:val="00EF3E87"/>
    <w:rsid w:val="00F03874"/>
    <w:rsid w:val="00F0474B"/>
    <w:rsid w:val="00F07C23"/>
    <w:rsid w:val="00F15920"/>
    <w:rsid w:val="00F16539"/>
    <w:rsid w:val="00F178A1"/>
    <w:rsid w:val="00F21709"/>
    <w:rsid w:val="00F22FE9"/>
    <w:rsid w:val="00F25213"/>
    <w:rsid w:val="00F343B1"/>
    <w:rsid w:val="00F3643A"/>
    <w:rsid w:val="00F40614"/>
    <w:rsid w:val="00F41E75"/>
    <w:rsid w:val="00F65675"/>
    <w:rsid w:val="00F673D4"/>
    <w:rsid w:val="00F70E60"/>
    <w:rsid w:val="00F7179E"/>
    <w:rsid w:val="00F72B2A"/>
    <w:rsid w:val="00F73722"/>
    <w:rsid w:val="00F74A2E"/>
    <w:rsid w:val="00F76D48"/>
    <w:rsid w:val="00F77179"/>
    <w:rsid w:val="00F81054"/>
    <w:rsid w:val="00F85325"/>
    <w:rsid w:val="00F92512"/>
    <w:rsid w:val="00F935C6"/>
    <w:rsid w:val="00F9411C"/>
    <w:rsid w:val="00F946FF"/>
    <w:rsid w:val="00FA2920"/>
    <w:rsid w:val="00FA3D94"/>
    <w:rsid w:val="00FA4FC1"/>
    <w:rsid w:val="00FA6A97"/>
    <w:rsid w:val="00FC52EB"/>
    <w:rsid w:val="00FC78AA"/>
    <w:rsid w:val="00FD09D6"/>
    <w:rsid w:val="00FD1619"/>
    <w:rsid w:val="00FD5BC3"/>
    <w:rsid w:val="00FD727D"/>
    <w:rsid w:val="00FE2D75"/>
    <w:rsid w:val="00FE2F32"/>
    <w:rsid w:val="00FE3498"/>
    <w:rsid w:val="00FE739D"/>
    <w:rsid w:val="00FF3BC9"/>
    <w:rsid w:val="0E7B5973"/>
    <w:rsid w:val="6323EDA0"/>
  </w:rsids>
  <w:themeFontLang w:val="en-MY"/>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MY"/>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38C4"/>
  </w:style>
  <w:style w:styleId="Heading1" w:type="paragraph">
    <w:name w:val="heading 1"/>
    <w:basedOn w:val="Normal"/>
    <w:next w:val="Normal"/>
    <w:link w:val="Heading1Char"/>
    <w:uiPriority w:val="9"/>
    <w:qFormat/>
    <w:rsid w:val="001D1EC1"/>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unhideWhenUsed/>
    <w:qFormat/>
    <w:rsid w:val="001D1EC1"/>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unhideWhenUsed/>
    <w:qFormat/>
    <w:rsid w:val="001D1EC1"/>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unhideWhenUsed/>
    <w:qFormat/>
    <w:rsid w:val="001D1EC1"/>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1D1EC1"/>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1D1EC1"/>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1D1EC1"/>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1D1EC1"/>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1D1EC1"/>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D1EC1"/>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rsid w:val="001D1EC1"/>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rsid w:val="001D1EC1"/>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rsid w:val="001D1EC1"/>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1D1EC1"/>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1D1EC1"/>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1D1EC1"/>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1D1EC1"/>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1D1EC1"/>
    <w:rPr>
      <w:rFonts w:cstheme="majorBidi" w:eastAsiaTheme="majorEastAsia"/>
      <w:color w:themeColor="text1" w:themeTint="D8" w:val="272727"/>
    </w:rPr>
  </w:style>
  <w:style w:styleId="Title" w:type="paragraph">
    <w:name w:val="Title"/>
    <w:basedOn w:val="Normal"/>
    <w:next w:val="Normal"/>
    <w:link w:val="TitleChar"/>
    <w:uiPriority w:val="10"/>
    <w:qFormat/>
    <w:rsid w:val="001D1EC1"/>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1D1EC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1D1EC1"/>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1D1EC1"/>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1D1EC1"/>
    <w:pPr>
      <w:spacing w:before="160"/>
      <w:jc w:val="center"/>
    </w:pPr>
    <w:rPr>
      <w:i/>
      <w:iCs/>
      <w:color w:themeColor="text1" w:themeTint="BF" w:val="404040"/>
    </w:rPr>
  </w:style>
  <w:style w:customStyle="1" w:styleId="QuoteChar" w:type="character">
    <w:name w:val="Quote Char"/>
    <w:basedOn w:val="DefaultParagraphFont"/>
    <w:link w:val="Quote"/>
    <w:uiPriority w:val="29"/>
    <w:rsid w:val="001D1EC1"/>
    <w:rPr>
      <w:i/>
      <w:iCs/>
      <w:color w:themeColor="text1" w:themeTint="BF" w:val="404040"/>
    </w:rPr>
  </w:style>
  <w:style w:styleId="ListParagraph" w:type="paragraph">
    <w:name w:val="List Paragraph"/>
    <w:basedOn w:val="Normal"/>
    <w:uiPriority w:val="34"/>
    <w:qFormat/>
    <w:rsid w:val="001D1EC1"/>
    <w:pPr>
      <w:ind w:left="720"/>
      <w:contextualSpacing/>
    </w:pPr>
  </w:style>
  <w:style w:styleId="IntenseEmphasis" w:type="character">
    <w:name w:val="Intense Emphasis"/>
    <w:basedOn w:val="DefaultParagraphFont"/>
    <w:uiPriority w:val="21"/>
    <w:qFormat/>
    <w:rsid w:val="001D1EC1"/>
    <w:rPr>
      <w:i/>
      <w:iCs/>
      <w:color w:themeColor="accent1" w:themeShade="BF" w:val="0F4761"/>
    </w:rPr>
  </w:style>
  <w:style w:styleId="IntenseQuote" w:type="paragraph">
    <w:name w:val="Intense Quote"/>
    <w:basedOn w:val="Normal"/>
    <w:next w:val="Normal"/>
    <w:link w:val="IntenseQuoteChar"/>
    <w:uiPriority w:val="30"/>
    <w:qFormat/>
    <w:rsid w:val="001D1EC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1D1EC1"/>
    <w:rPr>
      <w:i/>
      <w:iCs/>
      <w:color w:themeColor="accent1" w:themeShade="BF" w:val="0F4761"/>
    </w:rPr>
  </w:style>
  <w:style w:styleId="IntenseReference" w:type="character">
    <w:name w:val="Intense Reference"/>
    <w:basedOn w:val="DefaultParagraphFont"/>
    <w:uiPriority w:val="32"/>
    <w:qFormat/>
    <w:rsid w:val="001D1EC1"/>
    <w:rPr>
      <w:b/>
      <w:bCs/>
      <w:smallCaps/>
      <w:color w:themeColor="accent1" w:themeShade="BF" w:val="0F4761"/>
      <w:spacing w:val="5"/>
    </w:rPr>
  </w:style>
  <w:style w:styleId="Header" w:type="paragraph">
    <w:name w:val="header"/>
    <w:basedOn w:val="Normal"/>
    <w:link w:val="HeaderChar"/>
    <w:uiPriority w:val="99"/>
    <w:unhideWhenUsed/>
    <w:rsid w:val="00995686"/>
    <w:pPr>
      <w:tabs>
        <w:tab w:pos="4513" w:val="center"/>
        <w:tab w:pos="9026" w:val="right"/>
      </w:tabs>
      <w:spacing w:after="0" w:line="240" w:lineRule="auto"/>
    </w:pPr>
  </w:style>
  <w:style w:customStyle="1" w:styleId="HeaderChar" w:type="character">
    <w:name w:val="Header Char"/>
    <w:basedOn w:val="DefaultParagraphFont"/>
    <w:link w:val="Header"/>
    <w:uiPriority w:val="99"/>
    <w:rsid w:val="00995686"/>
  </w:style>
  <w:style w:styleId="Footer" w:type="paragraph">
    <w:name w:val="footer"/>
    <w:basedOn w:val="Normal"/>
    <w:link w:val="FooterChar"/>
    <w:uiPriority w:val="99"/>
    <w:unhideWhenUsed/>
    <w:rsid w:val="00995686"/>
    <w:pPr>
      <w:tabs>
        <w:tab w:pos="4513" w:val="center"/>
        <w:tab w:pos="9026" w:val="right"/>
      </w:tabs>
      <w:spacing w:after="0" w:line="240" w:lineRule="auto"/>
    </w:pPr>
  </w:style>
  <w:style w:customStyle="1" w:styleId="FooterChar" w:type="character">
    <w:name w:val="Footer Char"/>
    <w:basedOn w:val="DefaultParagraphFont"/>
    <w:link w:val="Footer"/>
    <w:uiPriority w:val="99"/>
    <w:rsid w:val="00995686"/>
  </w:style>
  <w:style w:styleId="TOCHeading" w:type="paragraph">
    <w:name w:val="TOC Heading"/>
    <w:basedOn w:val="Heading1"/>
    <w:next w:val="Normal"/>
    <w:uiPriority w:val="39"/>
    <w:unhideWhenUsed/>
    <w:qFormat/>
    <w:rsid w:val="00EB6985"/>
    <w:pPr>
      <w:spacing w:after="0" w:before="240" w:line="259" w:lineRule="auto"/>
      <w:outlineLvl w:val="9"/>
    </w:pPr>
    <w:rPr>
      <w:kern w:val="0"/>
      <w:sz w:val="32"/>
      <w:szCs w:val="32"/>
      <w:lang w:val="en-US"/>
      <w14:ligatures w14:val="none"/>
    </w:rPr>
  </w:style>
  <w:style w:styleId="Caption" w:type="paragraph">
    <w:name w:val="caption"/>
    <w:aliases w:val="Caption DD Grey Indent,PMO Caption,Picture - Caption,Char Char,Caption Char1,Caption Char3 Char Char,Caption Char2 Char Char Char,Caption Char Char1 Char Char Char,Caption Char1 Char Char Char Char Char,Caption Char Char Char Char Char Char Char"/>
    <w:basedOn w:val="Normal"/>
    <w:next w:val="Normal"/>
    <w:link w:val="CaptionChar"/>
    <w:uiPriority w:val="35"/>
    <w:unhideWhenUsed/>
    <w:qFormat/>
    <w:rsid w:val="00BC09E5"/>
    <w:pPr>
      <w:spacing w:after="200" w:line="240" w:lineRule="auto"/>
    </w:pPr>
    <w:rPr>
      <w:i/>
      <w:iCs/>
      <w:color w:themeColor="text2" w:val="0E2841"/>
      <w:sz w:val="18"/>
      <w:szCs w:val="18"/>
    </w:rPr>
  </w:style>
  <w:style w:customStyle="1" w:styleId="CaptionChar" w:type="character">
    <w:name w:val="Caption Char"/>
    <w:aliases w:val="Caption DD Grey Indent Char,PMO Caption Char,Picture - Caption Char,Char Char Char,Caption Char1 Char,Caption Char3 Char Char Char,Caption Char2 Char Char Char Char,Caption Char Char1 Char Char Char Char"/>
    <w:basedOn w:val="DefaultParagraphFont"/>
    <w:link w:val="Caption"/>
    <w:uiPriority w:val="35"/>
    <w:locked/>
    <w:rsid w:val="00A907D9"/>
    <w:rPr>
      <w:i/>
      <w:iCs/>
      <w:color w:themeColor="text2" w:val="0E2841"/>
      <w:sz w:val="18"/>
      <w:szCs w:val="18"/>
    </w:rPr>
  </w:style>
  <w:style w:customStyle="1" w:styleId="GridTable4-Accent11" w:type="table">
    <w:name w:val="Grid Table 4 - Accent 11"/>
    <w:basedOn w:val="TableNormal"/>
    <w:next w:val="GridTable4-Accent1"/>
    <w:uiPriority w:val="49"/>
    <w:rsid w:val="00712952"/>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styleId="GridTable4-Accent1" w:type="table">
    <w:name w:val="Grid Table 4 Accent 1"/>
    <w:basedOn w:val="TableNormal"/>
    <w:uiPriority w:val="49"/>
    <w:rsid w:val="00712952"/>
    <w:pPr>
      <w:spacing w:after="0" w:line="240" w:lineRule="auto"/>
    </w:pPr>
    <w:tblPr>
      <w:tblStyleRowBandSize w:val="1"/>
      <w:tblStyleColBandSize w:val="1"/>
      <w:tblBorders>
        <w:top w:color="45B0E1" w:space="0" w:sz="4" w:themeColor="accent1" w:themeTint="99" w:val="single"/>
        <w:left w:color="45B0E1" w:space="0" w:sz="4" w:themeColor="accent1" w:themeTint="99" w:val="single"/>
        <w:bottom w:color="45B0E1" w:space="0" w:sz="4" w:themeColor="accent1" w:themeTint="99" w:val="single"/>
        <w:right w:color="45B0E1" w:space="0" w:sz="4" w:themeColor="accent1" w:themeTint="99" w:val="single"/>
        <w:insideH w:color="45B0E1" w:space="0" w:sz="4" w:themeColor="accent1" w:themeTint="99" w:val="single"/>
        <w:insideV w:color="45B0E1" w:space="0" w:sz="4" w:themeColor="accent1" w:themeTint="99" w:val="single"/>
      </w:tblBorders>
    </w:tblPr>
    <w:tblStylePr w:type="firstRow">
      <w:rPr>
        <w:b/>
        <w:bCs/>
        <w:color w:themeColor="background1" w:val="FFFFFF"/>
      </w:rPr>
      <w:tblPr/>
      <w:tcPr>
        <w:tcBorders>
          <w:top w:color="156082" w:space="0" w:sz="4" w:themeColor="accent1" w:val="single"/>
          <w:left w:color="156082" w:space="0" w:sz="4" w:themeColor="accent1" w:val="single"/>
          <w:bottom w:color="156082" w:space="0" w:sz="4" w:themeColor="accent1" w:val="single"/>
          <w:right w:color="156082" w:space="0" w:sz="4" w:themeColor="accent1" w:val="single"/>
          <w:insideH w:val="nil"/>
          <w:insideV w:val="nil"/>
        </w:tcBorders>
        <w:shd w:color="auto" w:fill="156082" w:themeFill="accent1" w:val="clear"/>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Vert">
      <w:tblPr/>
      <w:tcPr>
        <w:shd w:color="auto" w:fill="C1E4F5" w:themeFill="accent1" w:themeFillTint="33" w:val="clear"/>
      </w:tcPr>
    </w:tblStylePr>
    <w:tblStylePr w:type="band1Horz">
      <w:tblPr/>
      <w:tcPr>
        <w:shd w:color="auto" w:fill="C1E4F5" w:themeFill="accent1" w:themeFillTint="33" w:val="clear"/>
      </w:tcPr>
    </w:tblStylePr>
  </w:style>
  <w:style w:customStyle="1" w:styleId="GridTable4-Accent12" w:type="table">
    <w:name w:val="Grid Table 4 - Accent 12"/>
    <w:basedOn w:val="TableNormal"/>
    <w:next w:val="GridTable4-Accent1"/>
    <w:uiPriority w:val="49"/>
    <w:rsid w:val="00F70E60"/>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styleId="TableGrid" w:type="table">
    <w:name w:val="Table Grid"/>
    <w:aliases w:val="Tabla Microsoft Servicios,Table Grid (MS Design format),TMR Table,Document Control Table,Table 1,Table1Formatting"/>
    <w:basedOn w:val="TableNormal"/>
    <w:uiPriority w:val="59"/>
    <w:qFormat/>
    <w:rsid w:val="008E12E9"/>
    <w:pPr>
      <w:spacing w:after="0" w:line="240" w:lineRule="auto"/>
    </w:pPr>
    <w:rPr>
      <w:rFonts w:eastAsia="DengXian"/>
      <w:kern w:val="0"/>
      <w:sz w:val="22"/>
      <w:szCs w:val="22"/>
      <w:lang w:eastAsia="zh-CN"/>
      <w14:ligatures w14:val="none"/>
    </w:rPr>
    <w:tblPr/>
  </w:style>
  <w:style w:customStyle="1" w:styleId="GridTable4-Accent110" w:type="table">
    <w:name w:val="Grid Table 4 - Accent 110"/>
    <w:basedOn w:val="TableNormal"/>
    <w:next w:val="GridTable4-Accent1"/>
    <w:uiPriority w:val="49"/>
    <w:rsid w:val="00E83833"/>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4-Accent13" w:type="table">
    <w:name w:val="Grid Table 4 - Accent 13"/>
    <w:basedOn w:val="TableNormal"/>
    <w:next w:val="GridTable4-Accent1"/>
    <w:uiPriority w:val="49"/>
    <w:rsid w:val="00263059"/>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5Dark-Accent11" w:type="table">
    <w:name w:val="Grid Table 5 Dark - Accent 11"/>
    <w:basedOn w:val="TableNormal"/>
    <w:next w:val="GridTable5Dark-Accent1"/>
    <w:uiPriority w:val="50"/>
    <w:rsid w:val="00956D7A"/>
    <w:pPr>
      <w:spacing w:after="0" w:line="240" w:lineRule="auto"/>
    </w:pPr>
    <w:rPr>
      <w:rFonts w:eastAsia="DengXian"/>
      <w:kern w:val="0"/>
      <w:sz w:val="22"/>
      <w:szCs w:val="22"/>
      <w:lang w:eastAsia="zh-CN"/>
      <w14:ligatures w14:val="none"/>
    </w:rPr>
    <w:tblPr>
      <w:tblStyleRowBandSize w:val="1"/>
      <w:tblStyleColBandSize w:val="1"/>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tcPr>
      <w:shd w:color="auto" w:fill="D9E2F3" w:val="clear"/>
    </w:tcPr>
    <w:tblStylePr w:type="firstRow">
      <w:rPr>
        <w:b/>
        <w:bCs/>
        <w:color w:val="FFFFFF"/>
      </w:rPr>
      <w:tblPr/>
      <w:tcPr>
        <w:tcBorders>
          <w:top w:color="FFFFFF" w:space="0" w:sz="4" w:val="single"/>
          <w:left w:color="FFFFFF" w:space="0" w:sz="4" w:val="single"/>
          <w:right w:color="FFFFFF" w:space="0" w:sz="4" w:val="single"/>
          <w:insideH w:val="nil"/>
          <w:insideV w:val="nil"/>
        </w:tcBorders>
        <w:shd w:color="auto" w:fill="4472C4" w:val="clear"/>
      </w:tcPr>
    </w:tblStylePr>
    <w:tblStylePr w:type="lastRow">
      <w:rPr>
        <w:b/>
        <w:bCs/>
        <w:color w:val="FFFFFF"/>
      </w:rPr>
      <w:tblPr/>
      <w:tcPr>
        <w:tcBorders>
          <w:left w:color="FFFFFF" w:space="0" w:sz="4" w:val="single"/>
          <w:bottom w:color="FFFFFF" w:space="0" w:sz="4" w:val="single"/>
          <w:right w:color="FFFFFF" w:space="0" w:sz="4" w:val="single"/>
          <w:insideH w:val="nil"/>
          <w:insideV w:val="nil"/>
        </w:tcBorders>
        <w:shd w:color="auto" w:fill="4472C4" w:val="clear"/>
      </w:tcPr>
    </w:tblStylePr>
    <w:tblStylePr w:type="firstCol">
      <w:rPr>
        <w:b/>
        <w:bCs/>
        <w:color w:val="FFFFFF"/>
      </w:rPr>
      <w:tblPr/>
      <w:tcPr>
        <w:tcBorders>
          <w:top w:color="FFFFFF" w:space="0" w:sz="4" w:val="single"/>
          <w:left w:color="FFFFFF" w:space="0" w:sz="4" w:val="single"/>
          <w:bottom w:color="FFFFFF" w:space="0" w:sz="4" w:val="single"/>
          <w:insideV w:val="nil"/>
        </w:tcBorders>
        <w:shd w:color="auto" w:fill="4472C4" w:val="clear"/>
      </w:tcPr>
    </w:tblStylePr>
    <w:tblStylePr w:type="lastCol">
      <w:rPr>
        <w:b/>
        <w:bCs/>
        <w:color w:val="FFFFFF"/>
      </w:rPr>
      <w:tblPr/>
      <w:tcPr>
        <w:tcBorders>
          <w:top w:color="FFFFFF" w:space="0" w:sz="4" w:val="single"/>
          <w:bottom w:color="FFFFFF" w:space="0" w:sz="4" w:val="single"/>
          <w:right w:color="FFFFFF" w:space="0" w:sz="4" w:val="single"/>
          <w:insideV w:val="nil"/>
        </w:tcBorders>
        <w:shd w:color="auto" w:fill="4472C4" w:val="clear"/>
      </w:tcPr>
    </w:tblStylePr>
    <w:tblStylePr w:type="band1Vert">
      <w:tblPr/>
      <w:tcPr>
        <w:shd w:color="auto" w:fill="B4C6E7" w:val="clear"/>
      </w:tcPr>
    </w:tblStylePr>
    <w:tblStylePr w:type="band1Horz">
      <w:tblPr/>
      <w:tcPr>
        <w:shd w:color="auto" w:fill="B4C6E7" w:val="clear"/>
      </w:tcPr>
    </w:tblStylePr>
  </w:style>
  <w:style w:styleId="GridTable5Dark-Accent1" w:type="table">
    <w:name w:val="Grid Table 5 Dark Accent 1"/>
    <w:basedOn w:val="TableNormal"/>
    <w:uiPriority w:val="50"/>
    <w:rsid w:val="00956D7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E4F5"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156082"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156082"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156082"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156082" w:themeFill="accent1" w:val="clear"/>
      </w:tcPr>
    </w:tblStylePr>
    <w:tblStylePr w:type="band1Vert">
      <w:tblPr/>
      <w:tcPr>
        <w:shd w:color="auto" w:fill="83CAEB" w:themeFill="accent1" w:themeFillTint="66" w:val="clear"/>
      </w:tcPr>
    </w:tblStylePr>
    <w:tblStylePr w:type="band1Horz">
      <w:tblPr/>
      <w:tcPr>
        <w:shd w:color="auto" w:fill="83CAEB" w:themeFill="accent1" w:themeFillTint="66" w:val="clear"/>
      </w:tcPr>
    </w:tblStylePr>
  </w:style>
  <w:style w:customStyle="1" w:styleId="GridTable4-Accent14" w:type="table">
    <w:name w:val="Grid Table 4 - Accent 14"/>
    <w:basedOn w:val="TableNormal"/>
    <w:next w:val="GridTable4-Accent1"/>
    <w:uiPriority w:val="49"/>
    <w:rsid w:val="00CE2ADC"/>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4-Accent15" w:type="table">
    <w:name w:val="Grid Table 4 - Accent 15"/>
    <w:basedOn w:val="TableNormal"/>
    <w:next w:val="GridTable4-Accent1"/>
    <w:uiPriority w:val="49"/>
    <w:rsid w:val="00F81054"/>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4-Accent16" w:type="table">
    <w:name w:val="Grid Table 4 - Accent 16"/>
    <w:basedOn w:val="TableNormal"/>
    <w:next w:val="GridTable4-Accent1"/>
    <w:uiPriority w:val="49"/>
    <w:rsid w:val="0002767B"/>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4-Accent17" w:type="table">
    <w:name w:val="Grid Table 4 - Accent 17"/>
    <w:basedOn w:val="TableNormal"/>
    <w:next w:val="GridTable4-Accent1"/>
    <w:uiPriority w:val="49"/>
    <w:rsid w:val="00A4184C"/>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4-Accent18" w:type="table">
    <w:name w:val="Grid Table 4 - Accent 18"/>
    <w:basedOn w:val="TableNormal"/>
    <w:next w:val="GridTable4-Accent1"/>
    <w:uiPriority w:val="49"/>
    <w:rsid w:val="002033EE"/>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4-Accent19" w:type="table">
    <w:name w:val="Grid Table 4 - Accent 19"/>
    <w:basedOn w:val="TableNormal"/>
    <w:next w:val="GridTable4-Accent1"/>
    <w:uiPriority w:val="49"/>
    <w:rsid w:val="00A059E1"/>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5Dark-Accent12" w:type="table">
    <w:name w:val="Grid Table 5 Dark - Accent 12"/>
    <w:basedOn w:val="TableNormal"/>
    <w:next w:val="GridTable5Dark-Accent1"/>
    <w:uiPriority w:val="50"/>
    <w:rsid w:val="00D57980"/>
    <w:pPr>
      <w:spacing w:after="0" w:line="240" w:lineRule="auto"/>
    </w:pPr>
    <w:rPr>
      <w:rFonts w:eastAsia="DengXian"/>
      <w:kern w:val="0"/>
      <w:sz w:val="22"/>
      <w:szCs w:val="22"/>
      <w:lang w:eastAsia="zh-CN"/>
      <w14:ligatures w14:val="none"/>
    </w:rPr>
    <w:tblPr>
      <w:tblStyleRowBandSize w:val="1"/>
      <w:tblStyleColBandSize w:val="1"/>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tcPr>
      <w:shd w:color="auto" w:fill="D9E2F3" w:val="clear"/>
    </w:tcPr>
    <w:tblStylePr w:type="firstRow">
      <w:rPr>
        <w:b/>
        <w:bCs/>
        <w:color w:val="FFFFFF"/>
      </w:rPr>
      <w:tblPr/>
      <w:tcPr>
        <w:tcBorders>
          <w:top w:color="FFFFFF" w:space="0" w:sz="4" w:val="single"/>
          <w:left w:color="FFFFFF" w:space="0" w:sz="4" w:val="single"/>
          <w:right w:color="FFFFFF" w:space="0" w:sz="4" w:val="single"/>
          <w:insideH w:val="nil"/>
          <w:insideV w:val="nil"/>
        </w:tcBorders>
        <w:shd w:color="auto" w:fill="4472C4" w:val="clear"/>
      </w:tcPr>
    </w:tblStylePr>
    <w:tblStylePr w:type="lastRow">
      <w:rPr>
        <w:b/>
        <w:bCs/>
        <w:color w:val="FFFFFF"/>
      </w:rPr>
      <w:tblPr/>
      <w:tcPr>
        <w:tcBorders>
          <w:left w:color="FFFFFF" w:space="0" w:sz="4" w:val="single"/>
          <w:bottom w:color="FFFFFF" w:space="0" w:sz="4" w:val="single"/>
          <w:right w:color="FFFFFF" w:space="0" w:sz="4" w:val="single"/>
          <w:insideH w:val="nil"/>
          <w:insideV w:val="nil"/>
        </w:tcBorders>
        <w:shd w:color="auto" w:fill="4472C4" w:val="clear"/>
      </w:tcPr>
    </w:tblStylePr>
    <w:tblStylePr w:type="firstCol">
      <w:rPr>
        <w:b/>
        <w:bCs/>
        <w:color w:val="FFFFFF"/>
      </w:rPr>
      <w:tblPr/>
      <w:tcPr>
        <w:tcBorders>
          <w:top w:color="FFFFFF" w:space="0" w:sz="4" w:val="single"/>
          <w:left w:color="FFFFFF" w:space="0" w:sz="4" w:val="single"/>
          <w:bottom w:color="FFFFFF" w:space="0" w:sz="4" w:val="single"/>
          <w:insideV w:val="nil"/>
        </w:tcBorders>
        <w:shd w:color="auto" w:fill="4472C4" w:val="clear"/>
      </w:tcPr>
    </w:tblStylePr>
    <w:tblStylePr w:type="lastCol">
      <w:rPr>
        <w:b/>
        <w:bCs/>
        <w:color w:val="FFFFFF"/>
      </w:rPr>
      <w:tblPr/>
      <w:tcPr>
        <w:tcBorders>
          <w:top w:color="FFFFFF" w:space="0" w:sz="4" w:val="single"/>
          <w:bottom w:color="FFFFFF" w:space="0" w:sz="4" w:val="single"/>
          <w:right w:color="FFFFFF" w:space="0" w:sz="4" w:val="single"/>
          <w:insideV w:val="nil"/>
        </w:tcBorders>
        <w:shd w:color="auto" w:fill="4472C4" w:val="clear"/>
      </w:tcPr>
    </w:tblStylePr>
    <w:tblStylePr w:type="band1Vert">
      <w:tblPr/>
      <w:tcPr>
        <w:shd w:color="auto" w:fill="B4C6E7" w:val="clear"/>
      </w:tcPr>
    </w:tblStylePr>
    <w:tblStylePr w:type="band1Horz">
      <w:tblPr/>
      <w:tcPr>
        <w:shd w:color="auto" w:fill="B4C6E7" w:val="clear"/>
      </w:tcPr>
    </w:tblStylePr>
  </w:style>
  <w:style w:customStyle="1" w:styleId="GridTable5Dark-Accent13" w:type="table">
    <w:name w:val="Grid Table 5 Dark - Accent 13"/>
    <w:basedOn w:val="TableNormal"/>
    <w:next w:val="GridTable5Dark-Accent1"/>
    <w:uiPriority w:val="50"/>
    <w:rsid w:val="00200F88"/>
    <w:pPr>
      <w:spacing w:after="0" w:line="240" w:lineRule="auto"/>
    </w:pPr>
    <w:rPr>
      <w:rFonts w:eastAsia="DengXian"/>
      <w:kern w:val="0"/>
      <w:sz w:val="22"/>
      <w:szCs w:val="22"/>
      <w:lang w:eastAsia="zh-CN"/>
      <w14:ligatures w14:val="none"/>
    </w:rPr>
    <w:tblPr>
      <w:tblStyleRowBandSize w:val="1"/>
      <w:tblStyleColBandSize w:val="1"/>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tcPr>
      <w:shd w:color="auto" w:fill="D9E2F3" w:val="clear"/>
    </w:tcPr>
    <w:tblStylePr w:type="firstRow">
      <w:rPr>
        <w:b/>
        <w:bCs/>
        <w:color w:val="FFFFFF"/>
      </w:rPr>
      <w:tblPr/>
      <w:tcPr>
        <w:tcBorders>
          <w:top w:color="FFFFFF" w:space="0" w:sz="4" w:val="single"/>
          <w:left w:color="FFFFFF" w:space="0" w:sz="4" w:val="single"/>
          <w:right w:color="FFFFFF" w:space="0" w:sz="4" w:val="single"/>
          <w:insideH w:val="nil"/>
          <w:insideV w:val="nil"/>
        </w:tcBorders>
        <w:shd w:color="auto" w:fill="4472C4" w:val="clear"/>
      </w:tcPr>
    </w:tblStylePr>
    <w:tblStylePr w:type="lastRow">
      <w:rPr>
        <w:b/>
        <w:bCs/>
        <w:color w:val="FFFFFF"/>
      </w:rPr>
      <w:tblPr/>
      <w:tcPr>
        <w:tcBorders>
          <w:left w:color="FFFFFF" w:space="0" w:sz="4" w:val="single"/>
          <w:bottom w:color="FFFFFF" w:space="0" w:sz="4" w:val="single"/>
          <w:right w:color="FFFFFF" w:space="0" w:sz="4" w:val="single"/>
          <w:insideH w:val="nil"/>
          <w:insideV w:val="nil"/>
        </w:tcBorders>
        <w:shd w:color="auto" w:fill="4472C4" w:val="clear"/>
      </w:tcPr>
    </w:tblStylePr>
    <w:tblStylePr w:type="firstCol">
      <w:rPr>
        <w:b/>
        <w:bCs/>
        <w:color w:val="FFFFFF"/>
      </w:rPr>
      <w:tblPr/>
      <w:tcPr>
        <w:tcBorders>
          <w:top w:color="FFFFFF" w:space="0" w:sz="4" w:val="single"/>
          <w:left w:color="FFFFFF" w:space="0" w:sz="4" w:val="single"/>
          <w:bottom w:color="FFFFFF" w:space="0" w:sz="4" w:val="single"/>
          <w:insideV w:val="nil"/>
        </w:tcBorders>
        <w:shd w:color="auto" w:fill="4472C4" w:val="clear"/>
      </w:tcPr>
    </w:tblStylePr>
    <w:tblStylePr w:type="lastCol">
      <w:rPr>
        <w:b/>
        <w:bCs/>
        <w:color w:val="FFFFFF"/>
      </w:rPr>
      <w:tblPr/>
      <w:tcPr>
        <w:tcBorders>
          <w:top w:color="FFFFFF" w:space="0" w:sz="4" w:val="single"/>
          <w:bottom w:color="FFFFFF" w:space="0" w:sz="4" w:val="single"/>
          <w:right w:color="FFFFFF" w:space="0" w:sz="4" w:val="single"/>
          <w:insideV w:val="nil"/>
        </w:tcBorders>
        <w:shd w:color="auto" w:fill="4472C4" w:val="clear"/>
      </w:tcPr>
    </w:tblStylePr>
    <w:tblStylePr w:type="band1Vert">
      <w:tblPr/>
      <w:tcPr>
        <w:shd w:color="auto" w:fill="B4C6E7" w:val="clear"/>
      </w:tcPr>
    </w:tblStylePr>
    <w:tblStylePr w:type="band1Horz">
      <w:tblPr/>
      <w:tcPr>
        <w:shd w:color="auto" w:fill="B4C6E7" w:val="clear"/>
      </w:tcPr>
    </w:tblStylePr>
  </w:style>
  <w:style w:styleId="Revision" w:type="paragraph">
    <w:name w:val="Revision"/>
    <w:hidden/>
    <w:uiPriority w:val="99"/>
    <w:semiHidden/>
    <w:rsid w:val="00AE226B"/>
    <w:pPr>
      <w:spacing w:after="0" w:line="240" w:lineRule="auto"/>
    </w:pPr>
  </w:style>
  <w:style w:customStyle="1" w:styleId="GridTable4-Accent111" w:type="table">
    <w:name w:val="Grid Table 4 - Accent 111"/>
    <w:basedOn w:val="TableNormal"/>
    <w:next w:val="GridTable4-Accent1"/>
    <w:uiPriority w:val="49"/>
    <w:rsid w:val="004361B1"/>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customStyle="1" w:styleId="GridTable4-Accent112" w:type="table">
    <w:name w:val="Grid Table 4 - Accent 112"/>
    <w:basedOn w:val="TableNormal"/>
    <w:next w:val="GridTable4-Accent1"/>
    <w:uiPriority w:val="49"/>
    <w:rsid w:val="009117C6"/>
    <w:pPr>
      <w:spacing w:after="0" w:line="240" w:lineRule="auto"/>
    </w:pPr>
    <w:rPr>
      <w:rFonts w:eastAsia="DengXian"/>
      <w:kern w:val="0"/>
      <w:sz w:val="22"/>
      <w:szCs w:val="22"/>
      <w:lang w:eastAsia="zh-CN"/>
      <w14:ligatures w14:val="none"/>
    </w:rPr>
    <w:tblPr>
      <w:tblStyleRowBandSize w:val="1"/>
      <w:tblStyleColBandSize w:val="1"/>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Pr>
    <w:tblStylePr w:type="firstRow">
      <w:rPr>
        <w:b/>
        <w:bCs/>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bCs/>
      </w:rPr>
      <w:tblPr/>
      <w:tcPr>
        <w:tcBorders>
          <w:top w:color="4472C4" w:space="0" w:sz="4" w:val="double"/>
        </w:tcBorders>
      </w:tcPr>
    </w:tblStylePr>
    <w:tblStylePr w:type="firstCol">
      <w:rPr>
        <w:b/>
        <w:bCs/>
      </w:rPr>
    </w:tblStylePr>
    <w:tblStylePr w:type="lastCol">
      <w:rPr>
        <w:b/>
        <w:bCs/>
      </w:rPr>
    </w:tblStylePr>
    <w:tblStylePr w:type="band1Vert">
      <w:tblPr/>
      <w:tcPr>
        <w:shd w:color="auto" w:fill="D9E2F3" w:val="clear"/>
      </w:tcPr>
    </w:tblStylePr>
    <w:tblStylePr w:type="band1Horz">
      <w:tblPr/>
      <w:tcPr>
        <w:shd w:color="auto" w:fill="D9E2F3" w:val="clear"/>
      </w:tcPr>
    </w:tblStylePr>
  </w:style>
  <w:style w:styleId="Hyperlink" w:type="character">
    <w:name w:val="Hyperlink"/>
    <w:basedOn w:val="DefaultParagraphFont"/>
    <w:uiPriority w:val="99"/>
    <w:unhideWhenUsed/>
    <w:rsid w:val="00C0224A"/>
    <w:rPr>
      <w:color w:themeColor="hyperlink" w:val="467886"/>
      <w:u w:val="single"/>
    </w:rPr>
  </w:style>
  <w:style w:styleId="UnresolvedMention" w:type="character">
    <w:name w:val="Unresolved Mention"/>
    <w:basedOn w:val="DefaultParagraphFont"/>
    <w:uiPriority w:val="99"/>
    <w:semiHidden/>
    <w:unhideWhenUsed/>
    <w:rsid w:val="000C4E68"/>
    <w:rPr>
      <w:color w:val="605E5C"/>
      <w:shd w:color="auto" w:fill="E1DFDD" w:val="clear"/>
    </w:rPr>
  </w:style>
  <w:style w:styleId="TOC1" w:type="paragraph">
    <w:name w:val="toc 1"/>
    <w:basedOn w:val="Normal"/>
    <w:next w:val="Normal"/>
    <w:autoRedefine/>
    <w:uiPriority w:val="39"/>
    <w:unhideWhenUsed/>
    <w:rsid w:val="00D1565B"/>
    <w:pPr>
      <w:spacing w:after="100"/>
    </w:pPr>
  </w:style>
  <w:style w:styleId="TOC2" w:type="paragraph">
    <w:name w:val="toc 2"/>
    <w:basedOn w:val="Normal"/>
    <w:next w:val="Normal"/>
    <w:autoRedefine/>
    <w:uiPriority w:val="39"/>
    <w:unhideWhenUsed/>
    <w:rsid w:val="00D1565B"/>
    <w:pPr>
      <w:spacing w:after="100"/>
      <w:ind w:left="240"/>
    </w:pPr>
  </w:style>
  <w:style w:styleId="TableofFigures" w:type="paragraph">
    <w:name w:val="table of figures"/>
    <w:basedOn w:val="Normal"/>
    <w:next w:val="Normal"/>
    <w:uiPriority w:val="99"/>
    <w:unhideWhenUsed/>
    <w:rsid w:val="00431A59"/>
    <w:pPr>
      <w:spacing w:after="0"/>
    </w:pPr>
  </w:style>
  <w:style w:styleId="CommentReference" w:type="character">
    <w:name w:val="annotation reference"/>
    <w:basedOn w:val="DefaultParagraphFont"/>
    <w:uiPriority w:val="99"/>
    <w:semiHidden/>
    <w:unhideWhenUsed/>
    <w:rsid w:val="00D756B8"/>
    <w:rPr>
      <w:sz w:val="16"/>
      <w:szCs w:val="16"/>
    </w:rPr>
  </w:style>
  <w:style w:styleId="CommentText" w:type="paragraph">
    <w:name w:val="annotation text"/>
    <w:basedOn w:val="Normal"/>
    <w:link w:val="CommentTextChar"/>
    <w:uiPriority w:val="99"/>
    <w:unhideWhenUsed/>
    <w:rsid w:val="00D756B8"/>
    <w:pPr>
      <w:spacing w:line="240" w:lineRule="auto"/>
    </w:pPr>
    <w:rPr>
      <w:sz w:val="20"/>
      <w:szCs w:val="20"/>
    </w:rPr>
  </w:style>
  <w:style w:customStyle="1" w:styleId="CommentTextChar" w:type="character">
    <w:name w:val="Comment Text Char"/>
    <w:basedOn w:val="DefaultParagraphFont"/>
    <w:link w:val="CommentText"/>
    <w:uiPriority w:val="99"/>
    <w:rsid w:val="00D756B8"/>
    <w:rPr>
      <w:sz w:val="20"/>
      <w:szCs w:val="20"/>
    </w:rPr>
  </w:style>
  <w:style w:styleId="CommentSubject" w:type="paragraph">
    <w:name w:val="annotation subject"/>
    <w:basedOn w:val="CommentText"/>
    <w:next w:val="CommentText"/>
    <w:link w:val="CommentSubjectChar"/>
    <w:uiPriority w:val="99"/>
    <w:semiHidden/>
    <w:unhideWhenUsed/>
    <w:rsid w:val="00D756B8"/>
    <w:rPr>
      <w:b/>
      <w:bCs/>
    </w:rPr>
  </w:style>
  <w:style w:customStyle="1" w:styleId="CommentSubjectChar" w:type="character">
    <w:name w:val="Comment Subject Char"/>
    <w:basedOn w:val="CommentTextChar"/>
    <w:link w:val="CommentSubject"/>
    <w:uiPriority w:val="99"/>
    <w:semiHidden/>
    <w:rsid w:val="00D756B8"/>
    <w:rPr>
      <w:b/>
      <w:bCs/>
      <w:sz w:val="20"/>
      <w:szCs w:val="20"/>
    </w:rPr>
  </w:style>
  <w:style w:styleId="Mention" w:type="character">
    <w:name w:val="Mention"/>
    <w:basedOn w:val="DefaultParagraphFont"/>
    <w:uiPriority w:val="99"/>
    <w:unhideWhenUsed/>
    <w:rsid w:val="00D756B8"/>
    <w:rPr>
      <w:color w:val="2B579A"/>
      <w:shd w:color="auto" w:fill="E1DFDD" w:val="clear"/>
    </w:rPr>
  </w:style>
  <w:style w:styleId="TOC3" w:type="paragraph">
    <w:name w:val="toc 3"/>
    <w:basedOn w:val="Normal"/>
    <w:next w:val="Normal"/>
    <w:autoRedefine/>
    <w:uiPriority w:val="39"/>
    <w:unhideWhenUsed/>
    <w:rsid w:val="00153FB7"/>
    <w:pPr>
      <w:spacing w:after="100"/>
      <w:ind w:left="48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numbering" Target="numbering.xml"/><Relationship Id="rId20" Type="http://schemas.openxmlformats.org/officeDocument/2006/relationships/styles" Target="styles.xml"/><Relationship Id="rId19" Type="http://schemas.openxmlformats.org/officeDocument/2006/relationships/settings" Target="settings.xml"/><Relationship Id="rId18" Type="http://schemas.openxmlformats.org/officeDocument/2006/relationships/webSettings" Target="webSettings.xml"/><Relationship Id="rId17" Type="http://schemas.openxmlformats.org/officeDocument/2006/relationships/fontTable" Target="fontTable.xml"/><Relationship Id="rId16" Type="http://schemas.openxmlformats.org/officeDocument/2006/relationships/theme" Target="theme/theme1.xml"/><Relationship Id="rId15" Type="http://schemas.openxmlformats.org/officeDocument/2006/relationships/footnotes" Target="footnotes.xml"/><Relationship Id="rId14" Type="http://schemas.openxmlformats.org/officeDocument/2006/relationships/comments" Target="comments.xml"/><Relationship Id="rId13" Type="http://schemas.openxmlformats.org/officeDocument/2006/relationships/header" Target="header2.xml"/><Relationship Id="rId12" Type="http://schemas.openxmlformats.org/officeDocument/2006/relationships/footer" Target="footer1.xml"/><Relationship Id="rId11" Type="http://schemas.openxmlformats.org/officeDocument/2006/relationships/header" Target="header1.xml"/><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27" Type="http://schemas.openxmlformats.org/officeDocument/2006/relationships/image" Target="media/rId27.png"/><Relationship Id="rId75" Type="http://schemas.openxmlformats.org/officeDocument/2006/relationships/image" Target="media/rId75.png"/><Relationship Id="rId116" Type="http://schemas.openxmlformats.org/officeDocument/2006/relationships/hyperlink" Target="https://docs.microsoft.com/en-us/azure/active-directory/" TargetMode="External"/><Relationship Id="rId126" Type="http://schemas.openxmlformats.org/officeDocument/2006/relationships/hyperlink" Target="https://docs.microsoft.com/en-us/azure/active-directory/authentication/howto-mfa-getstarted" TargetMode="External"/><Relationship Id="rId124" Type="http://schemas.openxmlformats.org/officeDocument/2006/relationships/hyperlink" Target="https://docs.microsoft.com/en-us/azure/active-directory/conditional-access/" TargetMode="External"/><Relationship Id="rId120" Type="http://schemas.openxmlformats.org/officeDocument/2006/relationships/hyperlink" Target="https://docs.microsoft.com/en-us/azure/active-directory/enterprise-users/azure-ad-service-limits" TargetMode="External"/><Relationship Id="rId91" Type="http://schemas.openxmlformats.org/officeDocument/2006/relationships/hyperlink" Target="https://docs.microsoft.com/en-us/azure/architecture/reference-architectures/compute/" TargetMode="External"/><Relationship Id="rId118" Type="http://schemas.openxmlformats.org/officeDocument/2006/relationships/hyperlink" Target="https://docs.microsoft.com/en-us/azure/architecture/reference-architectures/identity/" TargetMode="External"/><Relationship Id="rId129" Type="http://schemas.openxmlformats.org/officeDocument/2006/relationships/hyperlink" Target="https://docs.microsoft.com/en-us/azure/azure-monitor/" TargetMode="External"/><Relationship Id="rId138" Type="http://schemas.openxmlformats.org/officeDocument/2006/relationships/hyperlink" Target="https://docs.microsoft.com/en-us/azure/azure-monitor/alerts/alerts-overview" TargetMode="External"/><Relationship Id="rId137" Type="http://schemas.openxmlformats.org/officeDocument/2006/relationships/hyperlink" Target="https://docs.microsoft.com/en-us/azure/azure-monitor/app/app-insights-overview" TargetMode="External"/><Relationship Id="rId131" Type="http://schemas.openxmlformats.org/officeDocument/2006/relationships/hyperlink" Target="https://docs.microsoft.com/en-us/azure/azure-monitor/essentials/activity-log" TargetMode="External"/><Relationship Id="rId135" Type="http://schemas.openxmlformats.org/officeDocument/2006/relationships/hyperlink" Target="https://docs.microsoft.com/en-us/azure/azure-monitor/essentials/diagnostic-settings" TargetMode="External"/><Relationship Id="rId133" Type="http://schemas.openxmlformats.org/officeDocument/2006/relationships/hyperlink" Target="https://docs.microsoft.com/en-us/azure/azure-monitor/limits" TargetMode="External"/><Relationship Id="rId130" Type="http://schemas.openxmlformats.org/officeDocument/2006/relationships/hyperlink" Target="https://docs.microsoft.com/en-us/azure/azure-monitor/logs/" TargetMode="External"/><Relationship Id="rId134" Type="http://schemas.openxmlformats.org/officeDocument/2006/relationships/hyperlink" Target="https://docs.microsoft.com/en-us/azure/azure-monitor/logs/log-analytics-workspace-limits" TargetMode="External"/><Relationship Id="rId95" Type="http://schemas.openxmlformats.org/officeDocument/2006/relationships/hyperlink" Target="https://docs.microsoft.com/en-us/azure/azure-resource-manager/management/azure-subscription-service-limits" TargetMode="External"/><Relationship Id="rId152" Type="http://schemas.openxmlformats.org/officeDocument/2006/relationships/hyperlink" Target="https://docs.microsoft.com/en-us/azure/azure-resource-manager/management/tag-resources" TargetMode="External"/><Relationship Id="rId92" Type="http://schemas.openxmlformats.org/officeDocument/2006/relationships/hyperlink" Target="https://docs.microsoft.com/en-us/azure/azure-resource-manager/templates/" TargetMode="External"/><Relationship Id="rId170" Type="http://schemas.openxmlformats.org/officeDocument/2006/relationships/hyperlink" Target="https://docs.microsoft.com/en-us/azure/cognitive-services/" TargetMode="External"/><Relationship Id="rId150" Type="http://schemas.openxmlformats.org/officeDocument/2006/relationships/hyperlink" Target="https://docs.microsoft.com/en-us/azure/cost-management-billing/" TargetMode="External"/><Relationship Id="rId164" Type="http://schemas.openxmlformats.org/officeDocument/2006/relationships/hyperlink" Target="https://docs.microsoft.com/en-us/azure/data-catalog/" TargetMode="External"/><Relationship Id="rId157" Type="http://schemas.openxmlformats.org/officeDocument/2006/relationships/hyperlink" Target="https://docs.microsoft.com/en-us/azure/data-factory/" TargetMode="External"/><Relationship Id="rId160" Type="http://schemas.openxmlformats.org/officeDocument/2006/relationships/hyperlink" Target="https://docs.microsoft.com/en-us/azure/data-factory/quotas-limits" TargetMode="External"/><Relationship Id="rId159" Type="http://schemas.openxmlformats.org/officeDocument/2006/relationships/hyperlink" Target="https://docs.microsoft.com/en-us/azure/data-lake-store/data-lake-store-limits" TargetMode="External"/><Relationship Id="rId156" Type="http://schemas.openxmlformats.org/officeDocument/2006/relationships/hyperlink" Target="https://docs.microsoft.com/en-us/azure/data-lake/" TargetMode="External"/><Relationship Id="rId161" Type="http://schemas.openxmlformats.org/officeDocument/2006/relationships/hyperlink" Target="https://docs.microsoft.com/en-us/azure/data-share/limits" TargetMode="External"/><Relationship Id="rId112" Type="http://schemas.openxmlformats.org/officeDocument/2006/relationships/hyperlink" Target="https://docs.microsoft.com/en-us/azure/dns/dns-overview" TargetMode="External"/><Relationship Id="rId105" Type="http://schemas.openxmlformats.org/officeDocument/2006/relationships/hyperlink" Target="https://docs.microsoft.com/en-us/azure/expressroute/" TargetMode="External"/><Relationship Id="rId142" Type="http://schemas.openxmlformats.org/officeDocument/2006/relationships/hyperlink" Target="https://docs.microsoft.com/en-us/azure/governance/" TargetMode="External"/><Relationship Id="rId151" Type="http://schemas.openxmlformats.org/officeDocument/2006/relationships/hyperlink" Target="https://docs.microsoft.com/en-us/azure/governance/blueprints/" TargetMode="External"/><Relationship Id="rId147" Type="http://schemas.openxmlformats.org/officeDocument/2006/relationships/hyperlink" Target="https://docs.microsoft.com/en-us/azure/governance/management-groups/faq" TargetMode="External"/><Relationship Id="rId144" Type="http://schemas.openxmlformats.org/officeDocument/2006/relationships/hyperlink" Target="https://docs.microsoft.com/en-us/azure/governance/management-groups/overview" TargetMode="External"/><Relationship Id="rId143" Type="http://schemas.openxmlformats.org/officeDocument/2006/relationships/hyperlink" Target="https://docs.microsoft.com/en-us/azure/governance/policy/" TargetMode="External"/><Relationship Id="rId146" Type="http://schemas.openxmlformats.org/officeDocument/2006/relationships/hyperlink" Target="https://docs.microsoft.com/en-us/azure/governance/policy/concepts" TargetMode="External"/><Relationship Id="rId148" Type="http://schemas.openxmlformats.org/officeDocument/2006/relationships/hyperlink" Target="https://docs.microsoft.com/en-us/azure/governance/resource-locks/" TargetMode="External"/><Relationship Id="rId125" Type="http://schemas.openxmlformats.org/officeDocument/2006/relationships/hyperlink" Target="https://docs.microsoft.com/en-us/azure/key-vault/" TargetMode="External"/><Relationship Id="rId109" Type="http://schemas.openxmlformats.org/officeDocument/2006/relationships/hyperlink" Target="https://docs.microsoft.com/en-us/azure/load-balancer/load-balancer-overview" TargetMode="External"/><Relationship Id="rId168" Type="http://schemas.openxmlformats.org/officeDocument/2006/relationships/hyperlink" Target="https://docs.microsoft.com/en-us/azure/machine-learning/" TargetMode="External"/><Relationship Id="rId173" Type="http://schemas.openxmlformats.org/officeDocument/2006/relationships/hyperlink" Target="https://docs.microsoft.com/en-us/azure/machine-learning/concept-compute-instance" TargetMode="External"/><Relationship Id="rId176" Type="http://schemas.openxmlformats.org/officeDocument/2006/relationships/hyperlink" Target="https://docs.microsoft.com/en-us/azure/machine-learning/concept-ml-pipelines" TargetMode="External"/><Relationship Id="rId178" Type="http://schemas.openxmlformats.org/officeDocument/2006/relationships/hyperlink" Target="https://docs.microsoft.com/en-us/azure/machine-learning/concept-security" TargetMode="External"/><Relationship Id="rId174" Type="http://schemas.openxmlformats.org/officeDocument/2006/relationships/hyperlink" Target="https://docs.microsoft.com/en-us/azure/machine-learning/concept-workspace" TargetMode="External"/><Relationship Id="rId177" Type="http://schemas.openxmlformats.org/officeDocument/2006/relationships/hyperlink" Target="https://docs.microsoft.com/en-us/azure/machine-learning/how-to-deploy-and-where" TargetMode="External"/><Relationship Id="rId172" Type="http://schemas.openxmlformats.org/officeDocument/2006/relationships/hyperlink" Target="https://docs.microsoft.com/en-us/azure/machine-learning/resource-quota-limits" TargetMode="External"/><Relationship Id="rId169" Type="http://schemas.openxmlformats.org/officeDocument/2006/relationships/hyperlink" Target="https://docs.microsoft.com/en-us/azure/machine-learning/studio/" TargetMode="External"/><Relationship Id="rId111" Type="http://schemas.openxmlformats.org/officeDocument/2006/relationships/hyperlink" Target="https://docs.microsoft.com/en-us/azure/private-link/" TargetMode="External"/><Relationship Id="rId165" Type="http://schemas.openxmlformats.org/officeDocument/2006/relationships/hyperlink" Target="https://docs.microsoft.com/en-us/azure/purview/" TargetMode="External"/><Relationship Id="rId96" Type="http://schemas.openxmlformats.org/officeDocument/2006/relationships/hyperlink" Target="https://docs.microsoft.com/en-us/azure/quotas/compute" TargetMode="External"/><Relationship Id="rId122" Type="http://schemas.openxmlformats.org/officeDocument/2006/relationships/hyperlink" Target="https://docs.microsoft.com/en-us/azure/role-based-access-control/roles" TargetMode="External"/><Relationship Id="rId117" Type="http://schemas.openxmlformats.org/officeDocument/2006/relationships/hyperlink" Target="https://docs.microsoft.com/en-us/azure/security-center/" TargetMode="External"/><Relationship Id="rId121" Type="http://schemas.openxmlformats.org/officeDocument/2006/relationships/hyperlink" Target="https://docs.microsoft.com/en-us/azure/security-center/security-center-limits" TargetMode="External"/><Relationship Id="rId104" Type="http://schemas.openxmlformats.org/officeDocument/2006/relationships/hyperlink" Target="https://docs.microsoft.com/en-us/azure/security/fundamentals/network-best-practices" TargetMode="External"/><Relationship Id="rId139" Type="http://schemas.openxmlformats.org/officeDocument/2006/relationships/hyperlink" Target="https://docs.microsoft.com/en-us/azure/sentinel/" TargetMode="External"/><Relationship Id="rId163" Type="http://schemas.openxmlformats.org/officeDocument/2006/relationships/hyperlink" Target="https://docs.microsoft.com/en-us/azure/synapse-analytics/" TargetMode="External"/><Relationship Id="rId113" Type="http://schemas.openxmlformats.org/officeDocument/2006/relationships/hyperlink" Target="https://docs.microsoft.com/en-us/azure/traffic-manager/traffic-manager-overview" TargetMode="External"/><Relationship Id="rId90" Type="http://schemas.openxmlformats.org/officeDocument/2006/relationships/hyperlink" Target="https://docs.microsoft.com/en-us/azure/virtual-machines/" TargetMode="External"/><Relationship Id="rId100" Type="http://schemas.openxmlformats.org/officeDocument/2006/relationships/hyperlink" Target="https://docs.microsoft.com/en-us/azure/virtual-machines/availability-set-overview" TargetMode="External"/><Relationship Id="rId99" Type="http://schemas.openxmlformats.org/officeDocument/2006/relationships/hyperlink" Target="https://docs.microsoft.com/en-us/azure/virtual-machines/managed-disks-overview" TargetMode="External"/><Relationship Id="rId94" Type="http://schemas.openxmlformats.org/officeDocument/2006/relationships/hyperlink" Target="https://docs.microsoft.com/en-us/azure/virtual-machines/sizes" TargetMode="External"/><Relationship Id="rId98" Type="http://schemas.openxmlformats.org/officeDocument/2006/relationships/hyperlink" Target="https://docs.microsoft.com/en-us/azure/virtual-machines/spot-vms/" TargetMode="External"/><Relationship Id="rId103" Type="http://schemas.openxmlformats.org/officeDocument/2006/relationships/hyperlink" Target="https://docs.microsoft.com/en-us/azure/virtual-network/" TargetMode="External"/><Relationship Id="rId107" Type="http://schemas.openxmlformats.org/officeDocument/2006/relationships/hyperlink" Target="https://docs.microsoft.com/en-us/azure/virtual-network/virtual-network-limits" TargetMode="External"/><Relationship Id="rId108" Type="http://schemas.openxmlformats.org/officeDocument/2006/relationships/hyperlink" Target="https://docs.microsoft.com/en-us/azure/vpn-gateway/vpn-gateway-about-limits" TargetMode="External"/><Relationship Id="rId155" Type="http://schemas.openxmlformats.org/officeDocument/2006/relationships/hyperlink" Target="https://docs.microsoft.com/en-us/odata/" TargetMode="External"/><Relationship Id="rId1" Type="http://schemas.openxmlformats.org/officeDocument/2006/relationships/image" Target="media/image2.png"/><Relationship Id="rId2" Type="http://schemas.openxmlformats.org/officeDocument/2006/relationships/image" Target="media/image3.jpg"/></Relationships>
</file>

<file path=word/_rels/footnotes.xml.rels><?xml version='1.0' encoding='UTF-8' standalone='yes'?>
<Relationships xmlns="http://schemas.openxmlformats.org/package/2006/relationships"><Relationship Id="rId116" Type="http://schemas.openxmlformats.org/officeDocument/2006/relationships/hyperlink" Target="https://docs.microsoft.com/en-us/azure/active-directory/" TargetMode="External"/><Relationship Id="rId126" Type="http://schemas.openxmlformats.org/officeDocument/2006/relationships/hyperlink" Target="https://docs.microsoft.com/en-us/azure/active-directory/authentication/howto-mfa-getstarted" TargetMode="External"/><Relationship Id="rId124" Type="http://schemas.openxmlformats.org/officeDocument/2006/relationships/hyperlink" Target="https://docs.microsoft.com/en-us/azure/active-directory/conditional-access/" TargetMode="External"/><Relationship Id="rId120" Type="http://schemas.openxmlformats.org/officeDocument/2006/relationships/hyperlink" Target="https://docs.microsoft.com/en-us/azure/active-directory/enterprise-users/azure-ad-service-limits" TargetMode="External"/><Relationship Id="rId91" Type="http://schemas.openxmlformats.org/officeDocument/2006/relationships/hyperlink" Target="https://docs.microsoft.com/en-us/azure/architecture/reference-architectures/compute/" TargetMode="External"/><Relationship Id="rId118" Type="http://schemas.openxmlformats.org/officeDocument/2006/relationships/hyperlink" Target="https://docs.microsoft.com/en-us/azure/architecture/reference-architectures/identity/" TargetMode="External"/><Relationship Id="rId129" Type="http://schemas.openxmlformats.org/officeDocument/2006/relationships/hyperlink" Target="https://docs.microsoft.com/en-us/azure/azure-monitor/" TargetMode="External"/><Relationship Id="rId138" Type="http://schemas.openxmlformats.org/officeDocument/2006/relationships/hyperlink" Target="https://docs.microsoft.com/en-us/azure/azure-monitor/alerts/alerts-overview" TargetMode="External"/><Relationship Id="rId137" Type="http://schemas.openxmlformats.org/officeDocument/2006/relationships/hyperlink" Target="https://docs.microsoft.com/en-us/azure/azure-monitor/app/app-insights-overview" TargetMode="External"/><Relationship Id="rId131" Type="http://schemas.openxmlformats.org/officeDocument/2006/relationships/hyperlink" Target="https://docs.microsoft.com/en-us/azure/azure-monitor/essentials/activity-log" TargetMode="External"/><Relationship Id="rId135" Type="http://schemas.openxmlformats.org/officeDocument/2006/relationships/hyperlink" Target="https://docs.microsoft.com/en-us/azure/azure-monitor/essentials/diagnostic-settings" TargetMode="External"/><Relationship Id="rId133" Type="http://schemas.openxmlformats.org/officeDocument/2006/relationships/hyperlink" Target="https://docs.microsoft.com/en-us/azure/azure-monitor/limits" TargetMode="External"/><Relationship Id="rId130" Type="http://schemas.openxmlformats.org/officeDocument/2006/relationships/hyperlink" Target="https://docs.microsoft.com/en-us/azure/azure-monitor/logs/" TargetMode="External"/><Relationship Id="rId134" Type="http://schemas.openxmlformats.org/officeDocument/2006/relationships/hyperlink" Target="https://docs.microsoft.com/en-us/azure/azure-monitor/logs/log-analytics-workspace-limits" TargetMode="External"/><Relationship Id="rId95" Type="http://schemas.openxmlformats.org/officeDocument/2006/relationships/hyperlink" Target="https://docs.microsoft.com/en-us/azure/azure-resource-manager/management/azure-subscription-service-limits" TargetMode="External"/><Relationship Id="rId152" Type="http://schemas.openxmlformats.org/officeDocument/2006/relationships/hyperlink" Target="https://docs.microsoft.com/en-us/azure/azure-resource-manager/management/tag-resources" TargetMode="External"/><Relationship Id="rId92" Type="http://schemas.openxmlformats.org/officeDocument/2006/relationships/hyperlink" Target="https://docs.microsoft.com/en-us/azure/azure-resource-manager/templates/" TargetMode="External"/><Relationship Id="rId170" Type="http://schemas.openxmlformats.org/officeDocument/2006/relationships/hyperlink" Target="https://docs.microsoft.com/en-us/azure/cognitive-services/" TargetMode="External"/><Relationship Id="rId150" Type="http://schemas.openxmlformats.org/officeDocument/2006/relationships/hyperlink" Target="https://docs.microsoft.com/en-us/azure/cost-management-billing/" TargetMode="External"/><Relationship Id="rId164" Type="http://schemas.openxmlformats.org/officeDocument/2006/relationships/hyperlink" Target="https://docs.microsoft.com/en-us/azure/data-catalog/" TargetMode="External"/><Relationship Id="rId157" Type="http://schemas.openxmlformats.org/officeDocument/2006/relationships/hyperlink" Target="https://docs.microsoft.com/en-us/azure/data-factory/" TargetMode="External"/><Relationship Id="rId160" Type="http://schemas.openxmlformats.org/officeDocument/2006/relationships/hyperlink" Target="https://docs.microsoft.com/en-us/azure/data-factory/quotas-limits" TargetMode="External"/><Relationship Id="rId159" Type="http://schemas.openxmlformats.org/officeDocument/2006/relationships/hyperlink" Target="https://docs.microsoft.com/en-us/azure/data-lake-store/data-lake-store-limits" TargetMode="External"/><Relationship Id="rId156" Type="http://schemas.openxmlformats.org/officeDocument/2006/relationships/hyperlink" Target="https://docs.microsoft.com/en-us/azure/data-lake/" TargetMode="External"/><Relationship Id="rId161" Type="http://schemas.openxmlformats.org/officeDocument/2006/relationships/hyperlink" Target="https://docs.microsoft.com/en-us/azure/data-share/limits" TargetMode="External"/><Relationship Id="rId112" Type="http://schemas.openxmlformats.org/officeDocument/2006/relationships/hyperlink" Target="https://docs.microsoft.com/en-us/azure/dns/dns-overview" TargetMode="External"/><Relationship Id="rId105" Type="http://schemas.openxmlformats.org/officeDocument/2006/relationships/hyperlink" Target="https://docs.microsoft.com/en-us/azure/expressroute/" TargetMode="External"/><Relationship Id="rId142" Type="http://schemas.openxmlformats.org/officeDocument/2006/relationships/hyperlink" Target="https://docs.microsoft.com/en-us/azure/governance/" TargetMode="External"/><Relationship Id="rId151" Type="http://schemas.openxmlformats.org/officeDocument/2006/relationships/hyperlink" Target="https://docs.microsoft.com/en-us/azure/governance/blueprints/" TargetMode="External"/><Relationship Id="rId147" Type="http://schemas.openxmlformats.org/officeDocument/2006/relationships/hyperlink" Target="https://docs.microsoft.com/en-us/azure/governance/management-groups/faq" TargetMode="External"/><Relationship Id="rId144" Type="http://schemas.openxmlformats.org/officeDocument/2006/relationships/hyperlink" Target="https://docs.microsoft.com/en-us/azure/governance/management-groups/overview" TargetMode="External"/><Relationship Id="rId143" Type="http://schemas.openxmlformats.org/officeDocument/2006/relationships/hyperlink" Target="https://docs.microsoft.com/en-us/azure/governance/policy/" TargetMode="External"/><Relationship Id="rId146" Type="http://schemas.openxmlformats.org/officeDocument/2006/relationships/hyperlink" Target="https://docs.microsoft.com/en-us/azure/governance/policy/concepts" TargetMode="External"/><Relationship Id="rId148" Type="http://schemas.openxmlformats.org/officeDocument/2006/relationships/hyperlink" Target="https://docs.microsoft.com/en-us/azure/governance/resource-locks/" TargetMode="External"/><Relationship Id="rId125" Type="http://schemas.openxmlformats.org/officeDocument/2006/relationships/hyperlink" Target="https://docs.microsoft.com/en-us/azure/key-vault/" TargetMode="External"/><Relationship Id="rId109" Type="http://schemas.openxmlformats.org/officeDocument/2006/relationships/hyperlink" Target="https://docs.microsoft.com/en-us/azure/load-balancer/load-balancer-overview" TargetMode="External"/><Relationship Id="rId168" Type="http://schemas.openxmlformats.org/officeDocument/2006/relationships/hyperlink" Target="https://docs.microsoft.com/en-us/azure/machine-learning/" TargetMode="External"/><Relationship Id="rId173" Type="http://schemas.openxmlformats.org/officeDocument/2006/relationships/hyperlink" Target="https://docs.microsoft.com/en-us/azure/machine-learning/concept-compute-instance" TargetMode="External"/><Relationship Id="rId176" Type="http://schemas.openxmlformats.org/officeDocument/2006/relationships/hyperlink" Target="https://docs.microsoft.com/en-us/azure/machine-learning/concept-ml-pipelines" TargetMode="External"/><Relationship Id="rId178" Type="http://schemas.openxmlformats.org/officeDocument/2006/relationships/hyperlink" Target="https://docs.microsoft.com/en-us/azure/machine-learning/concept-security" TargetMode="External"/><Relationship Id="rId174" Type="http://schemas.openxmlformats.org/officeDocument/2006/relationships/hyperlink" Target="https://docs.microsoft.com/en-us/azure/machine-learning/concept-workspace" TargetMode="External"/><Relationship Id="rId177" Type="http://schemas.openxmlformats.org/officeDocument/2006/relationships/hyperlink" Target="https://docs.microsoft.com/en-us/azure/machine-learning/how-to-deploy-and-where" TargetMode="External"/><Relationship Id="rId172" Type="http://schemas.openxmlformats.org/officeDocument/2006/relationships/hyperlink" Target="https://docs.microsoft.com/en-us/azure/machine-learning/resource-quota-limits" TargetMode="External"/><Relationship Id="rId169" Type="http://schemas.openxmlformats.org/officeDocument/2006/relationships/hyperlink" Target="https://docs.microsoft.com/en-us/azure/machine-learning/studio/" TargetMode="External"/><Relationship Id="rId111" Type="http://schemas.openxmlformats.org/officeDocument/2006/relationships/hyperlink" Target="https://docs.microsoft.com/en-us/azure/private-link/" TargetMode="External"/><Relationship Id="rId165" Type="http://schemas.openxmlformats.org/officeDocument/2006/relationships/hyperlink" Target="https://docs.microsoft.com/en-us/azure/purview/" TargetMode="External"/><Relationship Id="rId96" Type="http://schemas.openxmlformats.org/officeDocument/2006/relationships/hyperlink" Target="https://docs.microsoft.com/en-us/azure/quotas/compute" TargetMode="External"/><Relationship Id="rId122" Type="http://schemas.openxmlformats.org/officeDocument/2006/relationships/hyperlink" Target="https://docs.microsoft.com/en-us/azure/role-based-access-control/roles" TargetMode="External"/><Relationship Id="rId117" Type="http://schemas.openxmlformats.org/officeDocument/2006/relationships/hyperlink" Target="https://docs.microsoft.com/en-us/azure/security-center/" TargetMode="External"/><Relationship Id="rId121" Type="http://schemas.openxmlformats.org/officeDocument/2006/relationships/hyperlink" Target="https://docs.microsoft.com/en-us/azure/security-center/security-center-limits" TargetMode="External"/><Relationship Id="rId104" Type="http://schemas.openxmlformats.org/officeDocument/2006/relationships/hyperlink" Target="https://docs.microsoft.com/en-us/azure/security/fundamentals/network-best-practices" TargetMode="External"/><Relationship Id="rId139" Type="http://schemas.openxmlformats.org/officeDocument/2006/relationships/hyperlink" Target="https://docs.microsoft.com/en-us/azure/sentinel/" TargetMode="External"/><Relationship Id="rId163" Type="http://schemas.openxmlformats.org/officeDocument/2006/relationships/hyperlink" Target="https://docs.microsoft.com/en-us/azure/synapse-analytics/" TargetMode="External"/><Relationship Id="rId113" Type="http://schemas.openxmlformats.org/officeDocument/2006/relationships/hyperlink" Target="https://docs.microsoft.com/en-us/azure/traffic-manager/traffic-manager-overview" TargetMode="External"/><Relationship Id="rId90" Type="http://schemas.openxmlformats.org/officeDocument/2006/relationships/hyperlink" Target="https://docs.microsoft.com/en-us/azure/virtual-machines/" TargetMode="External"/><Relationship Id="rId100" Type="http://schemas.openxmlformats.org/officeDocument/2006/relationships/hyperlink" Target="https://docs.microsoft.com/en-us/azure/virtual-machines/availability-set-overview" TargetMode="External"/><Relationship Id="rId99" Type="http://schemas.openxmlformats.org/officeDocument/2006/relationships/hyperlink" Target="https://docs.microsoft.com/en-us/azure/virtual-machines/managed-disks-overview" TargetMode="External"/><Relationship Id="rId94" Type="http://schemas.openxmlformats.org/officeDocument/2006/relationships/hyperlink" Target="https://docs.microsoft.com/en-us/azure/virtual-machines/sizes" TargetMode="External"/><Relationship Id="rId98" Type="http://schemas.openxmlformats.org/officeDocument/2006/relationships/hyperlink" Target="https://docs.microsoft.com/en-us/azure/virtual-machines/spot-vms/" TargetMode="External"/><Relationship Id="rId103" Type="http://schemas.openxmlformats.org/officeDocument/2006/relationships/hyperlink" Target="https://docs.microsoft.com/en-us/azure/virtual-network/" TargetMode="External"/><Relationship Id="rId107" Type="http://schemas.openxmlformats.org/officeDocument/2006/relationships/hyperlink" Target="https://docs.microsoft.com/en-us/azure/virtual-network/virtual-network-limits" TargetMode="External"/><Relationship Id="rId108" Type="http://schemas.openxmlformats.org/officeDocument/2006/relationships/hyperlink" Target="https://docs.microsoft.com/en-us/azure/vpn-gateway/vpn-gateway-about-limits" TargetMode="External"/><Relationship Id="rId155" Type="http://schemas.openxmlformats.org/officeDocument/2006/relationships/hyperlink" Target="https://docs.microsoft.com/en-us/odat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Words>
  <Characters>12</Characters>
  <Application>Microsoft Office Word</Application>
  <DocSecurity>0</DocSecurity>
  <Lines>1</Lines>
  <Paragraphs>1</Paragraphs>
  <ScaleCrop>false</ScaleCrop>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2026-04-03T04:22:00Z</dcterms:created>
  <dcterms:modified xsi:type="dcterms:W3CDTF">2026-04-03T04:22:00Z</dcterms:modified>
</cp:coreProperties>
</file>

<file path=docProps/custom.xml><?xml version="1.0" encoding="utf-8"?>
<Properties xmlns="http://schemas.openxmlformats.org/officeDocument/2006/custom-properties" xmlns:vt="http://schemas.openxmlformats.org/officeDocument/2006/docPropsVTypes"/>
</file>