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240"/>
        <w:jc w:val="center"/>
      </w:pPr>
      <w:r>
        <w:drawing>
          <wp:inline xmlns:a="http://schemas.openxmlformats.org/drawingml/2006/main" xmlns:pic="http://schemas.openxmlformats.org/drawingml/2006/picture">
            <wp:extent cx="2331720" cy="67253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331720" cy="672534"/>
                    </a:xfrm>
                    <a:prstGeom prst="rect"/>
                  </pic:spPr>
                </pic:pic>
              </a:graphicData>
            </a:graphic>
          </wp:inline>
        </w:drawing>
      </w:r>
    </w:p>
    <w:p>
      <w:pPr>
        <w:spacing w:after="160"/>
        <w:jc w:val="center"/>
        <w:pBdr>
          <w:bottom w:val="single" w:sz="6" w:space="2" w:color="5B9BD5"/>
        </w:pBdr>
      </w:pPr>
      <w:r>
        <w:rPr>
          <w:rFonts w:ascii="Times New Roman" w:hAnsi="Times New Roman" w:eastAsia="Times New Roman"/>
          <w:b/>
          <w:i w:val="0"/>
          <w:sz w:val="72"/>
        </w:rPr>
        <w:t>Final Year Project</w:t>
      </w:r>
    </w:p>
    <w:p>
      <w:pPr>
        <w:spacing w:after="160"/>
        <w:jc w:val="center"/>
        <w:pBdr>
          <w:bottom w:val="single" w:sz="6" w:space="2" w:color="5B9BD5"/>
        </w:pBdr>
      </w:pPr>
      <w:r>
        <w:rPr>
          <w:rFonts w:ascii="Times New Roman" w:hAnsi="Times New Roman" w:eastAsia="Times New Roman"/>
          <w:b/>
          <w:i w:val="0"/>
          <w:sz w:val="48"/>
        </w:rPr>
        <w:t>GridGuard AI for Smart Electric Grids</w:t>
      </w:r>
    </w:p>
    <w:p>
      <w:pPr>
        <w:spacing w:after="400"/>
        <w:jc w:val="center"/>
      </w:pPr>
      <w:r>
        <w:rPr>
          <w:rFonts w:ascii="Times New Roman" w:hAnsi="Times New Roman" w:eastAsia="Times New Roman"/>
          <w:b w:val="0"/>
          <w:i/>
          <w:color w:val="1F4E79"/>
          <w:sz w:val="26"/>
        </w:rPr>
        <w:t>Federated Learning, Edge AI, Agentic AI, and Trustworthy AI for Intelligent Grid Monitoring</w:t>
      </w:r>
    </w:p>
    <w:p>
      <w:pPr>
        <w:spacing w:before="100" w:after="200"/>
        <w:jc w:val="center"/>
      </w:pPr>
      <w:r>
        <w:rPr>
          <w:rFonts w:ascii="Times New Roman" w:hAnsi="Times New Roman" w:eastAsia="Times New Roman"/>
          <w:b/>
          <w:i w:val="0"/>
          <w:sz w:val="32"/>
        </w:rPr>
        <w:t>Project Team:</w:t>
      </w:r>
    </w:p>
    <w:p>
      <w:pPr>
        <w:spacing w:after="60"/>
        <w:jc w:val="center"/>
      </w:pPr>
      <w:r>
        <w:rPr>
          <w:rFonts w:ascii="Times New Roman" w:hAnsi="Times New Roman" w:eastAsia="Times New Roman"/>
          <w:b w:val="0"/>
          <w:i w:val="0"/>
          <w:color w:val="1F4E79"/>
          <w:sz w:val="26"/>
        </w:rPr>
        <w:t>1st Student Name</w:t>
      </w:r>
    </w:p>
    <w:p>
      <w:pPr>
        <w:spacing w:after="60"/>
        <w:jc w:val="center"/>
      </w:pPr>
      <w:r>
        <w:rPr>
          <w:rFonts w:ascii="Times New Roman" w:hAnsi="Times New Roman" w:eastAsia="Times New Roman"/>
          <w:b w:val="0"/>
          <w:i w:val="0"/>
          <w:color w:val="000000"/>
          <w:sz w:val="26"/>
        </w:rPr>
        <w:t>{Registration Number}</w:t>
      </w:r>
    </w:p>
    <w:p>
      <w:pPr>
        <w:spacing w:after="60"/>
        <w:jc w:val="center"/>
      </w:pPr>
      <w:r>
        <w:rPr>
          <w:rFonts w:ascii="Times New Roman" w:hAnsi="Times New Roman" w:eastAsia="Times New Roman"/>
          <w:b w:val="0"/>
          <w:i w:val="0"/>
          <w:color w:val="1F4E79"/>
          <w:sz w:val="26"/>
        </w:rPr>
        <w:t>2nd Student Name</w:t>
      </w:r>
    </w:p>
    <w:p>
      <w:pPr>
        <w:spacing w:after="60"/>
        <w:jc w:val="center"/>
      </w:pPr>
      <w:r>
        <w:rPr>
          <w:rFonts w:ascii="Times New Roman" w:hAnsi="Times New Roman" w:eastAsia="Times New Roman"/>
          <w:b w:val="0"/>
          <w:i w:val="0"/>
          <w:color w:val="000000"/>
          <w:sz w:val="26"/>
        </w:rPr>
        <w:t>{Registration Number}</w:t>
      </w:r>
    </w:p>
    <w:p>
      <w:pPr>
        <w:spacing w:before="440" w:after="120"/>
        <w:jc w:val="center"/>
      </w:pPr>
      <w:r>
        <w:rPr>
          <w:rFonts w:ascii="Times New Roman" w:hAnsi="Times New Roman" w:eastAsia="Times New Roman"/>
          <w:b/>
          <w:i w:val="0"/>
          <w:sz w:val="32"/>
        </w:rPr>
        <w:t>Project Supervisor:</w:t>
      </w:r>
    </w:p>
    <w:p>
      <w:pPr>
        <w:spacing w:after="240"/>
        <w:jc w:val="center"/>
      </w:pPr>
      <w:r>
        <w:rPr>
          <w:rFonts w:ascii="Times New Roman" w:hAnsi="Times New Roman" w:eastAsia="Times New Roman"/>
          <w:b w:val="0"/>
          <w:i w:val="0"/>
          <w:color w:val="1F4E79"/>
          <w:sz w:val="26"/>
        </w:rPr>
        <w:t>Supervisor Name</w:t>
      </w:r>
    </w:p>
    <w:p>
      <w:pPr>
        <w:spacing w:before="240" w:after="520"/>
        <w:jc w:val="center"/>
      </w:pPr>
      <w:r>
        <w:rPr>
          <w:rFonts w:ascii="Times New Roman" w:hAnsi="Times New Roman" w:eastAsia="Times New Roman"/>
          <w:b w:val="0"/>
          <w:i w:val="0"/>
          <w:sz w:val="24"/>
        </w:rPr>
        <w:t>[Date of Submission]</w:t>
      </w:r>
    </w:p>
    <w:p>
      <w:pPr>
        <w:spacing w:after="40"/>
        <w:jc w:val="center"/>
      </w:pPr>
      <w:r>
        <w:rPr>
          <w:rFonts w:ascii="Times New Roman" w:hAnsi="Times New Roman" w:eastAsia="Times New Roman"/>
          <w:b/>
          <w:i w:val="0"/>
          <w:sz w:val="24"/>
        </w:rPr>
        <w:t>Submitted in partial fulfillment of the requirements for the degree of</w:t>
      </w:r>
    </w:p>
    <w:p>
      <w:pPr>
        <w:spacing w:after="40"/>
        <w:jc w:val="center"/>
      </w:pPr>
      <w:r>
        <w:rPr>
          <w:rFonts w:ascii="Times New Roman" w:hAnsi="Times New Roman" w:eastAsia="Times New Roman"/>
          <w:b/>
          <w:i w:val="0"/>
          <w:sz w:val="24"/>
        </w:rPr>
        <w:t>Bachelor of Science in Computer Science</w:t>
      </w:r>
    </w:p>
    <w:p>
      <w:pPr>
        <w:spacing w:after="40"/>
        <w:jc w:val="center"/>
      </w:pPr>
      <w:r>
        <w:rPr>
          <w:rFonts w:ascii="Times New Roman" w:hAnsi="Times New Roman" w:eastAsia="Times New Roman"/>
          <w:b w:val="0"/>
          <w:i w:val="0"/>
          <w:sz w:val="24"/>
        </w:rPr>
        <w:t>in the</w:t>
      </w:r>
    </w:p>
    <w:p>
      <w:pPr>
        <w:spacing w:after="40"/>
        <w:jc w:val="center"/>
      </w:pPr>
      <w:r>
        <w:rPr>
          <w:rFonts w:ascii="Times New Roman" w:hAnsi="Times New Roman" w:eastAsia="Times New Roman"/>
          <w:b/>
          <w:i w:val="0"/>
          <w:sz w:val="24"/>
        </w:rPr>
        <w:t>Faculty of Computing and Engineering Sciences</w:t>
      </w:r>
    </w:p>
    <w:p>
      <w:pPr>
        <w:spacing w:after="40"/>
        <w:jc w:val="center"/>
      </w:pPr>
      <w:r>
        <w:rPr>
          <w:rFonts w:ascii="Times New Roman" w:hAnsi="Times New Roman" w:eastAsia="Times New Roman"/>
          <w:b/>
          <w:i w:val="0"/>
          <w:sz w:val="24"/>
        </w:rPr>
        <w:t>Shaheed Zulfiqar Ali Bhutto Institute of Science and Technology</w:t>
      </w:r>
    </w:p>
    <w:p>
      <w:pPr>
        <w:spacing w:after="40"/>
        <w:jc w:val="center"/>
      </w:pPr>
      <w:r>
        <w:rPr>
          <w:rFonts w:ascii="Times New Roman" w:hAnsi="Times New Roman" w:eastAsia="Times New Roman"/>
          <w:b/>
          <w:i w:val="0"/>
          <w:sz w:val="24"/>
        </w:rPr>
        <w:t>University</w:t>
      </w:r>
    </w:p>
    <w:p>
      <w:pPr>
        <w:spacing w:after="40"/>
        <w:jc w:val="center"/>
      </w:pPr>
      <w:r>
        <w:rPr>
          <w:rFonts w:ascii="Times New Roman" w:hAnsi="Times New Roman" w:eastAsia="Times New Roman"/>
          <w:b/>
          <w:i w:val="0"/>
          <w:sz w:val="24"/>
        </w:rPr>
        <w:t>(SZABIST University) Karachi Campus</w:t>
      </w:r>
    </w:p>
    <w:p>
      <w:r>
        <w:br w:type="page"/>
      </w:r>
    </w:p>
    <w:p>
      <w:pPr>
        <w:spacing w:after="200"/>
        <w:jc w:val="left"/>
      </w:pPr>
      <w:r>
        <w:rPr>
          <w:rFonts w:ascii="Times New Roman" w:hAnsi="Times New Roman" w:eastAsia="Times New Roman"/>
          <w:b/>
          <w:i w:val="0"/>
          <w:color w:val="1F4E79"/>
          <w:sz w:val="40"/>
        </w:rPr>
        <w:t>Contents</w:t>
      </w:r>
    </w:p>
    <w:p>
      <w:pPr>
        <w:tabs>
          <w:tab w:pos="8928" w:val="right" w:leader="dot"/>
        </w:tabs>
        <w:spacing w:after="60"/>
        <w:ind w:left="216"/>
      </w:pPr>
      <w:r>
        <w:rPr>
          <w:rFonts w:ascii="Times New Roman" w:hAnsi="Times New Roman" w:eastAsia="Times New Roman"/>
          <w:b/>
          <w:i w:val="0"/>
          <w:sz w:val="22"/>
        </w:rPr>
        <w:t>1.  Introduction</w:t>
      </w:r>
      <w:r>
        <w:tab/>
      </w:r>
      <w:r>
        <w:rPr>
          <w:rFonts w:ascii="Times New Roman" w:hAnsi="Times New Roman" w:eastAsia="Times New Roman"/>
          <w:b w:val="0"/>
          <w:i w:val="0"/>
          <w:sz w:val="22"/>
        </w:rPr>
      </w:r>
      <w:r>
        <w:rPr>
          <w:rFonts w:ascii="Times New Roman" w:hAnsi="Times New Roman"/>
          <w:sz w:val="22"/>
        </w:rPr>
        <w:t>3</w:t>
      </w:r>
    </w:p>
    <w:p>
      <w:pPr>
        <w:tabs>
          <w:tab w:pos="8928" w:val="right" w:leader="dot"/>
        </w:tabs>
        <w:spacing w:after="60"/>
        <w:ind w:left="216"/>
      </w:pPr>
      <w:r>
        <w:rPr>
          <w:rFonts w:ascii="Times New Roman" w:hAnsi="Times New Roman" w:eastAsia="Times New Roman"/>
          <w:b/>
          <w:i w:val="0"/>
          <w:sz w:val="22"/>
        </w:rPr>
        <w:t>2.  Objective</w:t>
      </w:r>
      <w:r>
        <w:tab/>
      </w:r>
      <w:r>
        <w:rPr>
          <w:rFonts w:ascii="Times New Roman" w:hAnsi="Times New Roman" w:eastAsia="Times New Roman"/>
          <w:b w:val="0"/>
          <w:i w:val="0"/>
          <w:sz w:val="22"/>
        </w:rPr>
      </w:r>
      <w:r>
        <w:rPr>
          <w:rFonts w:ascii="Times New Roman" w:hAnsi="Times New Roman"/>
          <w:sz w:val="22"/>
        </w:rPr>
        <w:t>4</w:t>
      </w:r>
    </w:p>
    <w:p>
      <w:pPr>
        <w:tabs>
          <w:tab w:pos="8928" w:val="right" w:leader="dot"/>
        </w:tabs>
        <w:spacing w:after="60"/>
        <w:ind w:left="216"/>
      </w:pPr>
      <w:r>
        <w:rPr>
          <w:rFonts w:ascii="Times New Roman" w:hAnsi="Times New Roman" w:eastAsia="Times New Roman"/>
          <w:b/>
          <w:i w:val="0"/>
          <w:sz w:val="22"/>
        </w:rPr>
        <w:t>3.  Problem Description</w:t>
      </w:r>
      <w:r>
        <w:tab/>
      </w:r>
      <w:r>
        <w:rPr>
          <w:rFonts w:ascii="Times New Roman" w:hAnsi="Times New Roman" w:eastAsia="Times New Roman"/>
          <w:b w:val="0"/>
          <w:i w:val="0"/>
          <w:sz w:val="22"/>
        </w:rPr>
      </w:r>
      <w:r>
        <w:rPr>
          <w:rFonts w:ascii="Times New Roman" w:hAnsi="Times New Roman"/>
          <w:sz w:val="22"/>
        </w:rPr>
        <w:t>5</w:t>
      </w:r>
    </w:p>
    <w:p>
      <w:pPr>
        <w:tabs>
          <w:tab w:pos="8928" w:val="right" w:leader="dot"/>
        </w:tabs>
        <w:spacing w:after="60"/>
        <w:ind w:left="216"/>
      </w:pPr>
      <w:r>
        <w:rPr>
          <w:rFonts w:ascii="Times New Roman" w:hAnsi="Times New Roman" w:eastAsia="Times New Roman"/>
          <w:b/>
          <w:i w:val="0"/>
          <w:sz w:val="22"/>
        </w:rPr>
        <w:t>4.  Target Industry</w:t>
      </w:r>
      <w:r>
        <w:tab/>
      </w:r>
      <w:r>
        <w:rPr>
          <w:rFonts w:ascii="Times New Roman" w:hAnsi="Times New Roman" w:eastAsia="Times New Roman"/>
          <w:b w:val="0"/>
          <w:i w:val="0"/>
          <w:sz w:val="22"/>
        </w:rPr>
      </w:r>
      <w:r>
        <w:rPr>
          <w:rFonts w:ascii="Times New Roman" w:hAnsi="Times New Roman"/>
          <w:sz w:val="22"/>
        </w:rPr>
        <w:t>5</w:t>
      </w:r>
    </w:p>
    <w:p>
      <w:pPr>
        <w:tabs>
          <w:tab w:pos="8928" w:val="right" w:leader="dot"/>
        </w:tabs>
        <w:spacing w:after="60"/>
        <w:ind w:left="216"/>
      </w:pPr>
      <w:r>
        <w:rPr>
          <w:rFonts w:ascii="Times New Roman" w:hAnsi="Times New Roman" w:eastAsia="Times New Roman"/>
          <w:b/>
          <w:i w:val="0"/>
          <w:sz w:val="22"/>
        </w:rPr>
        <w:t>5.  Methodology</w:t>
      </w:r>
      <w:r>
        <w:tab/>
      </w:r>
      <w:r>
        <w:rPr>
          <w:rFonts w:ascii="Times New Roman" w:hAnsi="Times New Roman" w:eastAsia="Times New Roman"/>
          <w:b w:val="0"/>
          <w:i w:val="0"/>
          <w:sz w:val="22"/>
        </w:rPr>
      </w:r>
      <w:r>
        <w:rPr>
          <w:rFonts w:ascii="Times New Roman" w:hAnsi="Times New Roman"/>
          <w:sz w:val="22"/>
        </w:rPr>
        <w:t>6</w:t>
      </w:r>
    </w:p>
    <w:p>
      <w:pPr>
        <w:tabs>
          <w:tab w:pos="8928" w:val="right" w:leader="dot"/>
        </w:tabs>
        <w:spacing w:after="60"/>
        <w:ind w:left="216"/>
      </w:pPr>
      <w:r>
        <w:rPr>
          <w:rFonts w:ascii="Times New Roman" w:hAnsi="Times New Roman" w:eastAsia="Times New Roman"/>
          <w:b/>
          <w:i w:val="0"/>
          <w:sz w:val="22"/>
        </w:rPr>
        <w:t>6.  Project Scope</w:t>
      </w:r>
      <w:r>
        <w:tab/>
      </w:r>
      <w:r>
        <w:rPr>
          <w:rFonts w:ascii="Times New Roman" w:hAnsi="Times New Roman" w:eastAsia="Times New Roman"/>
          <w:b w:val="0"/>
          <w:i w:val="0"/>
          <w:sz w:val="22"/>
        </w:rPr>
      </w:r>
      <w:r>
        <w:rPr>
          <w:rFonts w:ascii="Times New Roman" w:hAnsi="Times New Roman"/>
          <w:sz w:val="22"/>
        </w:rPr>
        <w:t>11</w:t>
      </w:r>
    </w:p>
    <w:p>
      <w:pPr>
        <w:tabs>
          <w:tab w:pos="8928" w:val="right" w:leader="dot"/>
        </w:tabs>
        <w:spacing w:after="60"/>
        <w:ind w:left="216"/>
      </w:pPr>
      <w:r>
        <w:rPr>
          <w:rFonts w:ascii="Times New Roman" w:hAnsi="Times New Roman" w:eastAsia="Times New Roman"/>
          <w:b/>
          <w:i w:val="0"/>
          <w:sz w:val="22"/>
        </w:rPr>
        <w:t>7.  Feasibility Study</w:t>
      </w:r>
      <w:r>
        <w:tab/>
      </w:r>
      <w:r>
        <w:rPr>
          <w:rFonts w:ascii="Times New Roman" w:hAnsi="Times New Roman" w:eastAsia="Times New Roman"/>
          <w:b w:val="0"/>
          <w:i w:val="0"/>
          <w:sz w:val="22"/>
        </w:rPr>
      </w:r>
      <w:r>
        <w:rPr>
          <w:rFonts w:ascii="Times New Roman" w:hAnsi="Times New Roman"/>
          <w:sz w:val="22"/>
        </w:rPr>
        <w:t>12</w:t>
      </w:r>
    </w:p>
    <w:p>
      <w:pPr>
        <w:tabs>
          <w:tab w:pos="8928" w:val="right" w:leader="dot"/>
        </w:tabs>
        <w:spacing w:after="60"/>
        <w:ind w:left="216"/>
      </w:pPr>
      <w:r>
        <w:rPr>
          <w:rFonts w:ascii="Times New Roman" w:hAnsi="Times New Roman" w:eastAsia="Times New Roman"/>
          <w:b w:val="0"/>
          <w:i w:val="0"/>
          <w:sz w:val="22"/>
        </w:rPr>
        <w:t>7.1  Risks Involved</w:t>
      </w:r>
      <w:r>
        <w:tab/>
      </w:r>
      <w:r>
        <w:rPr>
          <w:rFonts w:ascii="Times New Roman" w:hAnsi="Times New Roman" w:eastAsia="Times New Roman"/>
          <w:b w:val="0"/>
          <w:i w:val="0"/>
          <w:sz w:val="22"/>
        </w:rPr>
      </w:r>
      <w:r>
        <w:rPr>
          <w:rFonts w:ascii="Times New Roman" w:hAnsi="Times New Roman"/>
          <w:sz w:val="22"/>
        </w:rPr>
        <w:t>12</w:t>
      </w:r>
    </w:p>
    <w:p>
      <w:pPr>
        <w:tabs>
          <w:tab w:pos="8928" w:val="right" w:leader="dot"/>
        </w:tabs>
        <w:spacing w:after="60"/>
        <w:ind w:left="216"/>
      </w:pPr>
      <w:r>
        <w:rPr>
          <w:rFonts w:ascii="Times New Roman" w:hAnsi="Times New Roman" w:eastAsia="Times New Roman"/>
          <w:b w:val="0"/>
          <w:i w:val="0"/>
          <w:sz w:val="22"/>
        </w:rPr>
        <w:t>7.2  Resource Requirement</w:t>
      </w:r>
      <w:r>
        <w:tab/>
      </w:r>
      <w:r>
        <w:rPr>
          <w:rFonts w:ascii="Times New Roman" w:hAnsi="Times New Roman" w:eastAsia="Times New Roman"/>
          <w:b w:val="0"/>
          <w:i w:val="0"/>
          <w:sz w:val="22"/>
        </w:rPr>
      </w:r>
      <w:r>
        <w:rPr>
          <w:rFonts w:ascii="Times New Roman" w:hAnsi="Times New Roman"/>
          <w:sz w:val="22"/>
        </w:rPr>
        <w:t>12</w:t>
      </w:r>
    </w:p>
    <w:p>
      <w:pPr>
        <w:tabs>
          <w:tab w:pos="8928" w:val="right" w:leader="dot"/>
        </w:tabs>
        <w:spacing w:after="60"/>
        <w:ind w:left="216"/>
      </w:pPr>
      <w:r>
        <w:rPr>
          <w:rFonts w:ascii="Times New Roman" w:hAnsi="Times New Roman" w:eastAsia="Times New Roman"/>
          <w:b/>
          <w:i w:val="0"/>
          <w:sz w:val="22"/>
        </w:rPr>
        <w:t>8.  Solution Application Areas</w:t>
      </w:r>
      <w:r>
        <w:tab/>
      </w:r>
      <w:r>
        <w:rPr>
          <w:rFonts w:ascii="Times New Roman" w:hAnsi="Times New Roman" w:eastAsia="Times New Roman"/>
          <w:b w:val="0"/>
          <w:i w:val="0"/>
          <w:sz w:val="22"/>
        </w:rPr>
      </w:r>
      <w:r>
        <w:rPr>
          <w:rFonts w:ascii="Times New Roman" w:hAnsi="Times New Roman"/>
          <w:sz w:val="22"/>
        </w:rPr>
        <w:t>13</w:t>
      </w:r>
    </w:p>
    <w:p>
      <w:pPr>
        <w:tabs>
          <w:tab w:pos="8928" w:val="right" w:leader="dot"/>
        </w:tabs>
        <w:spacing w:after="60"/>
        <w:ind w:left="216"/>
      </w:pPr>
      <w:r>
        <w:rPr>
          <w:rFonts w:ascii="Times New Roman" w:hAnsi="Times New Roman" w:eastAsia="Times New Roman"/>
          <w:b/>
          <w:i w:val="0"/>
          <w:sz w:val="22"/>
        </w:rPr>
        <w:t>9.  Tools/Technology</w:t>
      </w:r>
      <w:r>
        <w:tab/>
      </w:r>
      <w:r>
        <w:rPr>
          <w:rFonts w:ascii="Times New Roman" w:hAnsi="Times New Roman" w:eastAsia="Times New Roman"/>
          <w:b w:val="0"/>
          <w:i w:val="0"/>
          <w:sz w:val="22"/>
        </w:rPr>
      </w:r>
      <w:r>
        <w:rPr>
          <w:rFonts w:ascii="Times New Roman" w:hAnsi="Times New Roman"/>
          <w:sz w:val="22"/>
        </w:rPr>
        <w:t>13</w:t>
      </w:r>
    </w:p>
    <w:p>
      <w:pPr>
        <w:tabs>
          <w:tab w:pos="8928" w:val="right" w:leader="dot"/>
        </w:tabs>
        <w:spacing w:after="60"/>
        <w:ind w:left="216"/>
      </w:pPr>
      <w:r>
        <w:rPr>
          <w:rFonts w:ascii="Times New Roman" w:hAnsi="Times New Roman" w:eastAsia="Times New Roman"/>
          <w:b/>
          <w:i w:val="0"/>
          <w:sz w:val="22"/>
        </w:rPr>
        <w:t>10.  Expertise of the Team Members</w:t>
      </w:r>
      <w:r>
        <w:tab/>
      </w:r>
      <w:r>
        <w:rPr>
          <w:rFonts w:ascii="Times New Roman" w:hAnsi="Times New Roman" w:eastAsia="Times New Roman"/>
          <w:b w:val="0"/>
          <w:i w:val="0"/>
          <w:sz w:val="22"/>
        </w:rPr>
      </w:r>
      <w:r>
        <w:rPr>
          <w:rFonts w:ascii="Times New Roman" w:hAnsi="Times New Roman"/>
          <w:sz w:val="22"/>
        </w:rPr>
        <w:t>14</w:t>
      </w:r>
    </w:p>
    <w:p>
      <w:pPr>
        <w:tabs>
          <w:tab w:pos="8928" w:val="right" w:leader="dot"/>
        </w:tabs>
        <w:spacing w:after="60"/>
        <w:ind w:left="216"/>
      </w:pPr>
      <w:r>
        <w:rPr>
          <w:rFonts w:ascii="Times New Roman" w:hAnsi="Times New Roman" w:eastAsia="Times New Roman"/>
          <w:b/>
          <w:i w:val="0"/>
          <w:sz w:val="22"/>
        </w:rPr>
        <w:t>11.  Milestones</w:t>
      </w:r>
      <w:r>
        <w:tab/>
      </w:r>
      <w:r>
        <w:rPr>
          <w:rFonts w:ascii="Times New Roman" w:hAnsi="Times New Roman" w:eastAsia="Times New Roman"/>
          <w:b w:val="0"/>
          <w:i w:val="0"/>
          <w:sz w:val="22"/>
        </w:rPr>
      </w:r>
      <w:r>
        <w:rPr>
          <w:rFonts w:ascii="Times New Roman" w:hAnsi="Times New Roman"/>
          <w:sz w:val="22"/>
        </w:rPr>
        <w:t>14</w:t>
      </w:r>
    </w:p>
    <w:p>
      <w:pPr>
        <w:tabs>
          <w:tab w:pos="8928" w:val="right" w:leader="dot"/>
        </w:tabs>
        <w:spacing w:after="60"/>
        <w:ind w:left="216"/>
      </w:pPr>
      <w:r>
        <w:rPr>
          <w:rFonts w:ascii="Times New Roman" w:hAnsi="Times New Roman" w:eastAsia="Times New Roman"/>
          <w:b w:val="0"/>
          <w:i w:val="0"/>
          <w:sz w:val="22"/>
        </w:rPr>
        <w:t>11.1  FYP-I Features</w:t>
      </w:r>
      <w:r>
        <w:tab/>
      </w:r>
      <w:r>
        <w:rPr>
          <w:rFonts w:ascii="Times New Roman" w:hAnsi="Times New Roman" w:eastAsia="Times New Roman"/>
          <w:b w:val="0"/>
          <w:i w:val="0"/>
          <w:sz w:val="22"/>
        </w:rPr>
      </w:r>
      <w:r>
        <w:rPr>
          <w:rFonts w:ascii="Times New Roman" w:hAnsi="Times New Roman"/>
          <w:sz w:val="22"/>
        </w:rPr>
        <w:t>15</w:t>
      </w:r>
    </w:p>
    <w:p>
      <w:pPr>
        <w:tabs>
          <w:tab w:pos="8928" w:val="right" w:leader="dot"/>
        </w:tabs>
        <w:spacing w:after="60"/>
        <w:ind w:left="216"/>
      </w:pPr>
      <w:r>
        <w:rPr>
          <w:rFonts w:ascii="Times New Roman" w:hAnsi="Times New Roman" w:eastAsia="Times New Roman"/>
          <w:b w:val="0"/>
          <w:i w:val="0"/>
          <w:sz w:val="22"/>
        </w:rPr>
        <w:t>11.2  FYP-II Features</w:t>
      </w:r>
      <w:r>
        <w:tab/>
      </w:r>
      <w:r>
        <w:rPr>
          <w:rFonts w:ascii="Times New Roman" w:hAnsi="Times New Roman" w:eastAsia="Times New Roman"/>
          <w:b w:val="0"/>
          <w:i w:val="0"/>
          <w:sz w:val="22"/>
        </w:rPr>
      </w:r>
      <w:r>
        <w:rPr>
          <w:rFonts w:ascii="Times New Roman" w:hAnsi="Times New Roman"/>
          <w:sz w:val="22"/>
        </w:rPr>
        <w:t>15</w:t>
      </w:r>
    </w:p>
    <w:p>
      <w:pPr>
        <w:tabs>
          <w:tab w:pos="8928" w:val="right" w:leader="dot"/>
        </w:tabs>
        <w:spacing w:after="60"/>
        <w:ind w:left="216"/>
      </w:pPr>
      <w:r>
        <w:rPr>
          <w:rFonts w:ascii="Times New Roman" w:hAnsi="Times New Roman" w:eastAsia="Times New Roman"/>
          <w:b/>
          <w:i w:val="0"/>
          <w:sz w:val="22"/>
        </w:rPr>
        <w:t>12.  Project Schedule</w:t>
      </w:r>
      <w:r>
        <w:tab/>
      </w:r>
      <w:r>
        <w:rPr>
          <w:rFonts w:ascii="Times New Roman" w:hAnsi="Times New Roman" w:eastAsia="Times New Roman"/>
          <w:b w:val="0"/>
          <w:i w:val="0"/>
          <w:sz w:val="22"/>
        </w:rPr>
      </w:r>
      <w:r>
        <w:rPr>
          <w:rFonts w:ascii="Times New Roman" w:hAnsi="Times New Roman"/>
          <w:sz w:val="22"/>
        </w:rPr>
        <w:t>17</w:t>
      </w:r>
    </w:p>
    <w:p>
      <w:pPr>
        <w:tabs>
          <w:tab w:pos="8928" w:val="right" w:leader="dot"/>
        </w:tabs>
        <w:spacing w:after="60"/>
        <w:ind w:left="216"/>
      </w:pPr>
      <w:r>
        <w:rPr>
          <w:rFonts w:ascii="Times New Roman" w:hAnsi="Times New Roman" w:eastAsia="Times New Roman"/>
          <w:b/>
          <w:i w:val="0"/>
          <w:sz w:val="22"/>
        </w:rPr>
        <w:t>13.  Work Breakdown Structure</w:t>
      </w:r>
      <w:r>
        <w:tab/>
      </w:r>
      <w:r>
        <w:rPr>
          <w:rFonts w:ascii="Times New Roman" w:hAnsi="Times New Roman" w:eastAsia="Times New Roman"/>
          <w:b w:val="0"/>
          <w:i w:val="0"/>
          <w:sz w:val="22"/>
        </w:rPr>
      </w:r>
      <w:r>
        <w:rPr>
          <w:rFonts w:ascii="Times New Roman" w:hAnsi="Times New Roman"/>
          <w:sz w:val="22"/>
        </w:rPr>
        <w:t>18</w:t>
      </w:r>
    </w:p>
    <w:p>
      <w:pPr>
        <w:tabs>
          <w:tab w:pos="8928" w:val="right" w:leader="dot"/>
        </w:tabs>
        <w:spacing w:after="60"/>
        <w:ind w:left="216"/>
      </w:pPr>
      <w:r>
        <w:rPr>
          <w:rFonts w:ascii="Times New Roman" w:hAnsi="Times New Roman" w:eastAsia="Times New Roman"/>
          <w:b/>
          <w:i w:val="0"/>
          <w:sz w:val="22"/>
        </w:rPr>
        <w:t>14.  References</w:t>
      </w:r>
      <w:r>
        <w:tab/>
      </w:r>
      <w:r>
        <w:rPr>
          <w:rFonts w:ascii="Times New Roman" w:hAnsi="Times New Roman" w:eastAsia="Times New Roman"/>
          <w:b w:val="0"/>
          <w:i w:val="0"/>
          <w:sz w:val="22"/>
        </w:rPr>
      </w:r>
      <w:r>
        <w:rPr>
          <w:rFonts w:ascii="Times New Roman" w:hAnsi="Times New Roman"/>
          <w:sz w:val="22"/>
        </w:rPr>
        <w:t>19</w:t>
      </w:r>
    </w:p>
    <w:p>
      <w:r>
        <w:br w:type="page"/>
      </w:r>
    </w:p>
    <w:p>
      <w:pPr>
        <w:pStyle w:val="Heading1"/>
        <w:spacing w:before="240" w:after="120" w:line="288" w:lineRule="auto"/>
        <w:jc w:val="left"/>
      </w:pPr>
      <w:r>
        <w:rPr>
          <w:rFonts w:ascii="Times New Roman" w:hAnsi="Times New Roman" w:eastAsia="Times New Roman"/>
          <w:b/>
          <w:i w:val="0"/>
          <w:sz w:val="32"/>
        </w:rPr>
        <w:t>1. Introduction</w:t>
      </w:r>
    </w:p>
    <w:p>
      <w:pPr>
        <w:widowControl/>
        <w:spacing w:before="0" w:after="120" w:line="288" w:lineRule="auto"/>
        <w:jc w:val="both"/>
      </w:pPr>
      <w:r>
        <w:rPr>
          <w:rFonts w:ascii="Times New Roman" w:hAnsi="Times New Roman" w:eastAsia="Times New Roman"/>
          <w:b w:val="0"/>
          <w:i w:val="0"/>
          <w:sz w:val="24"/>
        </w:rPr>
        <w:t>GridGuard AI for Smart Electric Grids is a software-based smart-grid intelligence platform designed to support monitoring, prediction, fault awareness, and operator decision-making. The project combines Federated Learning, Edge AI, Agentic AI, and Trustworthy AI in one practical system. The project does not require a real electrical grid or physical high-voltage equipment. Instead, it creates a controlled software simulation of multiple substations and uses public electricity data together with simulated smart-grid events. This approach makes the system safe to build, test, and demonstrate as a Final Year Project.</w:t>
      </w:r>
    </w:p>
    <w:p>
      <w:pPr>
        <w:widowControl/>
        <w:spacing w:before="0" w:after="120" w:line="288" w:lineRule="auto"/>
        <w:jc w:val="both"/>
      </w:pPr>
      <w:r>
        <w:rPr>
          <w:rFonts w:ascii="Times New Roman" w:hAnsi="Times New Roman" w:eastAsia="Times New Roman"/>
          <w:b w:val="0"/>
          <w:i w:val="0"/>
          <w:sz w:val="24"/>
        </w:rPr>
        <w:t>A smart electric grid produces large amounts of time-based data from loads, meters, and equipment. Human operators cannot continuously inspect every reading, especially when the number of monitored devices grows. GridGuard AI will use machine learning to learn normal patterns and detect changes such as unusual load, abnormal voltage or current, rising equipment risk, and possible future demand changes. The system will also generate warnings before a simulated equipment problem becomes severe.</w:t>
      </w:r>
    </w:p>
    <w:p>
      <w:pPr>
        <w:widowControl/>
        <w:spacing w:before="0" w:after="120" w:line="288" w:lineRule="auto"/>
        <w:jc w:val="both"/>
      </w:pPr>
      <w:r>
        <w:rPr>
          <w:rFonts w:ascii="Times New Roman" w:hAnsi="Times New Roman" w:eastAsia="Times New Roman"/>
          <w:b w:val="0"/>
          <w:i w:val="0"/>
          <w:sz w:val="24"/>
        </w:rPr>
        <w:t xml:space="preserve">The project uses four simulated substations. Each substation has its own local dataset and behaves as a separate edge client. The local data can represent different operating patterns such as residential-heavy demand, industrial-heavy demand, renewable-heavy demand, and mixed demand. This creates non-IID data, meaning that each client does not have exactly the same type of data. The FYP guide specifically describes this model of simulated substations, local training, federated aggregation, and agent-based decision support. </w:t>
      </w:r>
    </w:p>
    <w:p>
      <w:pPr>
        <w:widowControl/>
        <w:spacing w:before="0" w:after="120" w:line="288" w:lineRule="auto"/>
        <w:jc w:val="both"/>
      </w:pPr>
      <w:r>
        <w:rPr>
          <w:rFonts w:ascii="Times New Roman" w:hAnsi="Times New Roman" w:eastAsia="Times New Roman"/>
          <w:b w:val="0"/>
          <w:i w:val="0"/>
          <w:sz w:val="24"/>
        </w:rPr>
        <w:t xml:space="preserve">Instead of sending raw local data to a central database, each simulated substation trains a local model and sends only the model update to the federated server. The server combines the updates to create a global model and sends the new model back to the clients. This repeated process allows the substations to learn together while keeping their raw datasets in their local environments. This follows the federated learning flow described in the supplied project guide. </w:t>
      </w:r>
    </w:p>
    <w:p>
      <w:pPr>
        <w:widowControl/>
        <w:spacing w:before="0" w:after="120" w:line="288" w:lineRule="auto"/>
        <w:jc w:val="both"/>
      </w:pPr>
      <w:r>
        <w:rPr>
          <w:rFonts w:ascii="Times New Roman" w:hAnsi="Times New Roman" w:eastAsia="Times New Roman"/>
          <w:b w:val="0"/>
          <w:i w:val="0"/>
          <w:sz w:val="24"/>
        </w:rPr>
        <w:t xml:space="preserve">Above the AI models, GridGuard AI will use specialized agents. The Forecast Agent estimates future demand or renewable generation. The Fault Agent checks for electrical and equipment problems. The Security Agent looks for suspicious or abnormal operating behavior. The Decision Agent combines these results and prepares a recommended action for a human operator. The design therefore moves from raw readings to prediction, from prediction to explanation, and from explanation to a controlled recommendation. The human operator remains responsible for the final decision. </w:t>
      </w:r>
    </w:p>
    <w:p>
      <w:pPr>
        <w:widowControl/>
        <w:spacing w:before="0" w:after="160" w:line="288" w:lineRule="auto"/>
        <w:jc w:val="both"/>
      </w:pPr>
      <w:r>
        <w:rPr>
          <w:rFonts w:ascii="Times New Roman" w:hAnsi="Times New Roman" w:eastAsia="Times New Roman"/>
          <w:b w:val="0"/>
          <w:i w:val="0"/>
          <w:sz w:val="24"/>
        </w:rPr>
        <w:t xml:space="preserve">The final system will be presented through an interactive dashboard. The dashboard will show the condition of all simulated substations, current and predicted demand, active alerts, model explanations, federated learning rounds, and recommended actions. It will also make the privacy idea visible by showing that local raw data remains with the substation while only model updates are shared with the federated server. The supplied guide recommends a dashboard, a substation detail view, a federated learning page, and an operator decision-support view. </w:t>
      </w:r>
    </w:p>
    <w:p>
      <w:pPr>
        <w:spacing w:before="120" w:after="80"/>
        <w:jc w:val="center"/>
      </w:pPr>
      <w:r>
        <w:drawing>
          <wp:inline xmlns:a="http://schemas.openxmlformats.org/drawingml/2006/main" xmlns:pic="http://schemas.openxmlformats.org/drawingml/2006/picture">
            <wp:extent cx="5669280" cy="3288765"/>
            <wp:docPr id="2" name="Picture 2"/>
            <wp:cNvGraphicFramePr>
              <a:graphicFrameLocks noChangeAspect="1"/>
            </wp:cNvGraphicFramePr>
            <a:graphic>
              <a:graphicData uri="http://schemas.openxmlformats.org/drawingml/2006/picture">
                <pic:pic>
                  <pic:nvPicPr>
                    <pic:cNvPr id="0" name="gridguard_architecture.png"/>
                    <pic:cNvPicPr/>
                  </pic:nvPicPr>
                  <pic:blipFill>
                    <a:blip r:embed="rId12"/>
                    <a:stretch>
                      <a:fillRect/>
                    </a:stretch>
                  </pic:blipFill>
                  <pic:spPr>
                    <a:xfrm>
                      <a:off x="0" y="0"/>
                      <a:ext cx="5669280" cy="3288765"/>
                    </a:xfrm>
                    <a:prstGeom prst="rect"/>
                  </pic:spPr>
                </pic:pic>
              </a:graphicData>
            </a:graphic>
          </wp:inline>
        </w:drawing>
      </w:r>
    </w:p>
    <w:p>
      <w:pPr>
        <w:spacing w:before="80" w:after="160"/>
        <w:jc w:val="center"/>
      </w:pPr>
      <w:r>
        <w:rPr>
          <w:rFonts w:ascii="Times New Roman" w:hAnsi="Times New Roman" w:eastAsia="Times New Roman"/>
          <w:b w:val="0"/>
          <w:i/>
          <w:color w:val="595959"/>
          <w:sz w:val="20"/>
        </w:rPr>
        <w:t>Figure 1. Proposed GridGuard AI architecture and data flow.</w:t>
      </w:r>
    </w:p>
    <w:p>
      <w:pPr>
        <w:pStyle w:val="Heading1"/>
        <w:spacing w:before="240" w:after="120" w:line="288" w:lineRule="auto"/>
        <w:jc w:val="left"/>
      </w:pPr>
      <w:r>
        <w:rPr>
          <w:rFonts w:ascii="Times New Roman" w:hAnsi="Times New Roman" w:eastAsia="Times New Roman"/>
          <w:b/>
          <w:i w:val="0"/>
          <w:sz w:val="32"/>
        </w:rPr>
        <w:t>2. Objective</w:t>
      </w:r>
    </w:p>
    <w:p>
      <w:pPr>
        <w:widowControl/>
        <w:spacing w:before="0" w:after="200" w:line="288" w:lineRule="auto"/>
        <w:jc w:val="both"/>
      </w:pPr>
      <w:r>
        <w:rPr>
          <w:rFonts w:ascii="Times New Roman" w:hAnsi="Times New Roman" w:eastAsia="Times New Roman"/>
          <w:b w:val="0"/>
          <w:i w:val="0"/>
          <w:sz w:val="24"/>
        </w:rPr>
        <w:t>To design and develop a software-based smart-grid intelligence system that uses federated learning across simulated substations to detect abnormal grid conditions, forecast electricity demand and renewable generation, estimate equipment failure risk, and support resource planning through specialized AI agents. The system will use explainable AI, privacy-aware data handling, and a human-in-the-loop decision process to provide understandable and controlled recommendations through an interactive dashboard.</w:t>
      </w:r>
    </w:p>
    <w:p>
      <w:pPr>
        <w:widowControl/>
        <w:spacing w:before="0" w:after="120" w:line="288" w:lineRule="auto"/>
        <w:jc w:val="both"/>
      </w:pPr>
      <w:r>
        <w:rPr>
          <w:rFonts w:ascii="Times New Roman" w:hAnsi="Times New Roman" w:eastAsia="Times New Roman"/>
          <w:b w:val="0"/>
          <w:i w:val="0"/>
          <w:sz w:val="24"/>
        </w:rPr>
        <w:t>The main objectives are to:</w:t>
      </w:r>
    </w:p>
    <w:p>
      <w:pPr>
        <w:pStyle w:val="ListBullet"/>
        <w:spacing w:after="60" w:line="288" w:lineRule="auto"/>
        <w:ind w:left="360" w:hanging="216"/>
      </w:pPr>
      <w:r>
        <w:rPr>
          <w:rFonts w:ascii="Times New Roman" w:hAnsi="Times New Roman" w:eastAsia="Times New Roman"/>
          <w:b w:val="0"/>
          <w:i w:val="0"/>
          <w:sz w:val="24"/>
        </w:rPr>
        <w:t>Create four simulated substation clients with different local data patterns to represent non-IID conditions.</w:t>
      </w:r>
    </w:p>
    <w:p>
      <w:pPr>
        <w:pStyle w:val="ListBullet"/>
        <w:spacing w:after="60" w:line="288" w:lineRule="auto"/>
        <w:ind w:left="360" w:hanging="216"/>
      </w:pPr>
      <w:r>
        <w:rPr>
          <w:rFonts w:ascii="Times New Roman" w:hAnsi="Times New Roman" w:eastAsia="Times New Roman"/>
          <w:b w:val="0"/>
          <w:i w:val="0"/>
          <w:sz w:val="24"/>
        </w:rPr>
        <w:t>Prepare public electricity time-series data and controlled simulated grid and equipment events for model training and testing.</w:t>
      </w:r>
    </w:p>
    <w:p>
      <w:pPr>
        <w:pStyle w:val="ListBullet"/>
        <w:spacing w:after="60" w:line="288" w:lineRule="auto"/>
        <w:ind w:left="360" w:hanging="216"/>
      </w:pPr>
      <w:r>
        <w:rPr>
          <w:rFonts w:ascii="Times New Roman" w:hAnsi="Times New Roman" w:eastAsia="Times New Roman"/>
          <w:b w:val="0"/>
          <w:i w:val="0"/>
          <w:sz w:val="24"/>
        </w:rPr>
        <w:t>Train local machine learning models and combine them with federated learning so that raw local data is not sent to the central aggregator.</w:t>
      </w:r>
    </w:p>
    <w:p>
      <w:pPr>
        <w:pStyle w:val="ListBullet"/>
        <w:spacing w:after="60" w:line="288" w:lineRule="auto"/>
        <w:ind w:left="360" w:hanging="216"/>
      </w:pPr>
      <w:r>
        <w:rPr>
          <w:rFonts w:ascii="Times New Roman" w:hAnsi="Times New Roman" w:eastAsia="Times New Roman"/>
          <w:b w:val="0"/>
          <w:i w:val="0"/>
          <w:sz w:val="24"/>
        </w:rPr>
        <w:t>Develop Forecast, Fault, Security, and Decision Agents that turn model results into useful operator information.</w:t>
      </w:r>
    </w:p>
    <w:p>
      <w:pPr>
        <w:pStyle w:val="ListBullet"/>
        <w:spacing w:after="60" w:line="288" w:lineRule="auto"/>
        <w:ind w:left="360" w:hanging="216"/>
      </w:pPr>
      <w:r>
        <w:rPr>
          <w:rFonts w:ascii="Times New Roman" w:hAnsi="Times New Roman" w:eastAsia="Times New Roman"/>
          <w:b w:val="0"/>
          <w:i w:val="0"/>
          <w:sz w:val="24"/>
        </w:rPr>
        <w:t>Add Trustworthy AI features such as SHAP-based explanations, confidence information, audit logs, and human approval before any recommended action is accepted.</w:t>
      </w:r>
    </w:p>
    <w:p>
      <w:pPr>
        <w:pStyle w:val="ListBullet"/>
        <w:spacing w:after="60" w:line="288" w:lineRule="auto"/>
        <w:ind w:left="360" w:hanging="216"/>
      </w:pPr>
      <w:r>
        <w:rPr>
          <w:rFonts w:ascii="Times New Roman" w:hAnsi="Times New Roman" w:eastAsia="Times New Roman"/>
          <w:b w:val="0"/>
          <w:i w:val="0"/>
          <w:sz w:val="24"/>
        </w:rPr>
        <w:t>Develop a dashboard that clearly demonstrates model performance, federated rounds, alerts, explanations, and recommended actions.</w:t>
      </w:r>
    </w:p>
    <w:p>
      <w:pPr>
        <w:pStyle w:val="Heading1"/>
        <w:spacing w:before="240" w:after="120" w:line="288" w:lineRule="auto"/>
        <w:jc w:val="left"/>
      </w:pPr>
      <w:r>
        <w:rPr>
          <w:rFonts w:ascii="Times New Roman" w:hAnsi="Times New Roman" w:eastAsia="Times New Roman"/>
          <w:b/>
          <w:i w:val="0"/>
          <w:sz w:val="32"/>
        </w:rPr>
        <w:t>3. Problem Description</w:t>
      </w:r>
    </w:p>
    <w:p>
      <w:pPr>
        <w:widowControl/>
        <w:spacing w:before="0" w:after="120" w:line="288" w:lineRule="auto"/>
        <w:jc w:val="both"/>
      </w:pPr>
      <w:r>
        <w:rPr>
          <w:rFonts w:ascii="Times New Roman" w:hAnsi="Times New Roman" w:eastAsia="Times New Roman"/>
          <w:b w:val="0"/>
          <w:i w:val="0"/>
          <w:sz w:val="24"/>
        </w:rPr>
        <w:t>Smart electric grids generate continuous data from electricity demand, voltage, current, frequency, equipment condition, and other monitoring sources. When these values are checked manually, unusual changes may be missed or detected late. Traditional centralized machine learning can help with prediction, but it requires local data to be collected at one place. For different utilities or substations, sharing complete operational data may not be desirable or possible. A second challenge is that a prediction alone is not enough for an operator. The operator needs to know why an alert was raised and what action should be considered. A third challenge is that different substations may have different demand patterns, making a single simple data split unrealistic. GridGuard AI addresses these issues by simulating multiple substations, keeping their datasets locally, training shared models through federated learning, and using specialized agents for forecasting, fault detection, security monitoring, and decision support. The system will also use explainable AI so that important factors behind a prediction can be shown to the operator. The project will focus on software simulation and public datasets; it will not directly control real electrical equipment. The final goal is a safe and practical decision-support platform that demonstrates how modern AI methods can work together in a smart-grid setting.</w:t>
      </w:r>
    </w:p>
    <w:p>
      <w:pPr>
        <w:pStyle w:val="Heading1"/>
        <w:spacing w:before="240" w:after="120" w:line="288" w:lineRule="auto"/>
        <w:jc w:val="left"/>
      </w:pPr>
      <w:r>
        <w:rPr>
          <w:rFonts w:ascii="Times New Roman" w:hAnsi="Times New Roman" w:eastAsia="Times New Roman"/>
          <w:b/>
          <w:i w:val="0"/>
          <w:sz w:val="32"/>
        </w:rPr>
        <w:t>4. Target Industry</w:t>
      </w:r>
    </w:p>
    <w:p>
      <w:pPr>
        <w:widowControl/>
        <w:spacing w:before="0" w:after="120" w:line="288" w:lineRule="auto"/>
        <w:jc w:val="both"/>
      </w:pPr>
      <w:r>
        <w:rPr>
          <w:rFonts w:ascii="Times New Roman" w:hAnsi="Times New Roman" w:eastAsia="Times New Roman"/>
          <w:b w:val="0"/>
          <w:i w:val="0"/>
          <w:sz w:val="24"/>
        </w:rPr>
        <w:t>Primary industry: Energy and Utilities - Smart Electric Grids.</w:t>
      </w:r>
    </w:p>
    <w:p>
      <w:pPr>
        <w:pStyle w:val="ListBullet"/>
        <w:spacing w:after="60" w:line="288" w:lineRule="auto"/>
        <w:ind w:left="360" w:hanging="216"/>
      </w:pPr>
      <w:r>
        <w:rPr>
          <w:rFonts w:ascii="Times New Roman" w:hAnsi="Times New Roman" w:eastAsia="Times New Roman"/>
          <w:b w:val="0"/>
          <w:i w:val="0"/>
          <w:sz w:val="24"/>
        </w:rPr>
        <w:t>Electric power utilities and distribution companies for grid monitoring and planning support.</w:t>
      </w:r>
    </w:p>
    <w:p>
      <w:pPr>
        <w:pStyle w:val="ListBullet"/>
        <w:spacing w:after="60" w:line="288" w:lineRule="auto"/>
        <w:ind w:left="360" w:hanging="216"/>
      </w:pPr>
      <w:r>
        <w:rPr>
          <w:rFonts w:ascii="Times New Roman" w:hAnsi="Times New Roman" w:eastAsia="Times New Roman"/>
          <w:b w:val="0"/>
          <w:i w:val="0"/>
          <w:sz w:val="24"/>
        </w:rPr>
        <w:t>Substation monitoring and maintenance teams for early warning and equipment risk awareness.</w:t>
      </w:r>
    </w:p>
    <w:p>
      <w:pPr>
        <w:pStyle w:val="ListBullet"/>
        <w:spacing w:after="60" w:line="288" w:lineRule="auto"/>
        <w:ind w:left="360" w:hanging="216"/>
      </w:pPr>
      <w:r>
        <w:rPr>
          <w:rFonts w:ascii="Times New Roman" w:hAnsi="Times New Roman" w:eastAsia="Times New Roman"/>
          <w:b w:val="0"/>
          <w:i w:val="0"/>
          <w:sz w:val="24"/>
        </w:rPr>
        <w:t>Renewable energy operations for generation forecasting and better planning of variable supply.</w:t>
      </w:r>
    </w:p>
    <w:p>
      <w:pPr>
        <w:pStyle w:val="ListBullet"/>
        <w:spacing w:after="60" w:line="288" w:lineRule="auto"/>
        <w:ind w:left="360" w:hanging="216"/>
      </w:pPr>
      <w:r>
        <w:rPr>
          <w:rFonts w:ascii="Times New Roman" w:hAnsi="Times New Roman" w:eastAsia="Times New Roman"/>
          <w:b w:val="0"/>
          <w:i w:val="0"/>
          <w:sz w:val="24"/>
        </w:rPr>
        <w:t>Energy management and grid analytics teams for demand forecasting, anomaly detection, and resource planning.</w:t>
      </w:r>
    </w:p>
    <w:p>
      <w:pPr>
        <w:pStyle w:val="ListBullet"/>
        <w:spacing w:after="60" w:line="288" w:lineRule="auto"/>
        <w:ind w:left="360" w:hanging="216"/>
      </w:pPr>
      <w:r>
        <w:rPr>
          <w:rFonts w:ascii="Times New Roman" w:hAnsi="Times New Roman" w:eastAsia="Times New Roman"/>
          <w:b w:val="0"/>
          <w:i w:val="0"/>
          <w:sz w:val="24"/>
        </w:rPr>
        <w:t>Research and training environments where safe software-based smart-grid simulations are needed.</w:t>
      </w:r>
    </w:p>
    <w:p>
      <w:pPr>
        <w:widowControl/>
        <w:spacing w:before="0" w:after="120" w:line="288" w:lineRule="auto"/>
        <w:jc w:val="both"/>
      </w:pPr>
      <w:r>
        <w:rPr>
          <w:rFonts w:ascii="Times New Roman" w:hAnsi="Times New Roman" w:eastAsia="Times New Roman"/>
          <w:b w:val="0"/>
          <w:i w:val="0"/>
          <w:sz w:val="24"/>
        </w:rPr>
        <w:t>The project is designed as decision support rather than direct grid control. This makes it suitable as an academic prototype while still representing a realistic software workflow for the energy sector.</w:t>
      </w:r>
    </w:p>
    <w:p>
      <w:pPr>
        <w:pStyle w:val="Heading1"/>
        <w:spacing w:before="240" w:after="120" w:line="288" w:lineRule="auto"/>
        <w:jc w:val="left"/>
      </w:pPr>
      <w:r>
        <w:rPr>
          <w:rFonts w:ascii="Times New Roman" w:hAnsi="Times New Roman" w:eastAsia="Times New Roman"/>
          <w:b/>
          <w:i w:val="0"/>
          <w:sz w:val="32"/>
        </w:rPr>
        <w:t>5. Methodology</w:t>
      </w:r>
    </w:p>
    <w:p>
      <w:pPr>
        <w:widowControl/>
        <w:spacing w:before="0" w:after="120" w:line="288" w:lineRule="auto"/>
        <w:jc w:val="both"/>
      </w:pPr>
      <w:r>
        <w:rPr>
          <w:rFonts w:ascii="Times New Roman" w:hAnsi="Times New Roman" w:eastAsia="Times New Roman"/>
          <w:b w:val="0"/>
          <w:i w:val="0"/>
          <w:sz w:val="24"/>
        </w:rPr>
        <w:t xml:space="preserve">The project will follow an incremental software and machine learning development process. The first stage will define the data model and simulation rules. The second stage will build and test local machine learning models. The third stage will add federated learning, followed by the agent layer, explainability, API services, and the dashboard. Finally, the system will be evaluated using controlled experiments. The methodology is based on the supplied FYP guide, especially its flow of public data to simulated substations, local models, federated aggregation, agents, explainability, and dashboard monitoring. </w:t>
      </w:r>
    </w:p>
    <w:p>
      <w:pPr>
        <w:pStyle w:val="Heading2"/>
        <w:spacing w:before="160" w:after="120" w:line="288" w:lineRule="auto"/>
        <w:jc w:val="left"/>
      </w:pPr>
      <w:r>
        <w:rPr>
          <w:rFonts w:ascii="Times New Roman" w:hAnsi="Times New Roman" w:eastAsia="Times New Roman"/>
          <w:b/>
          <w:i w:val="0"/>
          <w:sz w:val="28"/>
        </w:rPr>
        <w:t>5.1 Overall System Approach</w:t>
      </w:r>
    </w:p>
    <w:p>
      <w:pPr>
        <w:pStyle w:val="ListNumber"/>
        <w:spacing w:after="60" w:line="288" w:lineRule="auto"/>
        <w:ind w:left="360" w:hanging="216"/>
      </w:pPr>
      <w:r>
        <w:rPr>
          <w:rFonts w:ascii="Times New Roman" w:hAnsi="Times New Roman" w:eastAsia="Times New Roman"/>
          <w:b w:val="0"/>
          <w:i w:val="0"/>
          <w:sz w:val="24"/>
        </w:rPr>
        <w:t>Collect and review public electricity time-series data. The initial dataset will be the UCI ElectricityLoadDiagrams20112014 dataset because it contains 15-minute electricity consumption records for 370 clients. A second public electricity dataset, such as the UCI Individual Household Electric Power Consumption dataset, may be used for additional electrical-feature experiments. [5][6]</w:t>
      </w:r>
    </w:p>
    <w:p>
      <w:pPr>
        <w:pStyle w:val="ListNumber"/>
        <w:spacing w:after="60" w:line="288" w:lineRule="auto"/>
        <w:ind w:left="360" w:hanging="216"/>
      </w:pPr>
      <w:r>
        <w:rPr>
          <w:rFonts w:ascii="Times New Roman" w:hAnsi="Times New Roman" w:eastAsia="Times New Roman"/>
          <w:b w:val="0"/>
          <w:i w:val="0"/>
          <w:sz w:val="24"/>
        </w:rPr>
        <w:t>Clean the raw data, handle missing values where required, standardize time formats, create rolling and calendar features, and split the data into training, validation, and testing periods.</w:t>
      </w:r>
    </w:p>
    <w:p>
      <w:pPr>
        <w:pStyle w:val="ListNumber"/>
        <w:spacing w:after="60" w:line="288" w:lineRule="auto"/>
        <w:ind w:left="360" w:hanging="216"/>
      </w:pPr>
      <w:r>
        <w:rPr>
          <w:rFonts w:ascii="Times New Roman" w:hAnsi="Times New Roman" w:eastAsia="Times New Roman"/>
          <w:b w:val="0"/>
          <w:i w:val="0"/>
          <w:sz w:val="24"/>
        </w:rPr>
        <w:t>Create four simulated substations with different data distributions rather than making a random split. The planned profiles are residential-heavy, industrial-heavy, renewable-heavy, and mixed demand.</w:t>
      </w:r>
    </w:p>
    <w:p>
      <w:pPr>
        <w:pStyle w:val="ListNumber"/>
        <w:spacing w:after="60" w:line="288" w:lineRule="auto"/>
        <w:ind w:left="360" w:hanging="216"/>
      </w:pPr>
      <w:r>
        <w:rPr>
          <w:rFonts w:ascii="Times New Roman" w:hAnsi="Times New Roman" w:eastAsia="Times New Roman"/>
          <w:b w:val="0"/>
          <w:i w:val="0"/>
          <w:sz w:val="24"/>
        </w:rPr>
        <w:t>Train local models at each substation. Local training means that the client uses only its own local data during the training step.</w:t>
      </w:r>
    </w:p>
    <w:p>
      <w:pPr>
        <w:pStyle w:val="ListNumber"/>
        <w:spacing w:after="60" w:line="288" w:lineRule="auto"/>
        <w:ind w:left="360" w:hanging="216"/>
      </w:pPr>
      <w:r>
        <w:rPr>
          <w:rFonts w:ascii="Times New Roman" w:hAnsi="Times New Roman" w:eastAsia="Times New Roman"/>
          <w:b w:val="0"/>
          <w:i w:val="0"/>
          <w:sz w:val="24"/>
        </w:rPr>
        <w:t>Run federated learning rounds using the Flower framework and the FedAvg idea. The server sends the current global model to clients, receives model updates, aggregates them, and produces a new global model. [1][2]</w:t>
      </w:r>
    </w:p>
    <w:p>
      <w:pPr>
        <w:pStyle w:val="ListNumber"/>
        <w:spacing w:after="60" w:line="288" w:lineRule="auto"/>
        <w:ind w:left="360" w:hanging="216"/>
      </w:pPr>
      <w:r>
        <w:rPr>
          <w:rFonts w:ascii="Times New Roman" w:hAnsi="Times New Roman" w:eastAsia="Times New Roman"/>
          <w:b w:val="0"/>
          <w:i w:val="0"/>
          <w:sz w:val="24"/>
        </w:rPr>
        <w:t>Run the models at the simulated edge nodes for local inference. Predictions and alerts can be sent to the application layer without sending the complete raw training dataset.</w:t>
      </w:r>
    </w:p>
    <w:p>
      <w:pPr>
        <w:pStyle w:val="ListNumber"/>
        <w:spacing w:after="60" w:line="288" w:lineRule="auto"/>
        <w:ind w:left="360" w:hanging="216"/>
      </w:pPr>
      <w:r>
        <w:rPr>
          <w:rFonts w:ascii="Times New Roman" w:hAnsi="Times New Roman" w:eastAsia="Times New Roman"/>
          <w:b w:val="0"/>
          <w:i w:val="0"/>
          <w:sz w:val="24"/>
        </w:rPr>
        <w:t>Pass the model outputs to the specialized agents. The agents will use their own responsibilities instead of asking one model to perform every task.</w:t>
      </w:r>
    </w:p>
    <w:p>
      <w:pPr>
        <w:pStyle w:val="ListNumber"/>
        <w:spacing w:after="60" w:line="288" w:lineRule="auto"/>
        <w:ind w:left="360" w:hanging="216"/>
      </w:pPr>
      <w:r>
        <w:rPr>
          <w:rFonts w:ascii="Times New Roman" w:hAnsi="Times New Roman" w:eastAsia="Times New Roman"/>
          <w:b w:val="0"/>
          <w:i w:val="0"/>
          <w:sz w:val="24"/>
        </w:rPr>
        <w:t>Generate explanations using SHAP where applicable so the operator can see the main input features that affected a prediction. [3]</w:t>
      </w:r>
    </w:p>
    <w:p>
      <w:pPr>
        <w:pStyle w:val="ListNumber"/>
        <w:spacing w:after="60" w:line="288" w:lineRule="auto"/>
        <w:ind w:left="360" w:hanging="216"/>
      </w:pPr>
      <w:r>
        <w:rPr>
          <w:rFonts w:ascii="Times New Roman" w:hAnsi="Times New Roman" w:eastAsia="Times New Roman"/>
          <w:b w:val="0"/>
          <w:i w:val="0"/>
          <w:sz w:val="24"/>
        </w:rPr>
        <w:t>Use the Decision Agent to combine forecasts, risks, and security alerts and prepare a recommendation. The recommendation is advisory and requires human approval.</w:t>
      </w:r>
    </w:p>
    <w:p>
      <w:pPr>
        <w:pStyle w:val="ListNumber"/>
        <w:spacing w:after="60" w:line="288" w:lineRule="auto"/>
        <w:ind w:left="360" w:hanging="216"/>
      </w:pPr>
      <w:r>
        <w:rPr>
          <w:rFonts w:ascii="Times New Roman" w:hAnsi="Times New Roman" w:eastAsia="Times New Roman"/>
          <w:b w:val="0"/>
          <w:i w:val="0"/>
          <w:sz w:val="24"/>
        </w:rPr>
        <w:t>Display all important information through the web dashboard and record key decisions and events in an audit log.</w:t>
      </w:r>
    </w:p>
    <w:p>
      <w:pPr>
        <w:pStyle w:val="Heading2"/>
        <w:spacing w:before="160" w:after="120" w:line="288" w:lineRule="auto"/>
        <w:jc w:val="left"/>
      </w:pPr>
      <w:r>
        <w:rPr>
          <w:rFonts w:ascii="Times New Roman" w:hAnsi="Times New Roman" w:eastAsia="Times New Roman"/>
          <w:b/>
          <w:i w:val="0"/>
          <w:sz w:val="28"/>
        </w:rPr>
        <w:t>5.2 Data Sources and Dataset Preparation</w:t>
      </w:r>
    </w:p>
    <w:p>
      <w:pPr>
        <w:widowControl/>
        <w:spacing w:before="0" w:after="120" w:line="288" w:lineRule="auto"/>
        <w:jc w:val="both"/>
      </w:pPr>
      <w:r>
        <w:rPr>
          <w:rFonts w:ascii="Times New Roman" w:hAnsi="Times New Roman" w:eastAsia="Times New Roman"/>
          <w:b w:val="0"/>
          <w:i w:val="0"/>
          <w:sz w:val="24"/>
        </w:rPr>
        <w:t>The project will not depend on collecting real electrical data from a power company. The main training source will be public electricity time-series data. The UCI ElectricityLoadDiagrams20112014 dataset contains consumption from 370 points or clients at 15-minute intervals, making it suitable for demand-forecasting experiments and for creating multiple simulated clients. [5] The UCI Individual Household Electric Power Consumption dataset contains almost four years of one-minute measurements and several electrical quantities, including active power, reactive power, voltage, current intensity, and sub-metering values. It can be used for additional abnormal-consumption or electrical-pattern experiments. [6]</w:t>
      </w:r>
    </w:p>
    <w:p>
      <w:pPr>
        <w:widowControl/>
        <w:spacing w:before="0" w:after="120" w:line="288" w:lineRule="auto"/>
        <w:jc w:val="both"/>
      </w:pPr>
      <w:r>
        <w:rPr>
          <w:rFonts w:ascii="Times New Roman" w:hAnsi="Times New Roman" w:eastAsia="Times New Roman"/>
          <w:b w:val="0"/>
          <w:i w:val="0"/>
          <w:sz w:val="24"/>
        </w:rPr>
        <w:t>Equipment variables that are not present in the selected public load dataset, such as transformer temperature, vibration, and oil temperature, will be created through controlled simulation. The simulation will define normal ranges and add carefully designed abnormal conditions such as gradual temperature increase, rising vibration, overload, or sudden electrical change. Each inserted scenario will have a known label for evaluation. This keeps the prototype safe and allows the team to show predictive-maintenance behavior without connecting to a real transformer.</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288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Data source</w:t>
            </w:r>
          </w:p>
        </w:tc>
        <w:tc>
          <w:tcPr>
            <w:tcW w:type="dxa" w:w="288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Main use</w:t>
            </w:r>
          </w:p>
        </w:tc>
        <w:tc>
          <w:tcPr>
            <w:tcW w:type="dxa" w:w="288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Examples of inputs</w:t>
            </w:r>
          </w:p>
        </w:tc>
        <w:tc>
          <w:tcPr>
            <w:tcW w:type="dxa" w:w="3168"/>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How it enters the system</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Public electricity load data [5]</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Demand forecasting</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Timestamp, client load, time features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Cleaned and partitioned into simulated clients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Public household electricity data [6]</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Electrical pattern and anomaly experiments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Active power, reactive power, voltage, current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Used for feature and anomaly experiments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Simulated equipment data</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Failure-risk demonstration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Temperature, vibration, load, oil temperature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Generated locally with normal and fault scenarios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Simulated grid events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Fault and security testing</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Overload, voltage abnormality, current abnormality, communication/operational anomaly</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Injected into controlled test scenarios</w:t>
            </w:r>
          </w:p>
        </w:tc>
      </w:tr>
    </w:tbl>
    <w:p>
      <w:pPr>
        <w:spacing w:after="40"/>
      </w:pPr>
    </w:p>
    <w:p>
      <w:pPr>
        <w:pStyle w:val="Heading2"/>
        <w:spacing w:before="160" w:after="120" w:line="288" w:lineRule="auto"/>
        <w:jc w:val="left"/>
      </w:pPr>
      <w:r>
        <w:rPr>
          <w:rFonts w:ascii="Times New Roman" w:hAnsi="Times New Roman" w:eastAsia="Times New Roman"/>
          <w:b/>
          <w:i w:val="0"/>
          <w:sz w:val="28"/>
        </w:rPr>
        <w:t>5.3 Simulated Substations and Non-IID Data</w:t>
      </w:r>
    </w:p>
    <w:p>
      <w:pPr>
        <w:widowControl/>
        <w:spacing w:before="0" w:after="120" w:line="288" w:lineRule="auto"/>
        <w:jc w:val="both"/>
      </w:pPr>
      <w:r>
        <w:rPr>
          <w:rFonts w:ascii="Times New Roman" w:hAnsi="Times New Roman" w:eastAsia="Times New Roman"/>
          <w:b w:val="0"/>
          <w:i w:val="0"/>
          <w:sz w:val="24"/>
        </w:rPr>
        <w:t xml:space="preserve">The project will simulate four independent substations in software. They will not be four physical locations. Each substation will run as a separate process or client program and will have its own local dataset. The data distributions will intentionally differ. For example, the residential-heavy client can show stronger evening peaks, the industrial-heavy client can show long high-load periods during working hours, the renewable-heavy client can have daytime generation variation, and the mixed client can combine several patterns. This is the non-IID condition described in the supplied guide. </w:t>
      </w:r>
    </w:p>
    <w:p>
      <w:pPr>
        <w:widowControl/>
        <w:spacing w:before="0" w:after="120" w:line="288" w:lineRule="auto"/>
        <w:jc w:val="both"/>
      </w:pPr>
      <w:r>
        <w:rPr>
          <w:rFonts w:ascii="Times New Roman" w:hAnsi="Times New Roman" w:eastAsia="Times New Roman"/>
          <w:b w:val="0"/>
          <w:i w:val="0"/>
          <w:sz w:val="24"/>
        </w:rPr>
        <w:t>The reason for using non-IID data is to make the federated experiment more meaningful. A simple random split could make all clients look nearly identical. In the proposed system, the clients will have real differences, so the team can compare local model behavior, federated model behavior, and the effect of different client distributions.</w:t>
      </w:r>
    </w:p>
    <w:p>
      <w:pPr>
        <w:pStyle w:val="Heading2"/>
        <w:spacing w:before="160" w:after="120" w:line="288" w:lineRule="auto"/>
        <w:jc w:val="left"/>
      </w:pPr>
      <w:r>
        <w:rPr>
          <w:rFonts w:ascii="Times New Roman" w:hAnsi="Times New Roman" w:eastAsia="Times New Roman"/>
          <w:b/>
          <w:i w:val="0"/>
          <w:sz w:val="28"/>
        </w:rPr>
        <w:t>5.4 Machine Learning Tasks and Models</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223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AI task</w:t>
            </w:r>
          </w:p>
        </w:tc>
        <w:tc>
          <w:tcPr>
            <w:tcW w:type="dxa" w:w="324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Proposed model approach</w:t>
            </w:r>
          </w:p>
        </w:tc>
        <w:tc>
          <w:tcPr>
            <w:tcW w:type="dxa" w:w="324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Main output</w:t>
            </w:r>
          </w:p>
        </w:tc>
        <w:tc>
          <w:tcPr>
            <w:tcW w:type="dxa" w:w="266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Evaluation</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Demand forecasting</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LSTM/GRU or another compact time-series regressor in PyTorch</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Next-period / next-hour demand estimate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MAE, RMSE, MAPE</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Renewable generation forecasting</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LSTM/GRU when a suitable public renewable dataset is available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Predicted renewable generation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MAE, RMSE, MAPE</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classification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Compact neural network or scikit-learn classifier</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Normal / fault class and probability</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Precision, Recall, F1, ROC-AUC</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Equipment failure-risk estimation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Classification model using simulated equipment features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Failure-risk probability and risk level</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Precision, Recall, F1, calibration check</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Operational anomaly detection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Autoencoder or Isolation Forest baseline, depending on data form</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Anomaly score and alert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Precision, Recall, F1, false-alarm rate</w:t>
            </w:r>
          </w:p>
        </w:tc>
      </w:tr>
    </w:tbl>
    <w:p>
      <w:pPr>
        <w:spacing w:after="40"/>
      </w:pPr>
    </w:p>
    <w:p>
      <w:pPr>
        <w:widowControl/>
        <w:spacing w:before="0" w:after="120" w:line="288" w:lineRule="auto"/>
        <w:jc w:val="both"/>
      </w:pPr>
      <w:r>
        <w:rPr>
          <w:rFonts w:ascii="Times New Roman" w:hAnsi="Times New Roman" w:eastAsia="Times New Roman"/>
          <w:b w:val="0"/>
          <w:i w:val="0"/>
          <w:sz w:val="24"/>
        </w:rPr>
        <w:t>The final model choice will be fixed after an initial baseline experiment in FYP-I. The proposal deliberately keeps the model family compact because the research focus is the complete federated and agentic system, not the use of the largest possible neural network.</w:t>
      </w:r>
    </w:p>
    <w:p>
      <w:pPr>
        <w:pStyle w:val="Heading2"/>
        <w:spacing w:before="160" w:after="120" w:line="288" w:lineRule="auto"/>
        <w:jc w:val="left"/>
      </w:pPr>
      <w:r>
        <w:rPr>
          <w:rFonts w:ascii="Times New Roman" w:hAnsi="Times New Roman" w:eastAsia="Times New Roman"/>
          <w:b/>
          <w:i w:val="0"/>
          <w:sz w:val="28"/>
        </w:rPr>
        <w:t>5.5 Federated Learning Process</w:t>
      </w:r>
    </w:p>
    <w:p>
      <w:pPr>
        <w:widowControl/>
        <w:spacing w:before="0" w:after="120" w:line="288" w:lineRule="auto"/>
        <w:jc w:val="both"/>
      </w:pPr>
      <w:r>
        <w:rPr>
          <w:rFonts w:ascii="Times New Roman" w:hAnsi="Times New Roman" w:eastAsia="Times New Roman"/>
          <w:b w:val="0"/>
          <w:i w:val="0"/>
          <w:sz w:val="24"/>
        </w:rPr>
        <w:t>Federated learning will be implemented using Flower. A global model will first be initialized. During each round, the server sends the current model to the participating simulated substations. Each substation trains the model on its own local data and returns a model update rather than its raw records. The server aggregates these updates using the Federated Averaging (FedAvg) approach and produces the next global model. This cycle continues for a fixed number of rounds or until the model performance becomes stable. The basic idea follows the original federated learning work by McMahan et al. and the Flower research framework described by Beutel et al. [1][2]</w:t>
      </w:r>
    </w:p>
    <w:p>
      <w:pPr>
        <w:widowControl/>
        <w:spacing w:before="0" w:after="120" w:line="288" w:lineRule="auto"/>
        <w:jc w:val="both"/>
      </w:pPr>
      <w:r>
        <w:rPr>
          <w:rFonts w:ascii="Times New Roman" w:hAnsi="Times New Roman" w:eastAsia="Times New Roman"/>
          <w:b w:val="0"/>
          <w:i w:val="0"/>
          <w:sz w:val="24"/>
        </w:rPr>
        <w:t>The dashboard will record federated round number, participating clients, local performance, global performance, training time, and communication count. A second experiment will compare centralized training, in which all data is combined, with federated training. The comparison will focus on performance and the amount of raw data shared. The project will state clearly that avoiding raw-data transfer is the privacy property demonstrated by the prototype; federated learning alone is not treated as a complete privacy guarantee.</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129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Step</w:t>
            </w:r>
          </w:p>
        </w:tc>
        <w:tc>
          <w:tcPr>
            <w:tcW w:type="dxa" w:w="446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Substation A-D</w:t>
            </w:r>
          </w:p>
        </w:tc>
        <w:tc>
          <w:tcPr>
            <w:tcW w:type="dxa" w:w="489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Federated server</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1</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Receive Global Model V1</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Send current global model V1</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2</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Train locally on local data</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Wait for client updates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3</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Send model update only</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Receive updates from participating clients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4</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Wait for next round</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Aggregate updates with FedAvg -&gt; Global Model V2</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5</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Train again using V2</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Send V2 to clients</w:t>
            </w:r>
          </w:p>
        </w:tc>
      </w:tr>
    </w:tbl>
    <w:p>
      <w:pPr>
        <w:spacing w:after="40"/>
      </w:pPr>
    </w:p>
    <w:p>
      <w:pPr>
        <w:spacing w:before="80" w:after="160"/>
        <w:jc w:val="center"/>
      </w:pPr>
      <w:r>
        <w:rPr>
          <w:rFonts w:ascii="Times New Roman" w:hAnsi="Times New Roman" w:eastAsia="Times New Roman"/>
          <w:b w:val="0"/>
          <w:i/>
          <w:color w:val="595959"/>
          <w:sz w:val="20"/>
        </w:rPr>
        <w:t>Table 1. Example of one federated learning round.</w:t>
      </w:r>
    </w:p>
    <w:p>
      <w:pPr>
        <w:pStyle w:val="Heading2"/>
        <w:spacing w:before="160" w:after="120" w:line="288" w:lineRule="auto"/>
        <w:jc w:val="left"/>
      </w:pPr>
      <w:r>
        <w:rPr>
          <w:rFonts w:ascii="Times New Roman" w:hAnsi="Times New Roman" w:eastAsia="Times New Roman"/>
          <w:b/>
          <w:i w:val="0"/>
          <w:sz w:val="28"/>
        </w:rPr>
        <w:t>5.6 Edge AI Design</w:t>
      </w:r>
    </w:p>
    <w:p>
      <w:pPr>
        <w:widowControl/>
        <w:spacing w:before="0" w:after="120" w:line="288" w:lineRule="auto"/>
        <w:jc w:val="both"/>
      </w:pPr>
      <w:r>
        <w:rPr>
          <w:rFonts w:ascii="Times New Roman" w:hAnsi="Times New Roman" w:eastAsia="Times New Roman"/>
          <w:b w:val="0"/>
          <w:i w:val="0"/>
          <w:sz w:val="24"/>
        </w:rPr>
        <w:t>In this project, a simulated substation acts as an edge client. Local preprocessing, local model training, and local inference are performed at that client. This reflects the idea that intelligence can be placed closer to the data source instead of sending every raw record to a central application. The edge node will expose a small service interface for receiving the global model, training locally, producing predictions, and sending model updates. Docker will be used to run multiple clients on one computer so that the demonstration can show several substations operating at the same time.</w:t>
      </w:r>
    </w:p>
    <w:p>
      <w:pPr>
        <w:pStyle w:val="Heading2"/>
        <w:spacing w:before="160" w:after="120" w:line="288" w:lineRule="auto"/>
        <w:jc w:val="left"/>
      </w:pPr>
      <w:r>
        <w:rPr>
          <w:rFonts w:ascii="Times New Roman" w:hAnsi="Times New Roman" w:eastAsia="Times New Roman"/>
          <w:b/>
          <w:i w:val="0"/>
          <w:sz w:val="28"/>
        </w:rPr>
        <w:t>5.7 Agentic AI Architecture</w:t>
      </w:r>
    </w:p>
    <w:p>
      <w:pPr>
        <w:widowControl/>
        <w:spacing w:before="0" w:after="120" w:line="288" w:lineRule="auto"/>
        <w:jc w:val="both"/>
      </w:pPr>
      <w:r>
        <w:rPr>
          <w:rFonts w:ascii="Times New Roman" w:hAnsi="Times New Roman" w:eastAsia="Times New Roman"/>
          <w:b w:val="0"/>
          <w:i w:val="0"/>
          <w:sz w:val="24"/>
        </w:rPr>
        <w:t>The agent layer will be goal-based and tool-using. Each agent has a specific responsibility and receives structured outputs from the machine learning services. The agents do not directly control physical equipment. Their role is to monitor, analyze, coordinate, and recommend.</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194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Agent</w:t>
            </w:r>
          </w:p>
        </w:tc>
        <w:tc>
          <w:tcPr>
            <w:tcW w:type="dxa" w:w="266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Main question</w:t>
            </w:r>
          </w:p>
        </w:tc>
        <w:tc>
          <w:tcPr>
            <w:tcW w:type="dxa" w:w="403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Inputs</w:t>
            </w:r>
          </w:p>
        </w:tc>
        <w:tc>
          <w:tcPr>
            <w:tcW w:type="dxa" w:w="345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7"/>
              </w:rPr>
            </w:r>
            <w:r>
              <w:rPr>
                <w:rFonts w:ascii="Times New Roman" w:hAnsi="Times New Roman" w:eastAsia="Times New Roman"/>
                <w:b/>
                <w:i w:val="0"/>
                <w:color w:val="FFFFFF"/>
                <w:sz w:val="17"/>
              </w:rPr>
              <w:t>Output</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Forecast Agent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What is likely to happen next?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Load history, time features, renewable history</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Demand/generation forecast and trend</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Fault Agent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Is equipment or the grid showing a fault?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Voltage, current, load, temperature, vibration, model score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Fault class, risk probability, severity</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Security Agent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Is the observed behavior suspicious or abnormal?</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Operational patterns, anomaly score, event logs, communication events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Security/operational anomaly alert</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Decision Agent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What should the operator consider doing?</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Forecast, fault risk, security alert, asset state, predefined rules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7"/>
              </w:rPr>
            </w:r>
            <w:r>
              <w:rPr>
                <w:rFonts w:ascii="Times New Roman" w:hAnsi="Times New Roman" w:eastAsia="Times New Roman"/>
                <w:b w:val="0"/>
                <w:i w:val="0"/>
                <w:color w:val="000000"/>
                <w:sz w:val="17"/>
              </w:rPr>
              <w:t>Prioritized recommendation and reason</w:t>
            </w:r>
          </w:p>
        </w:tc>
      </w:tr>
    </w:tbl>
    <w:p>
      <w:pPr>
        <w:spacing w:after="40"/>
      </w:pPr>
    </w:p>
    <w:p>
      <w:pPr>
        <w:widowControl/>
        <w:spacing w:before="0" w:after="120" w:line="288" w:lineRule="auto"/>
        <w:jc w:val="both"/>
      </w:pPr>
      <w:r>
        <w:rPr>
          <w:rFonts w:ascii="Times New Roman" w:hAnsi="Times New Roman" w:eastAsia="Times New Roman"/>
          <w:b w:val="0"/>
          <w:i w:val="0"/>
          <w:sz w:val="24"/>
        </w:rPr>
        <w:t xml:space="preserve">The Decision Agent will use controlled rules so that high-risk recommendations are traceable. For example, if the Fault Agent reports a high equipment risk and the Forecast Agent reports a near-term load increase, the Decision Agent may recommend an inspection before the expected increase. The supplied guide gives the same style of example, where a high failure risk and a load increase lead to an inspection recommendation. </w:t>
      </w:r>
    </w:p>
    <w:p>
      <w:pPr>
        <w:pStyle w:val="Heading2"/>
        <w:spacing w:before="160" w:after="120" w:line="288" w:lineRule="auto"/>
        <w:jc w:val="left"/>
      </w:pPr>
      <w:r>
        <w:rPr>
          <w:rFonts w:ascii="Times New Roman" w:hAnsi="Times New Roman" w:eastAsia="Times New Roman"/>
          <w:b/>
          <w:i w:val="0"/>
          <w:sz w:val="28"/>
        </w:rPr>
        <w:t>5.8 Trustworthy AI and Explainability</w:t>
      </w:r>
    </w:p>
    <w:p>
      <w:pPr>
        <w:widowControl/>
        <w:spacing w:before="0" w:after="120" w:line="288" w:lineRule="auto"/>
        <w:jc w:val="both"/>
      </w:pPr>
      <w:r>
        <w:rPr>
          <w:rFonts w:ascii="Times New Roman" w:hAnsi="Times New Roman" w:eastAsia="Times New Roman"/>
          <w:b w:val="0"/>
          <w:i w:val="0"/>
          <w:sz w:val="24"/>
        </w:rPr>
        <w:t xml:space="preserve">Trustworthy AI in GridGuard AI will focus on five practical controls. First, every important prediction will include a confidence or risk value where the underlying model supports it. Second, SHAP will be used to show the main features behind selected predictions, for example temperature, vibration, load, and historical behavior. SHAP assigns feature-importance values to individual predictions and is designed to help users understand why a model produced a result. [3] Third, the dashboard will keep an audit trail of alerts, model versions, agent recommendations, and operator actions. Fourth, the system will use threshold-based fallback rules when a model is unavailable or when confidence is too low. Fifth, the system will keep the final action with a human operator. The project guide explicitly describes this human-in-the-loop principle for operator decision support. </w:t>
      </w:r>
    </w:p>
    <w:p>
      <w:pPr>
        <w:widowControl/>
        <w:spacing w:before="0" w:after="120" w:line="288" w:lineRule="auto"/>
        <w:jc w:val="both"/>
      </w:pPr>
      <w:r>
        <w:rPr>
          <w:rFonts w:ascii="Times New Roman" w:hAnsi="Times New Roman" w:eastAsia="Times New Roman"/>
          <w:b w:val="0"/>
          <w:i w:val="0"/>
          <w:sz w:val="24"/>
        </w:rPr>
        <w:t>The explanation view will be designed for a non-ML user. Instead of showing only a mathematical score, the screen will present a short statement such as: "Transformer T-17 has an estimated high failure risk. The main contributing signals are abnormal temperature, increased vibration, and rising load." The feature contributions will be displayed as a simple ranked list or bar chart. The proposal treats explanation as decision support, not as proof that the model is always correct.</w:t>
      </w:r>
    </w:p>
    <w:p>
      <w:pPr>
        <w:pStyle w:val="Heading2"/>
        <w:spacing w:before="160" w:after="120" w:line="288" w:lineRule="auto"/>
        <w:jc w:val="left"/>
      </w:pPr>
      <w:r>
        <w:rPr>
          <w:rFonts w:ascii="Times New Roman" w:hAnsi="Times New Roman" w:eastAsia="Times New Roman"/>
          <w:b/>
          <w:i w:val="0"/>
          <w:sz w:val="28"/>
        </w:rPr>
        <w:t>5.9 Smart-Grid Messaging and API Layer</w:t>
      </w:r>
    </w:p>
    <w:p>
      <w:pPr>
        <w:widowControl/>
        <w:spacing w:before="0" w:after="120" w:line="288" w:lineRule="auto"/>
        <w:jc w:val="both"/>
      </w:pPr>
      <w:r>
        <w:rPr>
          <w:rFonts w:ascii="Times New Roman" w:hAnsi="Times New Roman" w:eastAsia="Times New Roman"/>
          <w:b w:val="0"/>
          <w:i w:val="0"/>
          <w:sz w:val="24"/>
        </w:rPr>
        <w:t>MQTT may be used as the lightweight message layer for simulated sensor and event messages. MQTT is a client-server publish/subscribe protocol designed for lightweight machine-to-machine and IoT communication. [4] A simulated substation can publish readings such as load, voltage, current, temperature, or anomaly events to a topic. The API layer will be developed with FastAPI and will expose endpoints for model status, forecasts, alerts, agent recommendations, and dashboard data. MQTT is a supporting simulation channel; the core federated training flow remains controlled by the federated learning framework.</w:t>
      </w:r>
    </w:p>
    <w:p>
      <w:pPr>
        <w:pStyle w:val="Heading2"/>
        <w:spacing w:before="160" w:after="120" w:line="288" w:lineRule="auto"/>
        <w:jc w:val="left"/>
      </w:pPr>
      <w:r>
        <w:rPr>
          <w:rFonts w:ascii="Times New Roman" w:hAnsi="Times New Roman" w:eastAsia="Times New Roman"/>
          <w:b/>
          <w:i w:val="0"/>
          <w:sz w:val="28"/>
        </w:rPr>
        <w:t>5.10 Dashboard and Demonstration</w:t>
      </w:r>
    </w:p>
    <w:p>
      <w:pPr>
        <w:widowControl/>
        <w:spacing w:before="0" w:after="120" w:line="288" w:lineRule="auto"/>
        <w:jc w:val="both"/>
      </w:pPr>
      <w:r>
        <w:rPr>
          <w:rFonts w:ascii="Times New Roman" w:hAnsi="Times New Roman" w:eastAsia="Times New Roman"/>
          <w:b w:val="0"/>
          <w:i w:val="0"/>
          <w:sz w:val="24"/>
        </w:rPr>
        <w:t xml:space="preserve">The dashboard will have four main views. The first is the Grid Overview page, showing all four simulated substations, system demand, predicted demand, grid health, and active alerts. The second is a Substation Detail page, showing local readings, equipment status, risk, explanation, and recommendation. The third is the Federated Learning page, showing rounds, client participation, local versus global performance, and the fact that only updates are sent to the aggregator. The fourth is the Decision Support page, showing how the Forecast, Fault, and Security Agents produced a combined recommendation. These views are based on the demonstration screens described in the supplied guide. </w:t>
      </w:r>
    </w:p>
    <w:p>
      <w:pPr>
        <w:pStyle w:val="Heading2"/>
        <w:spacing w:before="160" w:after="120" w:line="288" w:lineRule="auto"/>
        <w:jc w:val="left"/>
      </w:pPr>
      <w:r>
        <w:rPr>
          <w:rFonts w:ascii="Times New Roman" w:hAnsi="Times New Roman" w:eastAsia="Times New Roman"/>
          <w:b/>
          <w:i w:val="0"/>
          <w:sz w:val="28"/>
        </w:rPr>
        <w:t>5.11 Evaluation Plan</w:t>
      </w:r>
    </w:p>
    <w:p>
      <w:pPr>
        <w:widowControl/>
        <w:spacing w:before="0" w:after="120" w:line="288" w:lineRule="auto"/>
        <w:jc w:val="both"/>
      </w:pPr>
      <w:r>
        <w:rPr>
          <w:rFonts w:ascii="Times New Roman" w:hAnsi="Times New Roman" w:eastAsia="Times New Roman"/>
          <w:b w:val="0"/>
          <w:i w:val="0"/>
          <w:sz w:val="24"/>
        </w:rPr>
        <w:t xml:space="preserve">Evaluation will be performed in separate experiments so that each major claim can be tested. Forecasting will be evaluated using MAE, RMSE, and MAPE. Classification tasks will use precision, recall, F1-score, and ROC-AUC. The federated experiment will compare local models, the federated global model, and a centralized baseline. Non-IID experiments will compare performance across the four different substation distributions. The agent layer will be evaluated by checking whether the Decision Agent produces the correct predefined recommendation for controlled scenarios. Trustworthy AI will be evaluated by checking explanation availability, feature ranking, confidence display, audit logging, and human approval flow. The supplied guide also recommends comparing local, federated, and centralized models rather than simply stating that the AI works. </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194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Experiment</w:t>
            </w:r>
          </w:p>
        </w:tc>
        <w:tc>
          <w:tcPr>
            <w:tcW w:type="dxa" w:w="252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Comparison</w:t>
            </w:r>
          </w:p>
        </w:tc>
        <w:tc>
          <w:tcPr>
            <w:tcW w:type="dxa" w:w="309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Key measures</w:t>
            </w:r>
          </w:p>
        </w:tc>
        <w:tc>
          <w:tcPr>
            <w:tcW w:type="dxa" w:w="439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Expected evidence</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Forecasting</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Local vs federated</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MAE, RMSE, MAPE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Global model can forecast across mixed clients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detection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Local vs federated</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Precision, Recall, F1, AUC</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states are detected with measured error</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Non-IID behavior</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Different client profiles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Per-client and global metrics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Impact of different client distributions is visible</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Privacy boundary</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Centralized vs federated data flow</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Raw records transmitted / not transmitted</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 or logs show raw data remains local</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Trustworthy AI</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Prediction with explanation vs prediction only</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Explanation availability and top features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Operator can see why a warning was raised</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Agentic decision support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Scenario input vs expected rule output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Recommendation correctness and traceability</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Recommendation can be traced to agent inputs</w:t>
            </w:r>
          </w:p>
        </w:tc>
      </w:tr>
    </w:tbl>
    <w:p>
      <w:pPr>
        <w:spacing w:after="40"/>
      </w:pPr>
    </w:p>
    <w:p>
      <w:pPr>
        <w:pStyle w:val="Heading1"/>
        <w:spacing w:before="240" w:after="120" w:line="288" w:lineRule="auto"/>
        <w:jc w:val="left"/>
      </w:pPr>
      <w:r>
        <w:rPr>
          <w:rFonts w:ascii="Times New Roman" w:hAnsi="Times New Roman" w:eastAsia="Times New Roman"/>
          <w:b/>
          <w:i w:val="0"/>
          <w:sz w:val="32"/>
        </w:rPr>
        <w:t>6. Project Scope</w:t>
      </w:r>
    </w:p>
    <w:p>
      <w:pPr>
        <w:widowControl/>
        <w:spacing w:before="0" w:after="120" w:line="288" w:lineRule="auto"/>
        <w:jc w:val="both"/>
      </w:pPr>
      <w:r>
        <w:rPr>
          <w:rFonts w:ascii="Times New Roman" w:hAnsi="Times New Roman" w:eastAsia="Times New Roman"/>
          <w:b w:val="0"/>
          <w:i w:val="0"/>
          <w:sz w:val="24"/>
        </w:rPr>
        <w:t>The scope defines what GridGuard AI will and will not build. The project is intentionally software-based so that the team can demonstrate advanced AI concepts without requiring access to a live electrical grid.</w:t>
      </w:r>
    </w:p>
    <w:p>
      <w:pPr>
        <w:pStyle w:val="Heading2"/>
        <w:spacing w:before="160" w:after="120" w:line="288" w:lineRule="auto"/>
        <w:jc w:val="left"/>
      </w:pPr>
      <w:r>
        <w:rPr>
          <w:rFonts w:ascii="Times New Roman" w:hAnsi="Times New Roman" w:eastAsia="Times New Roman"/>
          <w:b/>
          <w:i w:val="0"/>
          <w:sz w:val="28"/>
        </w:rPr>
        <w:t>6.1 In-Scope Features</w:t>
      </w:r>
    </w:p>
    <w:p>
      <w:pPr>
        <w:pStyle w:val="ListBullet"/>
        <w:spacing w:after="60" w:line="288" w:lineRule="auto"/>
        <w:ind w:left="360" w:hanging="216"/>
      </w:pPr>
      <w:r>
        <w:rPr>
          <w:rFonts w:ascii="Times New Roman" w:hAnsi="Times New Roman" w:eastAsia="Times New Roman"/>
          <w:b w:val="0"/>
          <w:i w:val="0"/>
          <w:sz w:val="24"/>
        </w:rPr>
        <w:t>Four software-simulated substations acting as independent federated clients.</w:t>
      </w:r>
    </w:p>
    <w:p>
      <w:pPr>
        <w:pStyle w:val="ListBullet"/>
        <w:spacing w:after="60" w:line="288" w:lineRule="auto"/>
        <w:ind w:left="360" w:hanging="216"/>
      </w:pPr>
      <w:r>
        <w:rPr>
          <w:rFonts w:ascii="Times New Roman" w:hAnsi="Times New Roman" w:eastAsia="Times New Roman"/>
          <w:b w:val="0"/>
          <w:i w:val="0"/>
          <w:sz w:val="24"/>
        </w:rPr>
        <w:t>Public electricity time-series data preparation and controlled smart-grid scenario simulation.</w:t>
      </w:r>
    </w:p>
    <w:p>
      <w:pPr>
        <w:pStyle w:val="ListBullet"/>
        <w:spacing w:after="60" w:line="288" w:lineRule="auto"/>
        <w:ind w:left="360" w:hanging="216"/>
      </w:pPr>
      <w:r>
        <w:rPr>
          <w:rFonts w:ascii="Times New Roman" w:hAnsi="Times New Roman" w:eastAsia="Times New Roman"/>
          <w:b w:val="0"/>
          <w:i w:val="0"/>
          <w:sz w:val="24"/>
        </w:rPr>
        <w:t>Local training and inference at simulated edge clients.</w:t>
      </w:r>
    </w:p>
    <w:p>
      <w:pPr>
        <w:pStyle w:val="ListBullet"/>
        <w:spacing w:after="60" w:line="288" w:lineRule="auto"/>
        <w:ind w:left="360" w:hanging="216"/>
      </w:pPr>
      <w:r>
        <w:rPr>
          <w:rFonts w:ascii="Times New Roman" w:hAnsi="Times New Roman" w:eastAsia="Times New Roman"/>
          <w:b w:val="0"/>
          <w:i w:val="0"/>
          <w:sz w:val="24"/>
        </w:rPr>
        <w:t>Federated model aggregation using a practical FedAvg-based workflow.</w:t>
      </w:r>
    </w:p>
    <w:p>
      <w:pPr>
        <w:pStyle w:val="ListBullet"/>
        <w:spacing w:after="60" w:line="288" w:lineRule="auto"/>
        <w:ind w:left="360" w:hanging="216"/>
      </w:pPr>
      <w:r>
        <w:rPr>
          <w:rFonts w:ascii="Times New Roman" w:hAnsi="Times New Roman" w:eastAsia="Times New Roman"/>
          <w:b w:val="0"/>
          <w:i w:val="0"/>
          <w:sz w:val="24"/>
        </w:rPr>
        <w:t>Demand forecasting and, where data is available, renewable generation forecasting.</w:t>
      </w:r>
    </w:p>
    <w:p>
      <w:pPr>
        <w:pStyle w:val="ListBullet"/>
        <w:spacing w:after="60" w:line="288" w:lineRule="auto"/>
        <w:ind w:left="360" w:hanging="216"/>
      </w:pPr>
      <w:r>
        <w:rPr>
          <w:rFonts w:ascii="Times New Roman" w:hAnsi="Times New Roman" w:eastAsia="Times New Roman"/>
          <w:b w:val="0"/>
          <w:i w:val="0"/>
          <w:sz w:val="24"/>
        </w:rPr>
        <w:t>Fault detection, abnormal-condition monitoring, and equipment failure-risk estimation.</w:t>
      </w:r>
    </w:p>
    <w:p>
      <w:pPr>
        <w:pStyle w:val="ListBullet"/>
        <w:spacing w:after="60" w:line="288" w:lineRule="auto"/>
        <w:ind w:left="360" w:hanging="216"/>
      </w:pPr>
      <w:r>
        <w:rPr>
          <w:rFonts w:ascii="Times New Roman" w:hAnsi="Times New Roman" w:eastAsia="Times New Roman"/>
          <w:b w:val="0"/>
          <w:i w:val="0"/>
          <w:sz w:val="24"/>
        </w:rPr>
        <w:t>Security and operational anomaly alerts based on simulated events and model outputs.</w:t>
      </w:r>
    </w:p>
    <w:p>
      <w:pPr>
        <w:pStyle w:val="ListBullet"/>
        <w:spacing w:after="60" w:line="288" w:lineRule="auto"/>
        <w:ind w:left="360" w:hanging="216"/>
      </w:pPr>
      <w:r>
        <w:rPr>
          <w:rFonts w:ascii="Times New Roman" w:hAnsi="Times New Roman" w:eastAsia="Times New Roman"/>
          <w:b w:val="0"/>
          <w:i w:val="0"/>
          <w:sz w:val="24"/>
        </w:rPr>
        <w:t>Forecast, Fault, Security, and Decision Agents.</w:t>
      </w:r>
    </w:p>
    <w:p>
      <w:pPr>
        <w:pStyle w:val="ListBullet"/>
        <w:spacing w:after="60" w:line="288" w:lineRule="auto"/>
        <w:ind w:left="360" w:hanging="216"/>
      </w:pPr>
      <w:r>
        <w:rPr>
          <w:rFonts w:ascii="Times New Roman" w:hAnsi="Times New Roman" w:eastAsia="Times New Roman"/>
          <w:b w:val="0"/>
          <w:i w:val="0"/>
          <w:sz w:val="24"/>
        </w:rPr>
        <w:t>SHAP-based explanation for selected model predictions.</w:t>
      </w:r>
    </w:p>
    <w:p>
      <w:pPr>
        <w:pStyle w:val="ListBullet"/>
        <w:spacing w:after="60" w:line="288" w:lineRule="auto"/>
        <w:ind w:left="360" w:hanging="216"/>
      </w:pPr>
      <w:r>
        <w:rPr>
          <w:rFonts w:ascii="Times New Roman" w:hAnsi="Times New Roman" w:eastAsia="Times New Roman"/>
          <w:b w:val="0"/>
          <w:i w:val="0"/>
          <w:sz w:val="24"/>
        </w:rPr>
        <w:t>Dashboard, API layer, logs, model metrics, alerts, and operator recommendations.</w:t>
      </w:r>
    </w:p>
    <w:p>
      <w:pPr>
        <w:pStyle w:val="ListBullet"/>
        <w:spacing w:after="60" w:line="288" w:lineRule="auto"/>
        <w:ind w:left="360" w:hanging="216"/>
      </w:pPr>
      <w:r>
        <w:rPr>
          <w:rFonts w:ascii="Times New Roman" w:hAnsi="Times New Roman" w:eastAsia="Times New Roman"/>
          <w:b w:val="0"/>
          <w:i w:val="0"/>
          <w:sz w:val="24"/>
        </w:rPr>
        <w:t>Comparison of centralized, local, and federated learning under non-IID data.</w:t>
      </w:r>
    </w:p>
    <w:p>
      <w:pPr>
        <w:pStyle w:val="Heading2"/>
        <w:spacing w:before="160" w:after="120" w:line="288" w:lineRule="auto"/>
        <w:jc w:val="left"/>
      </w:pPr>
      <w:r>
        <w:rPr>
          <w:rFonts w:ascii="Times New Roman" w:hAnsi="Times New Roman" w:eastAsia="Times New Roman"/>
          <w:b/>
          <w:i w:val="0"/>
          <w:sz w:val="28"/>
        </w:rPr>
        <w:t>6.2 Out-of-Scope Items</w:t>
      </w:r>
    </w:p>
    <w:p>
      <w:pPr>
        <w:pStyle w:val="ListBullet"/>
        <w:spacing w:after="60" w:line="288" w:lineRule="auto"/>
        <w:ind w:left="360" w:hanging="216"/>
      </w:pPr>
      <w:r>
        <w:rPr>
          <w:rFonts w:ascii="Times New Roman" w:hAnsi="Times New Roman" w:eastAsia="Times New Roman"/>
          <w:b w:val="0"/>
          <w:i w:val="0"/>
          <w:sz w:val="24"/>
        </w:rPr>
        <w:t>No physical connection to a live power grid, transformer, substation, or protection system.</w:t>
      </w:r>
    </w:p>
    <w:p>
      <w:pPr>
        <w:pStyle w:val="ListBullet"/>
        <w:spacing w:after="60" w:line="288" w:lineRule="auto"/>
        <w:ind w:left="360" w:hanging="216"/>
      </w:pPr>
      <w:r>
        <w:rPr>
          <w:rFonts w:ascii="Times New Roman" w:hAnsi="Times New Roman" w:eastAsia="Times New Roman"/>
          <w:b w:val="0"/>
          <w:i w:val="0"/>
          <w:sz w:val="24"/>
        </w:rPr>
        <w:t>No automatic switching of breakers or direct control of electrical equipment.</w:t>
      </w:r>
    </w:p>
    <w:p>
      <w:pPr>
        <w:pStyle w:val="ListBullet"/>
        <w:spacing w:after="60" w:line="288" w:lineRule="auto"/>
        <w:ind w:left="360" w:hanging="216"/>
      </w:pPr>
      <w:r>
        <w:rPr>
          <w:rFonts w:ascii="Times New Roman" w:hAnsi="Times New Roman" w:eastAsia="Times New Roman"/>
          <w:b w:val="0"/>
          <w:i w:val="0"/>
          <w:sz w:val="24"/>
        </w:rPr>
        <w:t>No guarantee that the software is safe for operational use in a real utility environment.</w:t>
      </w:r>
    </w:p>
    <w:p>
      <w:pPr>
        <w:pStyle w:val="ListBullet"/>
        <w:spacing w:after="60" w:line="288" w:lineRule="auto"/>
        <w:ind w:left="360" w:hanging="216"/>
      </w:pPr>
      <w:r>
        <w:rPr>
          <w:rFonts w:ascii="Times New Roman" w:hAnsi="Times New Roman" w:eastAsia="Times New Roman"/>
          <w:b w:val="0"/>
          <w:i w:val="0"/>
          <w:sz w:val="24"/>
        </w:rPr>
        <w:t>No collection of private utility data or personally identifiable consumer data.</w:t>
      </w:r>
    </w:p>
    <w:p>
      <w:pPr>
        <w:pStyle w:val="ListBullet"/>
        <w:spacing w:after="60" w:line="288" w:lineRule="auto"/>
        <w:ind w:left="360" w:hanging="216"/>
      </w:pPr>
      <w:r>
        <w:rPr>
          <w:rFonts w:ascii="Times New Roman" w:hAnsi="Times New Roman" w:eastAsia="Times New Roman"/>
          <w:b w:val="0"/>
          <w:i w:val="0"/>
          <w:sz w:val="24"/>
        </w:rPr>
        <w:t>No full utility-scale digital twin of a city or national grid.</w:t>
      </w:r>
    </w:p>
    <w:p>
      <w:pPr>
        <w:pStyle w:val="ListBullet"/>
        <w:spacing w:after="60" w:line="288" w:lineRule="auto"/>
        <w:ind w:left="360" w:hanging="216"/>
      </w:pPr>
      <w:r>
        <w:rPr>
          <w:rFonts w:ascii="Times New Roman" w:hAnsi="Times New Roman" w:eastAsia="Times New Roman"/>
          <w:b w:val="0"/>
          <w:i w:val="0"/>
          <w:sz w:val="24"/>
        </w:rPr>
        <w:t>No advanced cryptographic privacy system such as secure multi-party computation unless time remains after the core system is complete.</w:t>
      </w:r>
    </w:p>
    <w:p>
      <w:pPr>
        <w:pStyle w:val="ListBullet"/>
        <w:spacing w:after="60" w:line="288" w:lineRule="auto"/>
        <w:ind w:left="360" w:hanging="216"/>
      </w:pPr>
      <w:r>
        <w:rPr>
          <w:rFonts w:ascii="Times New Roman" w:hAnsi="Times New Roman" w:eastAsia="Times New Roman"/>
          <w:b w:val="0"/>
          <w:i w:val="0"/>
          <w:sz w:val="24"/>
        </w:rPr>
        <w:t>No requirement to build a general-purpose large language model. Agentic behavior will be implemented using specialized tools, models, rules, and orchestration.</w:t>
      </w:r>
    </w:p>
    <w:p>
      <w:pPr>
        <w:pStyle w:val="Heading2"/>
        <w:spacing w:before="160" w:after="120" w:line="288" w:lineRule="auto"/>
        <w:jc w:val="left"/>
      </w:pPr>
      <w:r>
        <w:rPr>
          <w:rFonts w:ascii="Times New Roman" w:hAnsi="Times New Roman" w:eastAsia="Times New Roman"/>
          <w:b/>
          <w:i w:val="0"/>
          <w:sz w:val="28"/>
        </w:rPr>
        <w:t>6.3 Assumptions and Limitations</w:t>
      </w:r>
    </w:p>
    <w:p>
      <w:pPr>
        <w:pStyle w:val="ListBullet"/>
        <w:spacing w:after="60" w:line="288" w:lineRule="auto"/>
        <w:ind w:left="360" w:hanging="216"/>
      </w:pPr>
      <w:r>
        <w:rPr>
          <w:rFonts w:ascii="Times New Roman" w:hAnsi="Times New Roman" w:eastAsia="Times New Roman"/>
          <w:b w:val="0"/>
          <w:i w:val="0"/>
          <w:sz w:val="24"/>
        </w:rPr>
        <w:t>The project assumes a software-simulated distributed environment with at least four clients.</w:t>
      </w:r>
    </w:p>
    <w:p>
      <w:pPr>
        <w:pStyle w:val="ListBullet"/>
        <w:spacing w:after="60" w:line="288" w:lineRule="auto"/>
        <w:ind w:left="360" w:hanging="216"/>
      </w:pPr>
      <w:r>
        <w:rPr>
          <w:rFonts w:ascii="Times New Roman" w:hAnsi="Times New Roman" w:eastAsia="Times New Roman"/>
          <w:b w:val="0"/>
          <w:i w:val="0"/>
          <w:sz w:val="24"/>
        </w:rPr>
        <w:t>Public datasets may not contain every transformer sensor used in the demonstration, so some equipment signals will be simulated.</w:t>
      </w:r>
    </w:p>
    <w:p>
      <w:pPr>
        <w:pStyle w:val="ListBullet"/>
        <w:spacing w:after="60" w:line="288" w:lineRule="auto"/>
        <w:ind w:left="360" w:hanging="216"/>
      </w:pPr>
      <w:r>
        <w:rPr>
          <w:rFonts w:ascii="Times New Roman" w:hAnsi="Times New Roman" w:eastAsia="Times New Roman"/>
          <w:b w:val="0"/>
          <w:i w:val="0"/>
          <w:sz w:val="24"/>
        </w:rPr>
        <w:t>The quality of the forecasting model will depend on the public datasets selected during FYP-I.</w:t>
      </w:r>
    </w:p>
    <w:p>
      <w:pPr>
        <w:pStyle w:val="ListBullet"/>
        <w:spacing w:after="60" w:line="288" w:lineRule="auto"/>
        <w:ind w:left="360" w:hanging="216"/>
      </w:pPr>
      <w:r>
        <w:rPr>
          <w:rFonts w:ascii="Times New Roman" w:hAnsi="Times New Roman" w:eastAsia="Times New Roman"/>
          <w:b w:val="0"/>
          <w:i w:val="0"/>
          <w:sz w:val="24"/>
        </w:rPr>
        <w:t>The privacy claim is limited to avoiding transfer of raw local training records; formal privacy guarantees require additional methods and are outside the core scope.</w:t>
      </w:r>
    </w:p>
    <w:p>
      <w:pPr>
        <w:pStyle w:val="ListBullet"/>
        <w:spacing w:after="60" w:line="288" w:lineRule="auto"/>
        <w:ind w:left="360" w:hanging="216"/>
      </w:pPr>
      <w:r>
        <w:rPr>
          <w:rFonts w:ascii="Times New Roman" w:hAnsi="Times New Roman" w:eastAsia="Times New Roman"/>
          <w:b w:val="0"/>
          <w:i w:val="0"/>
          <w:sz w:val="24"/>
        </w:rPr>
        <w:t>The system is intended for academic demonstration and decision support, not for live grid operation.</w:t>
      </w:r>
    </w:p>
    <w:p>
      <w:pPr>
        <w:pStyle w:val="Heading1"/>
        <w:spacing w:before="240" w:after="120" w:line="288" w:lineRule="auto"/>
        <w:jc w:val="left"/>
      </w:pPr>
      <w:r>
        <w:rPr>
          <w:rFonts w:ascii="Times New Roman" w:hAnsi="Times New Roman" w:eastAsia="Times New Roman"/>
          <w:b/>
          <w:i w:val="0"/>
          <w:sz w:val="32"/>
        </w:rPr>
        <w:t>7. Feasibility Study</w:t>
      </w:r>
    </w:p>
    <w:p>
      <w:pPr>
        <w:widowControl/>
        <w:spacing w:before="0" w:after="120" w:line="288" w:lineRule="auto"/>
        <w:jc w:val="both"/>
      </w:pPr>
      <w:r>
        <w:rPr>
          <w:rFonts w:ascii="Times New Roman" w:hAnsi="Times New Roman" w:eastAsia="Times New Roman"/>
          <w:b w:val="0"/>
          <w:i w:val="0"/>
          <w:sz w:val="24"/>
        </w:rPr>
        <w:t>The project is feasible within a one-year FYP because it is based mainly on open-source software, public datasets, and software simulation. The team does not need to purchase a transformer, sensors, or grid hardware. A standard laptop can run a small number of simulated clients, while an optional GPU can reduce model-training time. The major feasibility challenge is scope management, so the project will be developed in stages: first one client, then multiple clients, then federated learning, and finally the agent and dashboard layers.</w:t>
      </w:r>
    </w:p>
    <w:p>
      <w:pPr>
        <w:pStyle w:val="Heading2"/>
        <w:spacing w:before="160" w:after="120" w:line="288" w:lineRule="auto"/>
        <w:jc w:val="left"/>
      </w:pPr>
      <w:r>
        <w:rPr>
          <w:rFonts w:ascii="Times New Roman" w:hAnsi="Times New Roman" w:eastAsia="Times New Roman"/>
          <w:b/>
          <w:i w:val="0"/>
          <w:sz w:val="28"/>
        </w:rPr>
        <w:t>7.1 Risks Involved</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302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Risk</w:t>
            </w:r>
          </w:p>
        </w:tc>
        <w:tc>
          <w:tcPr>
            <w:tcW w:type="dxa" w:w="129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Impact</w:t>
            </w:r>
          </w:p>
        </w:tc>
        <w:tc>
          <w:tcPr>
            <w:tcW w:type="dxa" w:w="691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Mitigation / Response</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Public dataset does not match every required grid feature</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Medium</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Use the public dataset for load and electrical patterns and create controlled simulated equipment scenarios for missing sensor features.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Federated learning setup is difficult during early development</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High</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Build one-client centralized training first, then convert it into a Flower client-server workflow and test with two clients before reaching four.</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Non-IID data reduces global performance</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Medium</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Track per-client metrics, normalize local features carefully, and compare local, federated, and centralized baselines.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Agent recommendations become hard to verify</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Medium</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Use structured agent outputs and predefined decision rules; keep the human approval step mandatory.</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Model produces false alarms</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High</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Use confidence thresholds, validation data, explanation, and clear alert severity levels.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Laptop resources are not enough for repeated experiments</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Medium</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Use compact models, smaller training windows, client simulation through Docker, and an optional GPU.</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 work delays AI work</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Medium</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Develop a simple API and basic dashboard early, then improve the visual design after the core models work.</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Timeline pressure near final semester</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High</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Keep advanced privacy and extra renewable models as secondary extensions after core features are stable.</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Misinterpretation of AI result as a real operational command</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Medium</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Clearly label the system as a decision-support prototype and require human approval for all recommendations.</w:t>
            </w:r>
          </w:p>
        </w:tc>
      </w:tr>
    </w:tbl>
    <w:p>
      <w:pPr>
        <w:spacing w:after="40"/>
      </w:pPr>
    </w:p>
    <w:p>
      <w:pPr>
        <w:pStyle w:val="Heading2"/>
        <w:spacing w:before="160" w:after="120" w:line="288" w:lineRule="auto"/>
        <w:jc w:val="left"/>
      </w:pPr>
      <w:r>
        <w:rPr>
          <w:rFonts w:ascii="Times New Roman" w:hAnsi="Times New Roman" w:eastAsia="Times New Roman"/>
          <w:b/>
          <w:i w:val="0"/>
          <w:sz w:val="28"/>
        </w:rPr>
        <w:t>7.2 Resource Requirement</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237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Resource</w:t>
            </w:r>
          </w:p>
        </w:tc>
        <w:tc>
          <w:tcPr>
            <w:tcW w:type="dxa" w:w="360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Requirement</w:t>
            </w:r>
          </w:p>
        </w:tc>
        <w:tc>
          <w:tcPr>
            <w:tcW w:type="dxa" w:w="525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Purpose</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Computer / Laptop</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Standard development laptop; optional GPU</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Python development, local model training, Docker, dashboard</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Programming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Python 3.x</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 processing, machine learning, agents, APIs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ML libraries</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PyTorch, scikit-learn, Flower, SHAP, Pandas</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Model training, federated learning, explainability</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Backend</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FastAPI</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API services and model integration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Streamlit or React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Interactive monitoring and demonstration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Messaging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MQTT broker/client tools</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Simulated sensor and event message flow</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Containerization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Docker / Docker Compose</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Run server and multiple simulated substations consistently</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Public electricity datasets + simulated scenarios</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Training and evaluation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Version control</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Git / GitHub or equivalent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Source control, collaboration, experiment tracking</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Documentation</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Word / diagramming tools</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Proposal, reports, diagrams, and FYP defense material</w:t>
            </w:r>
          </w:p>
        </w:tc>
      </w:tr>
    </w:tbl>
    <w:p>
      <w:pPr>
        <w:spacing w:after="40"/>
      </w:pPr>
    </w:p>
    <w:p>
      <w:pPr>
        <w:pStyle w:val="Heading1"/>
        <w:spacing w:before="240" w:after="120" w:line="288" w:lineRule="auto"/>
        <w:jc w:val="left"/>
      </w:pPr>
      <w:r>
        <w:rPr>
          <w:rFonts w:ascii="Times New Roman" w:hAnsi="Times New Roman" w:eastAsia="Times New Roman"/>
          <w:b/>
          <w:i w:val="0"/>
          <w:sz w:val="32"/>
        </w:rPr>
        <w:t>8. Solution Application Areas</w:t>
      </w:r>
    </w:p>
    <w:p>
      <w:pPr>
        <w:widowControl/>
        <w:spacing w:before="0" w:after="120" w:line="288" w:lineRule="auto"/>
        <w:jc w:val="both"/>
      </w:pPr>
      <w:r>
        <w:rPr>
          <w:rFonts w:ascii="Times New Roman" w:hAnsi="Times New Roman" w:eastAsia="Times New Roman"/>
          <w:b w:val="0"/>
          <w:i w:val="0"/>
          <w:sz w:val="24"/>
        </w:rPr>
        <w:t xml:space="preserve">GridGuard AI can support several practical smart-grid activities. The project guide identifies demand forecasting, predictive maintenance, fault detection, grid anomaly detection, grid health monitoring, multi-organization AI collaboration, early warning, and operator decision support as key application areas. </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230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Application area</w:t>
            </w:r>
          </w:p>
        </w:tc>
        <w:tc>
          <w:tcPr>
            <w:tcW w:type="dxa" w:w="518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How GridGuard AI can help</w:t>
            </w:r>
          </w:p>
        </w:tc>
        <w:tc>
          <w:tcPr>
            <w:tcW w:type="dxa" w:w="374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Example output</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Electricity demand forecasting</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Estimates upcoming demand so an operator can prepare for expected load changes.</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Predicted demand for the next hour / next few periods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Renewable generation forecasting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Estimates future renewable output when a compatible dataset is available.</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Expected solar generation trend</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Predictive maintenance</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Uses equipment sensor patterns to estimate failure risk before a serious event.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Transformer T-17: high failure risk</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detection</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Classifies abnormal voltage, current, overload, or equipment conditions.</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detected with confidence score</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Grid anomaly detection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Finds unusual operating behavior that differs from normal patterns.</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Abnormal grid behavior detected</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Grid health monitoring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Combines asset, load, fault, and anomaly information into a simple monitoring view.</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Grid health score and active alerts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Privacy-aware collaboration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Lets simulated substations train a shared model without sending raw local training records to the central aggregator.</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Client update received; raw data remains local</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Early warning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Tracks risk changes over time and turns them into earlier alerts.</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Risk increased from medium to high</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Operator decision support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Combines multiple model results into one traceable recommendation.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Schedule inspection before expected load increase</w:t>
            </w:r>
          </w:p>
        </w:tc>
      </w:tr>
    </w:tbl>
    <w:p>
      <w:pPr>
        <w:spacing w:after="40"/>
      </w:pPr>
    </w:p>
    <w:p>
      <w:pPr>
        <w:pStyle w:val="Heading1"/>
        <w:spacing w:before="240" w:after="120" w:line="288" w:lineRule="auto"/>
        <w:jc w:val="left"/>
      </w:pPr>
      <w:r>
        <w:rPr>
          <w:rFonts w:ascii="Times New Roman" w:hAnsi="Times New Roman" w:eastAsia="Times New Roman"/>
          <w:b/>
          <w:i w:val="0"/>
          <w:sz w:val="32"/>
        </w:rPr>
        <w:t>9. Tools/Technology</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223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Category</w:t>
            </w:r>
          </w:p>
        </w:tc>
        <w:tc>
          <w:tcPr>
            <w:tcW w:type="dxa" w:w="367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Tools / Technologies</w:t>
            </w:r>
          </w:p>
        </w:tc>
        <w:tc>
          <w:tcPr>
            <w:tcW w:type="dxa" w:w="5328"/>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Use in project</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Operating environment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Windows / Linux</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Development and local simulation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Programming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Python</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Core system language</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Machine learning</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PyTorch, scikit-learn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Forecasting, classification, anomaly models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Federated learning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Flower</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Client-server simulation and model aggregation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Explainable AI</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SHAP</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Feature contribution and model explanation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 processing</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Pandas, NumPy</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Cleaning, transformation, feature engineering</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Messaging</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MQTT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Simulated sensor/event data communication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Backend API</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FastAPI</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Service endpoints and integration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Streamlit or React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Monitoring and demonstration UI</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Database / logs</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PostgreSQL or lightweight log store</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Experiment and event records; final choice during implementation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Containerization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Docker, Docker Compose</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Repeatable multi-client simulation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Version control</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Git</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Source code management and teamwork</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Documentation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Microsoft Word / diagramming software</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Proposal, diagrams, testing records</w:t>
            </w:r>
          </w:p>
        </w:tc>
      </w:tr>
    </w:tbl>
    <w:p>
      <w:pPr>
        <w:spacing w:after="40"/>
      </w:pPr>
    </w:p>
    <w:p>
      <w:pPr>
        <w:pStyle w:val="Heading1"/>
        <w:spacing w:before="240" w:after="120" w:line="288" w:lineRule="auto"/>
        <w:jc w:val="left"/>
      </w:pPr>
      <w:r>
        <w:rPr>
          <w:rFonts w:ascii="Times New Roman" w:hAnsi="Times New Roman" w:eastAsia="Times New Roman"/>
          <w:b/>
          <w:i w:val="0"/>
          <w:sz w:val="32"/>
        </w:rPr>
        <w:t>10. Expertise of the Team Members</w:t>
      </w:r>
    </w:p>
    <w:p>
      <w:pPr>
        <w:widowControl/>
        <w:spacing w:before="0" w:after="120" w:line="288" w:lineRule="auto"/>
        <w:jc w:val="both"/>
      </w:pPr>
      <w:r>
        <w:rPr>
          <w:rFonts w:ascii="Times New Roman" w:hAnsi="Times New Roman" w:eastAsia="Times New Roman"/>
          <w:b w:val="0"/>
          <w:i w:val="0"/>
          <w:sz w:val="24"/>
        </w:rPr>
        <w:t>The project requires a mixed set of software engineering and machine learning skills. The team may not begin with advanced knowledge of the energy domain, so the first part of FYP-I includes structured learning of smart-grid basics, time-series data, federated learning, and trustworthy AI. This reduces the risk of implementing a tool without understanding its meaning.</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194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Team member</w:t>
            </w:r>
          </w:p>
        </w:tc>
        <w:tc>
          <w:tcPr>
            <w:tcW w:type="dxa" w:w="338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Current / expected skills</w:t>
            </w:r>
          </w:p>
        </w:tc>
        <w:tc>
          <w:tcPr>
            <w:tcW w:type="dxa" w:w="3816"/>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Main responsibility</w:t>
            </w:r>
          </w:p>
        </w:tc>
        <w:tc>
          <w:tcPr>
            <w:tcW w:type="dxa" w:w="2088"/>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Learning plan</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Member 1</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Python, backend development, databases, basic ML</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Federated learning backend, API layer, client orchestration, deployment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Flower, PyTorch time-series models, Docker, MQTT</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Member 2</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Frontend development, data handling, basic ML</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 visualization, explainability views, testing</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SHAP, Streamlit/React, ML evaluation, smart-grid basics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Shared responsibility</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Software engineering, Git, testing, documentation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 preparation, experiments, agent design, reports, final presentation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Federated learning, non-IID data, agentic AI, trustworthy AI</w:t>
            </w:r>
          </w:p>
        </w:tc>
      </w:tr>
    </w:tbl>
    <w:p>
      <w:pPr>
        <w:spacing w:after="40"/>
      </w:pPr>
    </w:p>
    <w:p>
      <w:pPr>
        <w:widowControl/>
        <w:spacing w:before="0" w:after="120" w:line="288" w:lineRule="auto"/>
        <w:jc w:val="both"/>
      </w:pPr>
      <w:r>
        <w:rPr>
          <w:rFonts w:ascii="Times New Roman" w:hAnsi="Times New Roman" w:eastAsia="Times New Roman"/>
          <w:b w:val="0"/>
          <w:i w:val="0"/>
          <w:sz w:val="24"/>
        </w:rPr>
        <w:t>The project is of equal interest to both members because it combines software development, artificial intelligence, distributed systems, and a real industrial domain. The final implementation will use shared coding standards, Git version control, peer review, and joint testing so that knowledge is not limited to one team member.</w:t>
      </w:r>
    </w:p>
    <w:p>
      <w:pPr>
        <w:pStyle w:val="Heading1"/>
        <w:spacing w:before="240" w:after="120" w:line="288" w:lineRule="auto"/>
        <w:jc w:val="left"/>
      </w:pPr>
      <w:r>
        <w:rPr>
          <w:rFonts w:ascii="Times New Roman" w:hAnsi="Times New Roman" w:eastAsia="Times New Roman"/>
          <w:b/>
          <w:i w:val="0"/>
          <w:sz w:val="32"/>
        </w:rPr>
        <w:t>11. Milestones</w:t>
      </w:r>
    </w:p>
    <w:p>
      <w:pPr>
        <w:widowControl/>
        <w:spacing w:before="0" w:after="120" w:line="288" w:lineRule="auto"/>
        <w:jc w:val="both"/>
      </w:pPr>
      <w:r>
        <w:rPr>
          <w:rFonts w:ascii="Times New Roman" w:hAnsi="Times New Roman" w:eastAsia="Times New Roman"/>
          <w:b w:val="0"/>
          <w:i w:val="0"/>
          <w:sz w:val="24"/>
        </w:rPr>
        <w:t>The one-year project will be divided into FYP-I and FYP-II. FYP-I will establish the problem, data, baseline models, simulation environment, and initial federated learning workflow. FYP-II will complete the full federated system, agent layer, explainability, dashboard, testing, evaluation, and final documentation.</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86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ID</w:t>
            </w:r>
          </w:p>
        </w:tc>
        <w:tc>
          <w:tcPr>
            <w:tcW w:type="dxa" w:w="331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Milestone</w:t>
            </w:r>
          </w:p>
        </w:tc>
        <w:tc>
          <w:tcPr>
            <w:tcW w:type="dxa" w:w="720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Major output</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M1</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Problem and domain study</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Approved project understanding and requirements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M2</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Dataset review and data model</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Selected datasets, feature plan, data dictionary</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M3</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Simulation design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Four substation profiles and event rules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M4</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Preprocessing pipeline</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Cleaned datasets and reproducible preprocessing</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M5</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Baseline ML models</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Initial forecasting and classification results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M6</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Single-client edge prototype</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Local training and inference service</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M7</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Federated learning prototype</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Two-to-four client Flower experiment</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M8</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Agent layer</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Forecast, Fault, Security, Decision Agents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M9</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Trustworthy AI layer</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SHAP explanations, confidence, logs, human approval</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M10</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 and API</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Operational monitoring and decision-support UI</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M11</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Evaluation and comparison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Centralized vs federated and non-IID results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M12</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Final system and documentation</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Tested prototype, report, defense/demo material</w:t>
            </w:r>
          </w:p>
        </w:tc>
      </w:tr>
    </w:tbl>
    <w:p>
      <w:pPr>
        <w:spacing w:after="40"/>
      </w:pPr>
    </w:p>
    <w:p>
      <w:pPr>
        <w:pStyle w:val="Heading2"/>
        <w:spacing w:before="160" w:after="120" w:line="288" w:lineRule="auto"/>
        <w:jc w:val="left"/>
      </w:pPr>
      <w:r>
        <w:rPr>
          <w:rFonts w:ascii="Times New Roman" w:hAnsi="Times New Roman" w:eastAsia="Times New Roman"/>
          <w:b/>
          <w:i w:val="0"/>
          <w:sz w:val="28"/>
        </w:rPr>
        <w:t>11.1 FYP-I Features</w:t>
      </w:r>
    </w:p>
    <w:p>
      <w:pPr>
        <w:pStyle w:val="ListBullet"/>
        <w:spacing w:after="60" w:line="288" w:lineRule="auto"/>
        <w:ind w:left="360" w:hanging="216"/>
      </w:pPr>
      <w:r>
        <w:rPr>
          <w:rFonts w:ascii="Times New Roman" w:hAnsi="Times New Roman" w:eastAsia="Times New Roman"/>
          <w:b w:val="0"/>
          <w:i w:val="0"/>
          <w:sz w:val="24"/>
        </w:rPr>
        <w:t>Detailed requirements and smart-grid domain study.</w:t>
      </w:r>
    </w:p>
    <w:p>
      <w:pPr>
        <w:pStyle w:val="ListBullet"/>
        <w:spacing w:after="60" w:line="288" w:lineRule="auto"/>
        <w:ind w:left="360" w:hanging="216"/>
      </w:pPr>
      <w:r>
        <w:rPr>
          <w:rFonts w:ascii="Times New Roman" w:hAnsi="Times New Roman" w:eastAsia="Times New Roman"/>
          <w:b w:val="0"/>
          <w:i w:val="0"/>
          <w:sz w:val="24"/>
        </w:rPr>
        <w:t>Public dataset acquisition, cleaning, feature selection, and data dictionary.</w:t>
      </w:r>
    </w:p>
    <w:p>
      <w:pPr>
        <w:pStyle w:val="ListBullet"/>
        <w:spacing w:after="60" w:line="288" w:lineRule="auto"/>
        <w:ind w:left="360" w:hanging="216"/>
      </w:pPr>
      <w:r>
        <w:rPr>
          <w:rFonts w:ascii="Times New Roman" w:hAnsi="Times New Roman" w:eastAsia="Times New Roman"/>
          <w:b w:val="0"/>
          <w:i w:val="0"/>
          <w:sz w:val="24"/>
        </w:rPr>
        <w:t>Four simulated substation profiles and non-IID partitioning.</w:t>
      </w:r>
    </w:p>
    <w:p>
      <w:pPr>
        <w:pStyle w:val="ListBullet"/>
        <w:spacing w:after="60" w:line="288" w:lineRule="auto"/>
        <w:ind w:left="360" w:hanging="216"/>
      </w:pPr>
      <w:r>
        <w:rPr>
          <w:rFonts w:ascii="Times New Roman" w:hAnsi="Times New Roman" w:eastAsia="Times New Roman"/>
          <w:b w:val="0"/>
          <w:i w:val="0"/>
          <w:sz w:val="24"/>
        </w:rPr>
        <w:t>Baseline demand forecasting model.</w:t>
      </w:r>
    </w:p>
    <w:p>
      <w:pPr>
        <w:pStyle w:val="ListBullet"/>
        <w:spacing w:after="60" w:line="288" w:lineRule="auto"/>
        <w:ind w:left="360" w:hanging="216"/>
      </w:pPr>
      <w:r>
        <w:rPr>
          <w:rFonts w:ascii="Times New Roman" w:hAnsi="Times New Roman" w:eastAsia="Times New Roman"/>
          <w:b w:val="0"/>
          <w:i w:val="0"/>
          <w:sz w:val="24"/>
        </w:rPr>
        <w:t>Baseline fault / anomaly detection model.</w:t>
      </w:r>
    </w:p>
    <w:p>
      <w:pPr>
        <w:pStyle w:val="ListBullet"/>
        <w:spacing w:after="60" w:line="288" w:lineRule="auto"/>
        <w:ind w:left="360" w:hanging="216"/>
      </w:pPr>
      <w:r>
        <w:rPr>
          <w:rFonts w:ascii="Times New Roman" w:hAnsi="Times New Roman" w:eastAsia="Times New Roman"/>
          <w:b w:val="0"/>
          <w:i w:val="0"/>
          <w:sz w:val="24"/>
        </w:rPr>
        <w:t>Equipment event and fault simulation module.</w:t>
      </w:r>
    </w:p>
    <w:p>
      <w:pPr>
        <w:pStyle w:val="ListBullet"/>
        <w:spacing w:after="60" w:line="288" w:lineRule="auto"/>
        <w:ind w:left="360" w:hanging="216"/>
      </w:pPr>
      <w:r>
        <w:rPr>
          <w:rFonts w:ascii="Times New Roman" w:hAnsi="Times New Roman" w:eastAsia="Times New Roman"/>
          <w:b w:val="0"/>
          <w:i w:val="0"/>
          <w:sz w:val="24"/>
        </w:rPr>
        <w:t>Single-client edge training and inference prototype.</w:t>
      </w:r>
    </w:p>
    <w:p>
      <w:pPr>
        <w:pStyle w:val="ListBullet"/>
        <w:spacing w:after="60" w:line="288" w:lineRule="auto"/>
        <w:ind w:left="360" w:hanging="216"/>
      </w:pPr>
      <w:r>
        <w:rPr>
          <w:rFonts w:ascii="Times New Roman" w:hAnsi="Times New Roman" w:eastAsia="Times New Roman"/>
          <w:b w:val="0"/>
          <w:i w:val="0"/>
          <w:sz w:val="24"/>
        </w:rPr>
        <w:t>Initial Flower-based federated learning prototype with at least two clients.</w:t>
      </w:r>
    </w:p>
    <w:p>
      <w:pPr>
        <w:pStyle w:val="ListBullet"/>
        <w:spacing w:after="60" w:line="288" w:lineRule="auto"/>
        <w:ind w:left="360" w:hanging="216"/>
      </w:pPr>
      <w:r>
        <w:rPr>
          <w:rFonts w:ascii="Times New Roman" w:hAnsi="Times New Roman" w:eastAsia="Times New Roman"/>
          <w:b w:val="0"/>
          <w:i w:val="0"/>
          <w:sz w:val="24"/>
        </w:rPr>
        <w:t>Basic performance evaluation and experiment logs.</w:t>
      </w:r>
    </w:p>
    <w:p>
      <w:pPr>
        <w:pStyle w:val="ListBullet"/>
        <w:spacing w:after="60" w:line="288" w:lineRule="auto"/>
        <w:ind w:left="360" w:hanging="216"/>
      </w:pPr>
      <w:r>
        <w:rPr>
          <w:rFonts w:ascii="Times New Roman" w:hAnsi="Times New Roman" w:eastAsia="Times New Roman"/>
          <w:b w:val="0"/>
          <w:i w:val="0"/>
          <w:sz w:val="24"/>
        </w:rPr>
        <w:t>Initial backend/API and a simple monitoring page for development testing.</w:t>
      </w:r>
    </w:p>
    <w:p>
      <w:pPr>
        <w:pStyle w:val="Heading2"/>
        <w:spacing w:before="160" w:after="120" w:line="288" w:lineRule="auto"/>
        <w:jc w:val="left"/>
      </w:pPr>
      <w:r>
        <w:rPr>
          <w:rFonts w:ascii="Times New Roman" w:hAnsi="Times New Roman" w:eastAsia="Times New Roman"/>
          <w:b/>
          <w:i w:val="0"/>
          <w:sz w:val="28"/>
        </w:rPr>
        <w:t>11.2 FYP-II Features</w:t>
      </w:r>
    </w:p>
    <w:p>
      <w:pPr>
        <w:pStyle w:val="ListBullet"/>
        <w:spacing w:after="60" w:line="288" w:lineRule="auto"/>
        <w:ind w:left="360" w:hanging="216"/>
      </w:pPr>
      <w:r>
        <w:rPr>
          <w:rFonts w:ascii="Times New Roman" w:hAnsi="Times New Roman" w:eastAsia="Times New Roman"/>
          <w:b w:val="0"/>
          <w:i w:val="0"/>
          <w:sz w:val="24"/>
        </w:rPr>
        <w:t>Four-client federated learning workflow with repeated rounds.</w:t>
      </w:r>
    </w:p>
    <w:p>
      <w:pPr>
        <w:pStyle w:val="ListBullet"/>
        <w:spacing w:after="60" w:line="288" w:lineRule="auto"/>
        <w:ind w:left="360" w:hanging="216"/>
      </w:pPr>
      <w:r>
        <w:rPr>
          <w:rFonts w:ascii="Times New Roman" w:hAnsi="Times New Roman" w:eastAsia="Times New Roman"/>
          <w:b w:val="0"/>
          <w:i w:val="0"/>
          <w:sz w:val="24"/>
        </w:rPr>
        <w:t>Federated demand forecasting and abnormal-condition models.</w:t>
      </w:r>
    </w:p>
    <w:p>
      <w:pPr>
        <w:pStyle w:val="ListBullet"/>
        <w:spacing w:after="60" w:line="288" w:lineRule="auto"/>
        <w:ind w:left="360" w:hanging="216"/>
      </w:pPr>
      <w:r>
        <w:rPr>
          <w:rFonts w:ascii="Times New Roman" w:hAnsi="Times New Roman" w:eastAsia="Times New Roman"/>
          <w:b w:val="0"/>
          <w:i w:val="0"/>
          <w:sz w:val="24"/>
        </w:rPr>
        <w:t>Equipment failure-risk model and security/operational anomaly monitoring.</w:t>
      </w:r>
    </w:p>
    <w:p>
      <w:pPr>
        <w:pStyle w:val="ListBullet"/>
        <w:spacing w:after="60" w:line="288" w:lineRule="auto"/>
        <w:ind w:left="360" w:hanging="216"/>
      </w:pPr>
      <w:r>
        <w:rPr>
          <w:rFonts w:ascii="Times New Roman" w:hAnsi="Times New Roman" w:eastAsia="Times New Roman"/>
          <w:b w:val="0"/>
          <w:i w:val="0"/>
          <w:sz w:val="24"/>
        </w:rPr>
        <w:t>Forecast, Fault, Security, and Decision Agents.</w:t>
      </w:r>
    </w:p>
    <w:p>
      <w:pPr>
        <w:pStyle w:val="ListBullet"/>
        <w:spacing w:after="60" w:line="288" w:lineRule="auto"/>
        <w:ind w:left="360" w:hanging="216"/>
      </w:pPr>
      <w:r>
        <w:rPr>
          <w:rFonts w:ascii="Times New Roman" w:hAnsi="Times New Roman" w:eastAsia="Times New Roman"/>
          <w:b w:val="0"/>
          <w:i w:val="0"/>
          <w:sz w:val="24"/>
        </w:rPr>
        <w:t>SHAP-based explanation view and confidence information.</w:t>
      </w:r>
    </w:p>
    <w:p>
      <w:pPr>
        <w:pStyle w:val="ListBullet"/>
        <w:spacing w:after="60" w:line="288" w:lineRule="auto"/>
        <w:ind w:left="360" w:hanging="216"/>
      </w:pPr>
      <w:r>
        <w:rPr>
          <w:rFonts w:ascii="Times New Roman" w:hAnsi="Times New Roman" w:eastAsia="Times New Roman"/>
          <w:b w:val="0"/>
          <w:i w:val="0"/>
          <w:sz w:val="24"/>
        </w:rPr>
        <w:t>Human-in-the-loop recommendation and audit log.</w:t>
      </w:r>
    </w:p>
    <w:p>
      <w:pPr>
        <w:pStyle w:val="ListBullet"/>
        <w:spacing w:after="60" w:line="288" w:lineRule="auto"/>
        <w:ind w:left="360" w:hanging="216"/>
      </w:pPr>
      <w:r>
        <w:rPr>
          <w:rFonts w:ascii="Times New Roman" w:hAnsi="Times New Roman" w:eastAsia="Times New Roman"/>
          <w:b w:val="0"/>
          <w:i w:val="0"/>
          <w:sz w:val="24"/>
        </w:rPr>
        <w:t>MQTT-based simulated sensor/event messaging where required.</w:t>
      </w:r>
    </w:p>
    <w:p>
      <w:pPr>
        <w:pStyle w:val="ListBullet"/>
        <w:spacing w:after="60" w:line="288" w:lineRule="auto"/>
        <w:ind w:left="360" w:hanging="216"/>
      </w:pPr>
      <w:r>
        <w:rPr>
          <w:rFonts w:ascii="Times New Roman" w:hAnsi="Times New Roman" w:eastAsia="Times New Roman"/>
          <w:b w:val="0"/>
          <w:i w:val="0"/>
          <w:sz w:val="24"/>
        </w:rPr>
        <w:t>Complete FastAPI service layer and dashboard.</w:t>
      </w:r>
    </w:p>
    <w:p>
      <w:pPr>
        <w:pStyle w:val="ListBullet"/>
        <w:spacing w:after="60" w:line="288" w:lineRule="auto"/>
        <w:ind w:left="360" w:hanging="216"/>
      </w:pPr>
      <w:r>
        <w:rPr>
          <w:rFonts w:ascii="Times New Roman" w:hAnsi="Times New Roman" w:eastAsia="Times New Roman"/>
          <w:b w:val="0"/>
          <w:i w:val="0"/>
          <w:sz w:val="24"/>
        </w:rPr>
        <w:t>Centralized vs federated and non-IID evaluation experiments.</w:t>
      </w:r>
    </w:p>
    <w:p>
      <w:pPr>
        <w:pStyle w:val="ListBullet"/>
        <w:spacing w:after="60" w:line="288" w:lineRule="auto"/>
        <w:ind w:left="360" w:hanging="216"/>
      </w:pPr>
      <w:r>
        <w:rPr>
          <w:rFonts w:ascii="Times New Roman" w:hAnsi="Times New Roman" w:eastAsia="Times New Roman"/>
          <w:b w:val="0"/>
          <w:i w:val="0"/>
          <w:sz w:val="24"/>
        </w:rPr>
        <w:t>Final testing, documentation, presentation, and demonstration scenario.</w:t>
      </w:r>
    </w:p>
    <w:p>
      <w:pPr>
        <w:pStyle w:val="Heading2"/>
        <w:spacing w:before="160" w:after="120" w:line="288" w:lineRule="auto"/>
        <w:jc w:val="left"/>
      </w:pPr>
      <w:r>
        <w:rPr>
          <w:rFonts w:ascii="Times New Roman" w:hAnsi="Times New Roman" w:eastAsia="Times New Roman"/>
          <w:b/>
          <w:i w:val="0"/>
          <w:sz w:val="28"/>
        </w:rPr>
        <w:t>11.3 Actor-Goal Matrix</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2448"/>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Actor / Component</w:t>
            </w:r>
          </w:p>
        </w:tc>
        <w:tc>
          <w:tcPr>
            <w:tcW w:type="dxa" w:w="374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Goal</w:t>
            </w:r>
          </w:p>
        </w:tc>
        <w:tc>
          <w:tcPr>
            <w:tcW w:type="dxa" w:w="518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Main interaction with system</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Human Grid Operator</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Understand current state and choose an action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Views alerts, explanations, forecasts, and recommendations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Substation Edge Client</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Train and run local AI using local data</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Receives global model; trains locally; sends update</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Federated Server</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Build a shared global model</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Coordinates rounds and aggregates client updates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Forecast Agent</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Estimate future grid behavior</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Reads forecasting output and creates a trend summary</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Agent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Identify equipment or electrical faults</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Reads fault model results and creates risk alert</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Security Agent</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Identify suspicious/abnormal behavior</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Reads anomaly signals and event logs</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Decision Agent</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Combine evidence into a recommendation</w:t>
            </w:r>
          </w:p>
        </w:tc>
        <w:tc>
          <w:tcPr>
            <w:tcW w:type="dxa" w:w="312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Uses agent outputs plus predefined rules to recommend an action</w:t>
            </w:r>
          </w:p>
        </w:tc>
      </w:tr>
      <w:tr>
        <w:trPr>
          <w:trHeight w:hRule="atLeast"/>
          <w:cantSplit/>
        </w:trPr>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Present system state clearly</w:t>
            </w:r>
          </w:p>
        </w:tc>
        <w:tc>
          <w:tcPr>
            <w:tcW w:type="dxa" w:w="312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Displays metrics, alerts, explanations, and agent actions</w:t>
            </w:r>
          </w:p>
        </w:tc>
      </w:tr>
    </w:tbl>
    <w:p>
      <w:pPr>
        <w:spacing w:after="40"/>
      </w:pPr>
    </w:p>
    <w:p>
      <w:pPr>
        <w:pStyle w:val="Heading2"/>
        <w:spacing w:before="160" w:after="120" w:line="288" w:lineRule="auto"/>
        <w:jc w:val="left"/>
      </w:pPr>
      <w:r>
        <w:rPr>
          <w:rFonts w:ascii="Times New Roman" w:hAnsi="Times New Roman" w:eastAsia="Times New Roman"/>
          <w:b/>
          <w:i w:val="0"/>
          <w:sz w:val="28"/>
        </w:rPr>
        <w:t>11.4 Functional Acceptance Criteria</w:t>
      </w:r>
    </w:p>
    <w:p>
      <w:pPr>
        <w:pStyle w:val="ListBullet"/>
        <w:spacing w:after="60" w:line="288" w:lineRule="auto"/>
        <w:ind w:left="360" w:hanging="216"/>
      </w:pPr>
      <w:r>
        <w:rPr>
          <w:rFonts w:ascii="Times New Roman" w:hAnsi="Times New Roman" w:eastAsia="Times New Roman"/>
          <w:b w:val="0"/>
          <w:i w:val="0"/>
          <w:sz w:val="24"/>
        </w:rPr>
        <w:t>The system can run at least four simulated substation clients on one development machine.</w:t>
      </w:r>
    </w:p>
    <w:p>
      <w:pPr>
        <w:pStyle w:val="ListBullet"/>
        <w:spacing w:after="60" w:line="288" w:lineRule="auto"/>
        <w:ind w:left="360" w:hanging="216"/>
      </w:pPr>
      <w:r>
        <w:rPr>
          <w:rFonts w:ascii="Times New Roman" w:hAnsi="Times New Roman" w:eastAsia="Times New Roman"/>
          <w:b w:val="0"/>
          <w:i w:val="0"/>
          <w:sz w:val="24"/>
        </w:rPr>
        <w:t>Raw client training data is not sent to the federated aggregator during a normal FL round.</w:t>
      </w:r>
    </w:p>
    <w:p>
      <w:pPr>
        <w:pStyle w:val="ListBullet"/>
        <w:spacing w:after="60" w:line="288" w:lineRule="auto"/>
        <w:ind w:left="360" w:hanging="216"/>
      </w:pPr>
      <w:r>
        <w:rPr>
          <w:rFonts w:ascii="Times New Roman" w:hAnsi="Times New Roman" w:eastAsia="Times New Roman"/>
          <w:b w:val="0"/>
          <w:i w:val="0"/>
          <w:sz w:val="24"/>
        </w:rPr>
        <w:t>At least one forecasting task and one detection/risk task run through a federated workflow.</w:t>
      </w:r>
    </w:p>
    <w:p>
      <w:pPr>
        <w:pStyle w:val="ListBullet"/>
        <w:spacing w:after="60" w:line="288" w:lineRule="auto"/>
        <w:ind w:left="360" w:hanging="216"/>
      </w:pPr>
      <w:r>
        <w:rPr>
          <w:rFonts w:ascii="Times New Roman" w:hAnsi="Times New Roman" w:eastAsia="Times New Roman"/>
          <w:b w:val="0"/>
          <w:i w:val="0"/>
          <w:sz w:val="24"/>
        </w:rPr>
        <w:t>The dashboard can show local and global model metrics for multiple rounds.</w:t>
      </w:r>
    </w:p>
    <w:p>
      <w:pPr>
        <w:pStyle w:val="ListBullet"/>
        <w:spacing w:after="60" w:line="288" w:lineRule="auto"/>
        <w:ind w:left="360" w:hanging="216"/>
      </w:pPr>
      <w:r>
        <w:rPr>
          <w:rFonts w:ascii="Times New Roman" w:hAnsi="Times New Roman" w:eastAsia="Times New Roman"/>
          <w:b w:val="0"/>
          <w:i w:val="0"/>
          <w:sz w:val="24"/>
        </w:rPr>
        <w:t>High-risk simulated cases create an alert with a reason and recommended action.</w:t>
      </w:r>
    </w:p>
    <w:p>
      <w:pPr>
        <w:pStyle w:val="ListBullet"/>
        <w:spacing w:after="60" w:line="288" w:lineRule="auto"/>
        <w:ind w:left="360" w:hanging="216"/>
      </w:pPr>
      <w:r>
        <w:rPr>
          <w:rFonts w:ascii="Times New Roman" w:hAnsi="Times New Roman" w:eastAsia="Times New Roman"/>
          <w:b w:val="0"/>
          <w:i w:val="0"/>
          <w:sz w:val="24"/>
        </w:rPr>
        <w:t>Selected predictions show explainability information through SHAP or an equivalent supported method.</w:t>
      </w:r>
    </w:p>
    <w:p>
      <w:pPr>
        <w:pStyle w:val="ListBullet"/>
        <w:spacing w:after="60" w:line="288" w:lineRule="auto"/>
        <w:ind w:left="360" w:hanging="216"/>
      </w:pPr>
      <w:r>
        <w:rPr>
          <w:rFonts w:ascii="Times New Roman" w:hAnsi="Times New Roman" w:eastAsia="Times New Roman"/>
          <w:b w:val="0"/>
          <w:i w:val="0"/>
          <w:sz w:val="24"/>
        </w:rPr>
        <w:t>The Decision Agent cannot directly control simulated electrical equipment; it only recommends an action for operator approval.</w:t>
      </w:r>
    </w:p>
    <w:p>
      <w:pPr>
        <w:pStyle w:val="ListBullet"/>
        <w:spacing w:after="60" w:line="288" w:lineRule="auto"/>
        <w:ind w:left="360" w:hanging="216"/>
      </w:pPr>
      <w:r>
        <w:rPr>
          <w:rFonts w:ascii="Times New Roman" w:hAnsi="Times New Roman" w:eastAsia="Times New Roman"/>
          <w:b w:val="0"/>
          <w:i w:val="0"/>
          <w:sz w:val="24"/>
        </w:rPr>
        <w:t>Centralized, local, federated, and non-IID evaluation results can be reproduced from saved experiment settings.</w:t>
      </w:r>
    </w:p>
    <w:p>
      <w:pPr>
        <w:sectPr>
          <w:footerReference w:type="default" r:id="rId9"/>
          <w:footerReference w:type="first" r:id="rId10"/>
          <w:pgSz w:w="12240" w:h="15840"/>
          <w:pgMar w:top="1440" w:right="1440" w:bottom="1440" w:left="1440" w:header="720" w:footer="720" w:gutter="0"/>
          <w:cols w:space="720"/>
          <w:titlePg/>
          <w:docGrid w:linePitch="360"/>
        </w:sectPr>
      </w:pPr>
    </w:p>
    <w:p>
      <w:pPr>
        <w:pStyle w:val="Heading1"/>
        <w:spacing w:before="240" w:after="120" w:line="288" w:lineRule="auto"/>
        <w:jc w:val="left"/>
      </w:pPr>
      <w:r>
        <w:rPr>
          <w:rFonts w:ascii="Times New Roman" w:hAnsi="Times New Roman" w:eastAsia="Times New Roman"/>
          <w:b/>
          <w:i w:val="0"/>
          <w:sz w:val="32"/>
        </w:rPr>
        <w:t>12. Project Schedule</w:t>
      </w:r>
    </w:p>
    <w:p>
      <w:pPr>
        <w:widowControl/>
        <w:spacing w:before="0" w:after="120" w:line="288" w:lineRule="auto"/>
        <w:jc w:val="both"/>
      </w:pPr>
      <w:r>
        <w:rPr>
          <w:rFonts w:ascii="Times New Roman" w:hAnsi="Times New Roman" w:eastAsia="Times New Roman"/>
          <w:b w:val="0"/>
          <w:i w:val="0"/>
          <w:sz w:val="24"/>
        </w:rPr>
        <w:t>The schedule below is a preliminary 32-week plan covering two semesters. The week numbers can be aligned with the official SZABIST academic calendar after the proposal is approved. Tasks can overlap when necessary, but the major milestone order will remain the same.</w:t>
      </w:r>
    </w:p>
    <w:p>
      <w:pPr>
        <w:spacing w:before="160" w:after="100"/>
      </w:pPr>
      <w:r>
        <w:rPr>
          <w:rFonts w:ascii="Times New Roman" w:hAnsi="Times New Roman" w:eastAsia="Times New Roman"/>
          <w:b/>
          <w:i w:val="0"/>
          <w:sz w:val="28"/>
        </w:rPr>
        <w:t>Semester 1 (FYP-I) - Weeks 1 to 16</w:t>
      </w:r>
    </w:p>
    <w:tbl>
      <w:tblPr>
        <w:tblW w:type="auto" w:w="0"/>
        <w:jc w:val="center"/>
        <w:tblLayout w:type="fixed"/>
        <w:tblLook w:firstColumn="1" w:firstRow="1" w:lastColumn="0" w:lastRow="0" w:noHBand="0" w:noVBand="1" w:val="04A0"/>
      </w:tblPr>
      <w:tblGrid>
        <w:gridCol w:w="3672"/>
        <w:gridCol w:w="605"/>
        <w:gridCol w:w="605"/>
        <w:gridCol w:w="605"/>
        <w:gridCol w:w="605"/>
        <w:gridCol w:w="605"/>
        <w:gridCol w:w="605"/>
        <w:gridCol w:w="605"/>
        <w:gridCol w:w="605"/>
        <w:gridCol w:w="605"/>
        <w:gridCol w:w="605"/>
        <w:gridCol w:w="605"/>
        <w:gridCol w:w="605"/>
        <w:gridCol w:w="605"/>
        <w:gridCol w:w="605"/>
        <w:gridCol w:w="605"/>
        <w:gridCol w:w="605"/>
      </w:tblGrid>
      <w:tr>
        <w:trPr>
          <w:trHeight w:hRule="atLeast"/>
          <w:tblHeader w:val="true"/>
          <w:cantSplit/>
        </w:trPr>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Task</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W3</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W4</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W5</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W6</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W7</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W8</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W9</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W10</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W11</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W12</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W13</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W14</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W15</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W16</w:t>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Requirements and literature review</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Smart-grid domain study</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Dataset selection and acquisition</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Data cleaning and feature engineering</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Substation simulation design</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Baseline forecasting model</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Fault/anomaly baseline model</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Edge client prototype</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Flower two-client prototype</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FYP-I testing and report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r>
    </w:tbl>
    <w:p/>
    <w:p>
      <w:pPr>
        <w:spacing w:before="160" w:after="100"/>
      </w:pPr>
      <w:r>
        <w:rPr>
          <w:rFonts w:ascii="Times New Roman" w:hAnsi="Times New Roman" w:eastAsia="Times New Roman"/>
          <w:b/>
          <w:i w:val="0"/>
          <w:sz w:val="28"/>
        </w:rPr>
        <w:t>Semester 2 (FYP-II) - Weeks 17 to 32</w:t>
      </w:r>
    </w:p>
    <w:tbl>
      <w:tblPr>
        <w:tblW w:type="auto" w:w="0"/>
        <w:jc w:val="center"/>
        <w:tblLayout w:type="fixed"/>
        <w:tblLook w:firstColumn="1" w:firstRow="1" w:lastColumn="0" w:lastRow="0" w:noHBand="0" w:noVBand="1" w:val="04A0"/>
      </w:tblPr>
      <w:tblGrid>
        <w:gridCol w:w="3672"/>
        <w:gridCol w:w="605"/>
        <w:gridCol w:w="605"/>
        <w:gridCol w:w="605"/>
        <w:gridCol w:w="605"/>
        <w:gridCol w:w="605"/>
        <w:gridCol w:w="605"/>
        <w:gridCol w:w="605"/>
        <w:gridCol w:w="605"/>
        <w:gridCol w:w="605"/>
        <w:gridCol w:w="605"/>
        <w:gridCol w:w="605"/>
        <w:gridCol w:w="605"/>
        <w:gridCol w:w="605"/>
        <w:gridCol w:w="605"/>
        <w:gridCol w:w="605"/>
        <w:gridCol w:w="605"/>
      </w:tblGrid>
      <w:tr>
        <w:trPr>
          <w:trHeight w:hRule="atLeast"/>
          <w:tblHeader w:val="true"/>
          <w:cantSplit/>
        </w:trPr>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Task</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W17</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W18</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W19</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W20</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W21</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W22</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W23</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W24</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W25</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W26</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W27</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W28</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W29</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W30</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W31</w:t>
            </w:r>
          </w:p>
        </w:tc>
        <w:tc>
          <w:tcPr>
            <w:tcW w:type="dxa" w:w="813"/>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5"/>
              </w:rPr>
            </w:r>
            <w:r>
              <w:rPr>
                <w:rFonts w:ascii="Times New Roman" w:hAnsi="Times New Roman" w:eastAsia="Times New Roman"/>
                <w:b/>
                <w:i w:val="0"/>
                <w:color w:val="FFFFFF"/>
                <w:sz w:val="15"/>
              </w:rPr>
              <w:t>W32</w:t>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Four-client federated training</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Non-IID experiments</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Equipment risk model and scenarios</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Forecast/Fault/Security Agents</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Decision Agent and rules</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SHAP and Trustworthy AI</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MQTT / API integration</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Dashboard implementation</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tcP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Evaluation and comparison</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r>
      <w:tr>
        <w:trPr>
          <w:cantSplit/>
        </w:trPr>
        <w:tc>
          <w:tcPr>
            <w:tcW w:type="dxa" w:w="813"/>
            <w:vAlign w:val="center"/>
          </w:tcPr>
          <w:p>
            <w:pPr>
              <w:spacing w:after="0" w:before="0" w:line="240" w:lineRule="auto"/>
              <w:jc w:val="left"/>
            </w:pPr>
            <w:r/>
            <w:r>
              <w:rPr>
                <w:rFonts w:ascii="Times New Roman" w:hAnsi="Times New Roman" w:eastAsia="Times New Roman"/>
                <w:b/>
                <w:i w:val="0"/>
                <w:color w:val="000000"/>
                <w:sz w:val="15"/>
              </w:rPr>
              <w:t>Final testing, documentation, demo</w:t>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tcPr>
          <w:p>
            <w:pPr>
              <w:spacing w:after="0" w:before="0" w:line="240" w:lineRule="auto"/>
              <w:jc w:val="center"/>
            </w:pPr>
            <w:r/>
            <w:r>
              <w:rPr>
                <w:rFonts w:ascii="Times New Roman" w:hAnsi="Times New Roman" w:eastAsia="Times New Roman"/>
                <w:b w:val="0"/>
                <w:i w:val="0"/>
                <w:color w:val="000000"/>
                <w:sz w:val="14"/>
              </w:rPr>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c>
          <w:tcPr>
            <w:tcW w:type="dxa" w:w="813"/>
            <w:vAlign w:val="center"/>
            <w:shd w:fill="D9EAF7"/>
          </w:tcPr>
          <w:p>
            <w:pPr>
              <w:spacing w:after="0" w:before="0" w:line="240" w:lineRule="auto"/>
              <w:jc w:val="center"/>
            </w:pPr>
            <w:r/>
            <w:r>
              <w:rPr>
                <w:rFonts w:ascii="Times New Roman" w:hAnsi="Times New Roman" w:eastAsia="Times New Roman"/>
                <w:b w:val="0"/>
                <w:i w:val="0"/>
                <w:color w:val="000000"/>
                <w:sz w:val="14"/>
              </w:rPr>
              <w:t>■</w:t>
            </w:r>
          </w:p>
        </w:tc>
      </w:tr>
    </w:tbl>
    <w:p/>
    <w:p>
      <w:pPr>
        <w:sectPr>
          <w:pgSz w:w="15840" w:h="12240" w:orient="landscape"/>
          <w:pgMar w:top="1008" w:right="1008" w:bottom="1008" w:left="1008" w:header="720" w:footer="720" w:gutter="0"/>
          <w:cols w:space="720"/>
          <w:docGrid w:linePitch="360"/>
        </w:sectPr>
      </w:pPr>
    </w:p>
    <w:p>
      <w:pPr>
        <w:pStyle w:val="Heading1"/>
        <w:spacing w:before="240" w:after="120" w:line="288" w:lineRule="auto"/>
        <w:jc w:val="left"/>
      </w:pPr>
      <w:r>
        <w:rPr>
          <w:rFonts w:ascii="Times New Roman" w:hAnsi="Times New Roman" w:eastAsia="Times New Roman"/>
          <w:b/>
          <w:i w:val="0"/>
          <w:sz w:val="32"/>
        </w:rPr>
        <w:t>13. Work Breakdown Structure</w:t>
      </w:r>
    </w:p>
    <w:p>
      <w:pPr>
        <w:widowControl/>
        <w:spacing w:before="0" w:after="120" w:line="288" w:lineRule="auto"/>
        <w:jc w:val="both"/>
      </w:pPr>
      <w:r>
        <w:rPr>
          <w:rFonts w:ascii="Times New Roman" w:hAnsi="Times New Roman" w:eastAsia="Times New Roman"/>
          <w:b w:val="0"/>
          <w:i w:val="0"/>
          <w:sz w:val="24"/>
        </w:rPr>
        <w:t>The WBS divides the project into manageable tasks for each semester. The first semester focuses on understanding, data, simulation, baseline models, and the first federated prototype. The second semester focuses on the complete federated system, agentic layer, trustworthy AI, dashboard, evaluation, and final delivery.</w:t>
      </w:r>
    </w:p>
    <w:p>
      <w:pPr>
        <w:pStyle w:val="Heading2"/>
        <w:spacing w:before="160" w:after="120" w:line="288" w:lineRule="auto"/>
        <w:jc w:val="left"/>
      </w:pPr>
      <w:r>
        <w:rPr>
          <w:rFonts w:ascii="Times New Roman" w:hAnsi="Times New Roman" w:eastAsia="Times New Roman"/>
          <w:b/>
          <w:i w:val="0"/>
          <w:sz w:val="28"/>
        </w:rPr>
        <w:t>13.1 FYP-I Work Breakdown Structure</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115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WBS ID</w:t>
            </w:r>
          </w:p>
        </w:tc>
        <w:tc>
          <w:tcPr>
            <w:tcW w:type="dxa" w:w="432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Task / Sub-task</w:t>
            </w:r>
          </w:p>
        </w:tc>
        <w:tc>
          <w:tcPr>
            <w:tcW w:type="dxa" w:w="475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Deliverable / Milestone</w:t>
            </w:r>
          </w:p>
        </w:tc>
        <w:tc>
          <w:tcPr>
            <w:tcW w:type="dxa" w:w="144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Planned weeks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1.1</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Requirements gathering and project study</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Approved requirements and problem definition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1-2</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1.2</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Smart-grid and federated learning study</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Domain notes and architecture draft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1-3</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1.3</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Review public datasets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Dataset comparison and selection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2-4</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1.4</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 cleaning</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Reproducible preprocessing pipeline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3-6</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1.5</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Feature engineering</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Feature list and data dictionary</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4-6</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1.6</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Four substation simulation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Client profiles and non-IID partitions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4-7</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1.7</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Baseline demand forecasting</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Baseline forecasting model</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5-8</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1.8</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Fault/anomaly baseline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Initial detection model</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6-9</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1.9</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Edge client prototype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Local training/inference service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7-10</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1.10</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Flower prototype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Two-client FL round working</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9-12</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1.11</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Initial evaluation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Local vs early federated results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11-14</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1.12</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FYP-I report and review</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Semester report and presentation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13-16</w:t>
            </w:r>
          </w:p>
        </w:tc>
      </w:tr>
    </w:tbl>
    <w:p>
      <w:pPr>
        <w:spacing w:after="40"/>
      </w:pPr>
    </w:p>
    <w:p>
      <w:pPr>
        <w:pStyle w:val="Heading2"/>
        <w:spacing w:before="160" w:after="120" w:line="288" w:lineRule="auto"/>
        <w:jc w:val="left"/>
      </w:pPr>
      <w:r>
        <w:rPr>
          <w:rFonts w:ascii="Times New Roman" w:hAnsi="Times New Roman" w:eastAsia="Times New Roman"/>
          <w:b/>
          <w:i w:val="0"/>
          <w:sz w:val="28"/>
        </w:rPr>
        <w:t>13.2 FYP-II Work Breakdown Structure</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115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WBS ID</w:t>
            </w:r>
          </w:p>
        </w:tc>
        <w:tc>
          <w:tcPr>
            <w:tcW w:type="dxa" w:w="432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Task / Sub-task</w:t>
            </w:r>
          </w:p>
        </w:tc>
        <w:tc>
          <w:tcPr>
            <w:tcW w:type="dxa" w:w="4752"/>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Deliverable / Milestone</w:t>
            </w:r>
          </w:p>
        </w:tc>
        <w:tc>
          <w:tcPr>
            <w:tcW w:type="dxa" w:w="144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Planned weeks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2.1</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Four-client federated training</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Complete multi-client workflow</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17-19</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2.2</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Non-IID experiments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Client-distribution comparison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18-21</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2.3</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Equipment risk simulation/model</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Failure-risk module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19-22</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2.4</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Forecast Agent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Forecast agent service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20-23</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2.5</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Agent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Fault agent service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20-23</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2.6</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Security Agent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Security/anomaly agent service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21-24</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2.7</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Decision Agent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Rule-based coordination and recommendation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22-25</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2.8</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Trustworthy AI</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SHAP, confidence, audit trail, human approval</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23-27</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2.9</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MQTT and FastAPI integration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Integrated message/API layer</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24-27</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2.10</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Dashboard</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Grid overview, substation, FL, decision pages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25-29</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2.11</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Full evaluation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Centralized/local/federated/non-IID results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28-30</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2.12</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Testing, documentation, final demo</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Final report, user guide, defense/demo</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30-32</w:t>
            </w:r>
          </w:p>
        </w:tc>
      </w:tr>
    </w:tbl>
    <w:p>
      <w:pPr>
        <w:spacing w:after="40"/>
      </w:pPr>
    </w:p>
    <w:p>
      <w:pPr>
        <w:pStyle w:val="Heading2"/>
        <w:spacing w:before="160" w:after="120" w:line="288" w:lineRule="auto"/>
        <w:jc w:val="left"/>
      </w:pPr>
      <w:r>
        <w:rPr>
          <w:rFonts w:ascii="Times New Roman" w:hAnsi="Times New Roman" w:eastAsia="Times New Roman"/>
          <w:b/>
          <w:i w:val="0"/>
          <w:sz w:val="28"/>
        </w:rPr>
        <w:t>13.3 Development Phases</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194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Phase</w:t>
            </w:r>
          </w:p>
        </w:tc>
        <w:tc>
          <w:tcPr>
            <w:tcW w:type="dxa" w:w="2880"/>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Purpose</w:t>
            </w:r>
          </w:p>
        </w:tc>
        <w:tc>
          <w:tcPr>
            <w:tcW w:type="dxa" w:w="4248"/>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Main work</w:t>
            </w:r>
          </w:p>
        </w:tc>
        <w:tc>
          <w:tcPr>
            <w:tcW w:type="dxa" w:w="3024"/>
            <w:vAlign w:val="center"/>
            <w:shd w:fill="1F4E79"/>
            <w:tcBorders>
              <w:top w:sz="4" w:val="single" w:color="BFBFBF"/>
              <w:left w:sz="4" w:val="single" w:color="BFBFBF"/>
              <w:bottom w:sz="4" w:val="single" w:color="BFBFBF"/>
              <w:right w:sz="4" w:val="single" w:color="BFBFBF"/>
            </w:tcBorders>
          </w:tcPr>
          <w:p>
            <w:pPr>
              <w:spacing w:after="0" w:before="0" w:line="240" w:lineRule="auto"/>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Exit condition</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Phase 1 - Understand</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Build project knowledge</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Domain study, requirements, references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Team can explain problem and flow</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Phase 2 - Prepare data</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Make reliable inputs</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Datasets, cleaning, features, simulation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Data pipeline runs end-to-end</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Phase 3 - Build AI</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Create working models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Baseline models, local clients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Local prediction works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Phase 4 - Federate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Combine clients without raw-data transfer</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Flower, FedAvg, non-IID evaluation</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Global model improves / works across clients</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Phase 5 - Add agents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Turn predictions into decisions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Four agents and rules</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Scenario creates traceable recommendation</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Phase 6 - Trust</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Make AI understandable</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SHAP, confidence, logs, human approval</w:t>
            </w:r>
          </w:p>
        </w:tc>
        <w:tc>
          <w:tcPr>
            <w:tcW w:type="dxa" w:w="2340"/>
            <w:vAlign w:val="center"/>
            <w:tcBorders>
              <w:top w:sz="4" w:val="single" w:color="BFBFBF"/>
              <w:left w:sz="4" w:val="single" w:color="BFBFBF"/>
              <w:bottom w:sz="4" w:val="single" w:color="BFBFBF"/>
              <w:right w:sz="4" w:val="single" w:color="BFBFBF"/>
            </w:tcBorders>
            <w:shd w:fill="F8F8F8"/>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Alert contains explanation and control</w:t>
            </w:r>
          </w:p>
        </w:tc>
      </w:tr>
      <w:tr>
        <w:trPr>
          <w:trHeight w:hRule="atLeast"/>
          <w:cantSplit/>
        </w:trPr>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Phase 7 - Present</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Build usable demonstration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API, dashboard, tests, documentation</w:t>
            </w:r>
          </w:p>
        </w:tc>
        <w:tc>
          <w:tcPr>
            <w:tcW w:type="dxa" w:w="2340"/>
            <w:vAlign w:val="center"/>
            <w:tcBorders>
              <w:top w:sz="4" w:val="single" w:color="BFBFBF"/>
              <w:left w:sz="4" w:val="single" w:color="BFBFBF"/>
              <w:bottom w:sz="4" w:val="single" w:color="BFBFBF"/>
              <w:right w:sz="4" w:val="single" w:color="BFBFBF"/>
            </w:tcBorders>
          </w:tcPr>
          <w:p>
            <w:pPr>
              <w:spacing w:after="0" w:before="0" w:line="240" w:lineRule="auto"/>
              <w:jc w:val="left"/>
            </w:pPr>
            <w:r>
              <w:rPr>
                <w:rFonts w:ascii="Times New Roman" w:hAnsi="Times New Roman" w:eastAsia="Times New Roman"/>
                <w:b w:val="0"/>
                <w:i w:val="0"/>
                <w:sz w:val="16"/>
              </w:rPr>
            </w:r>
            <w:r>
              <w:rPr>
                <w:rFonts w:ascii="Times New Roman" w:hAnsi="Times New Roman" w:eastAsia="Times New Roman"/>
                <w:b w:val="0"/>
                <w:i w:val="0"/>
                <w:color w:val="000000"/>
                <w:sz w:val="16"/>
              </w:rPr>
              <w:t>Complete FYP demo runs from one workflow</w:t>
            </w:r>
          </w:p>
        </w:tc>
      </w:tr>
    </w:tbl>
    <w:p>
      <w:pPr>
        <w:spacing w:after="40"/>
      </w:pPr>
    </w:p>
    <w:p>
      <w:pPr>
        <w:pStyle w:val="Heading1"/>
        <w:spacing w:before="240" w:after="120" w:line="288" w:lineRule="auto"/>
        <w:jc w:val="left"/>
      </w:pPr>
      <w:r>
        <w:rPr>
          <w:rFonts w:ascii="Times New Roman" w:hAnsi="Times New Roman" w:eastAsia="Times New Roman"/>
          <w:b/>
          <w:i w:val="0"/>
          <w:sz w:val="32"/>
        </w:rPr>
        <w:t>14. References</w:t>
      </w:r>
    </w:p>
    <w:p>
      <w:pPr>
        <w:widowControl/>
        <w:spacing w:before="0" w:after="160" w:line="288" w:lineRule="auto"/>
        <w:jc w:val="both"/>
      </w:pPr>
      <w:r>
        <w:rPr>
          <w:rFonts w:ascii="Times New Roman" w:hAnsi="Times New Roman" w:eastAsia="Times New Roman"/>
          <w:b w:val="0"/>
          <w:i w:val="0"/>
          <w:sz w:val="24"/>
        </w:rPr>
        <w:t>The following references support the main technical choices used in this proposal. Reference numbering is also used inside the proposal text. Web references are included with access information so that the source can be checked during the FYP implementation.</w:t>
      </w:r>
    </w:p>
    <w:p>
      <w:pPr>
        <w:spacing w:after="120" w:line="288" w:lineRule="auto"/>
        <w:ind w:left="432" w:hanging="432"/>
      </w:pPr>
      <w:r>
        <w:rPr>
          <w:rFonts w:ascii="Times New Roman" w:hAnsi="Times New Roman" w:eastAsia="Times New Roman"/>
          <w:b w:val="0"/>
          <w:i w:val="0"/>
          <w:sz w:val="22"/>
        </w:rPr>
        <w:t>[1] McMahan, H. Brendan, Eider Moore, Daniel Ramage, Seth Hampson, and Blaise Agüera y Arcas. "Communication-Efficient Learning of Deep Networks from Decentralized Data." Proceedings of the 20th International Conference on Artificial Intelligence and Statistics (AISTATS), 2017. Available from: https://research.google/pubs/communication-efficient-learning-of-deep-networks-from-decentralized-data/.</w:t>
      </w:r>
    </w:p>
    <w:p>
      <w:pPr>
        <w:spacing w:after="120" w:line="288" w:lineRule="auto"/>
        <w:ind w:left="432" w:hanging="432"/>
      </w:pPr>
      <w:r>
        <w:rPr>
          <w:rFonts w:ascii="Times New Roman" w:hAnsi="Times New Roman" w:eastAsia="Times New Roman"/>
          <w:b w:val="0"/>
          <w:i w:val="0"/>
          <w:sz w:val="22"/>
        </w:rPr>
        <w:t>[2] Beutel, Daniel J., Taner Topal, Akhil Mathur, Xinchi Qiu, Javier Fernandez-Marques, Yan Gao, Lorenzo Sani, Kwing Hei Li, Titouan Parcollet, Pedro Porto Buarque de Gusmão, and Nicholas D. Lane. "Flower: A Friendly Federated Learning Research Framework." arXiv:2007.14390, 2020. Available from: https://arxiv.org/abs/2007.14390.</w:t>
      </w:r>
    </w:p>
    <w:p>
      <w:pPr>
        <w:spacing w:after="120" w:line="288" w:lineRule="auto"/>
        <w:ind w:left="432" w:hanging="432"/>
      </w:pPr>
      <w:r>
        <w:rPr>
          <w:rFonts w:ascii="Times New Roman" w:hAnsi="Times New Roman" w:eastAsia="Times New Roman"/>
          <w:b w:val="0"/>
          <w:i w:val="0"/>
          <w:sz w:val="22"/>
        </w:rPr>
        <w:t>[3] Lundberg, Scott M., and Su-In Lee. "A Unified Approach to Interpreting Model Predictions." Advances in Neural Information Processing Systems 30, 2017, pp. 4765-4774. Available from: https://papers.neurips.cc/paper_files/paper/2017/hash/8a20a8621978632d76c43dfd28b67767-Abstract.html.</w:t>
      </w:r>
    </w:p>
    <w:p>
      <w:pPr>
        <w:spacing w:after="120" w:line="288" w:lineRule="auto"/>
        <w:ind w:left="432" w:hanging="432"/>
      </w:pPr>
      <w:r>
        <w:rPr>
          <w:rFonts w:ascii="Times New Roman" w:hAnsi="Times New Roman" w:eastAsia="Times New Roman"/>
          <w:b w:val="0"/>
          <w:i w:val="0"/>
          <w:sz w:val="22"/>
        </w:rPr>
        <w:t>[4] Banks, Andrew, Ed Briggs, Ken Borgendale, and Rahul Gupta, eds. "MQTT Version 5.0." OASIS Standard, 7 March 2019. Available from: https://docs.oasis-open.org/mqtt/mqtt/v5.0/mqtt-v5.0.html.</w:t>
      </w:r>
    </w:p>
    <w:p>
      <w:pPr>
        <w:spacing w:after="120" w:line="288" w:lineRule="auto"/>
        <w:ind w:left="432" w:hanging="432"/>
      </w:pPr>
      <w:r>
        <w:rPr>
          <w:rFonts w:ascii="Times New Roman" w:hAnsi="Times New Roman" w:eastAsia="Times New Roman"/>
          <w:b w:val="0"/>
          <w:i w:val="0"/>
          <w:sz w:val="22"/>
        </w:rPr>
        <w:t>[5] Trindade, Alberto. "ElectricityLoadDiagrams20112014." UCI Machine Learning Repository, dataset 321, donated 2015. Available from: https://archive.ics.uci.edu/dataset/321/electricityloaddiagrams20112014.</w:t>
      </w:r>
    </w:p>
    <w:p>
      <w:pPr>
        <w:spacing w:after="120" w:line="288" w:lineRule="auto"/>
        <w:ind w:left="432" w:hanging="432"/>
      </w:pPr>
      <w:r>
        <w:rPr>
          <w:rFonts w:ascii="Times New Roman" w:hAnsi="Times New Roman" w:eastAsia="Times New Roman"/>
          <w:b w:val="0"/>
          <w:i w:val="0"/>
          <w:sz w:val="22"/>
        </w:rPr>
        <w:t>[6] Hebrail, Georges, and Alice Berard. "Individual Household Electric Power Consumption." UCI Machine Learning Repository, dataset 235. DOI: 10.24432/C58K54. Available from: https://archive.ics.uci.edu/dataset/235/individual%2Bhousehold%2Belectric%2Bpower%2Bconsumption.</w:t>
      </w:r>
    </w:p>
    <w:p>
      <w:pPr>
        <w:spacing w:after="120" w:line="288" w:lineRule="auto"/>
        <w:ind w:left="432" w:hanging="432"/>
      </w:pPr>
      <w:r>
        <w:rPr>
          <w:rFonts w:ascii="Times New Roman" w:hAnsi="Times New Roman" w:eastAsia="Times New Roman"/>
          <w:b w:val="0"/>
          <w:i w:val="0"/>
          <w:sz w:val="22"/>
        </w:rPr>
        <w:t>[7] PyTorch. "PyTorch Documentation." Available from: https://pytorch.org/docs/stable/. Accessed September 20, 2026.</w:t>
      </w:r>
    </w:p>
    <w:p>
      <w:pPr>
        <w:spacing w:after="120" w:line="288" w:lineRule="auto"/>
        <w:ind w:left="432" w:hanging="432"/>
      </w:pPr>
      <w:r>
        <w:rPr>
          <w:rFonts w:ascii="Times New Roman" w:hAnsi="Times New Roman" w:eastAsia="Times New Roman"/>
          <w:b w:val="0"/>
          <w:i w:val="0"/>
          <w:sz w:val="22"/>
        </w:rPr>
        <w:t>[8] Scikit-learn developers. "Scikit-learn User Guide and API Reference." Available from: https://scikit-learn.org/stable/. Accessed September 20, 2026.</w:t>
      </w:r>
    </w:p>
    <w:p>
      <w:pPr>
        <w:spacing w:after="120" w:line="288" w:lineRule="auto"/>
        <w:ind w:left="432" w:hanging="432"/>
      </w:pPr>
      <w:r>
        <w:rPr>
          <w:rFonts w:ascii="Times New Roman" w:hAnsi="Times New Roman" w:eastAsia="Times New Roman"/>
          <w:b w:val="0"/>
          <w:i w:val="0"/>
          <w:sz w:val="22"/>
        </w:rPr>
        <w:t>[9] FastAPI. "FastAPI Documentation." Available from: https://fastapi.tiangolo.com/. Accessed September 20, 2026.</w:t>
      </w:r>
    </w:p>
    <w:p>
      <w:pPr>
        <w:spacing w:after="120" w:line="288" w:lineRule="auto"/>
        <w:ind w:left="432" w:hanging="432"/>
      </w:pPr>
      <w:r>
        <w:rPr>
          <w:rFonts w:ascii="Times New Roman" w:hAnsi="Times New Roman" w:eastAsia="Times New Roman"/>
          <w:b w:val="0"/>
          <w:i w:val="0"/>
          <w:sz w:val="22"/>
        </w:rPr>
        <w:t>[10] Streamlit. "Streamlit Documentation." Available from: https://docs.streamlit.io/. Accessed September 20, 2026.</w:t>
      </w:r>
    </w:p>
    <w:p>
      <w:pPr>
        <w:spacing w:after="120" w:line="288" w:lineRule="auto"/>
        <w:ind w:left="432" w:hanging="432"/>
      </w:pPr>
      <w:r>
        <w:rPr>
          <w:rFonts w:ascii="Times New Roman" w:hAnsi="Times New Roman" w:eastAsia="Times New Roman"/>
          <w:b w:val="0"/>
          <w:i w:val="0"/>
          <w:sz w:val="22"/>
        </w:rPr>
        <w:t>[11] Docker. "Docker Documentation." Available from: https://docs.docker.com/. Accessed September 20, 2026.</w:t>
      </w:r>
    </w:p>
    <w:p>
      <w:pPr>
        <w:widowControl/>
        <w:spacing w:before="240" w:after="0" w:line="288" w:lineRule="auto"/>
        <w:jc w:val="both"/>
      </w:pPr>
      <w:r>
        <w:rPr>
          <w:rFonts w:ascii="Times New Roman" w:hAnsi="Times New Roman" w:eastAsia="Times New Roman"/>
          <w:b w:val="0"/>
          <w:i/>
          <w:sz w:val="21"/>
        </w:rPr>
        <w:t>Note: The exact final public dataset combination and model architecture will be confirmed after the FYP-I data-quality and baseline experiments. The proposal intentionally separates public real-world electricity data from simulated equipment and fault signals so that every project claim can be traced to a clear data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8"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88"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8"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