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0D2B4E"/>
          <w:sz w:val="48"/>
          <w:szCs w:val="48"/>
        </w:rPr>
        <w:t xml:space="preserve">Architecture Documentation</w:t>
      </w:r>
    </w:p>
    <w:p>
      <w:pPr>
        <w:spacing w:after="400"/>
        <w:jc w:val="center"/>
      </w:pPr>
      <w:r>
        <w:rPr>
          <w:b/>
          <w:bCs/>
          <w:color w:val="1976D2"/>
          <w:sz w:val="28"/>
          <w:szCs w:val="28"/>
        </w:rPr>
        <w:t xml:space="preserve">AI Summer Internship 2026</w:t>
      </w:r>
    </w:p>
    <w:p>
      <w:pPr>
        <w:spacing w:after="800"/>
        <w:jc w:val="center"/>
      </w:pPr>
      <w:r>
        <w:rPr>
          <w:i/>
          <w:iCs/>
          <w:color w:val="222222"/>
          <w:sz w:val="24"/>
          <w:szCs w:val="24"/>
        </w:rPr>
        <w:t xml:space="preserve">Assignment 5</w:t>
      </w:r>
    </w:p>
    <w:p>
      <w:pPr>
        <w:spacing w:after="700"/>
        <w:jc w:val="center"/>
      </w:pPr>
      <w:r>
        <w:rPr>
          <w:b/>
          <w:bCs/>
          <w:color w:val="0D2B4E"/>
          <w:sz w:val="26"/>
          <w:szCs w:val="26"/>
        </w:rPr>
        <w:t xml:space="preserve">Title: Vision Toolkit Architecture Documentation</w:t>
      </w:r>
    </w:p>
    <w:p>
      <w:pPr>
        <w:spacing w:after="120"/>
        <w:jc w:val="center"/>
      </w:pPr>
      <w:r>
        <w:rPr>
          <w:b/>
          <w:bCs/>
          <w:color w:val="222222"/>
          <w:sz w:val="24"/>
          <w:szCs w:val="24"/>
        </w:rPr>
        <w:t xml:space="preserve">Submitted By: </w:t>
      </w:r>
      <w:r>
        <w:rPr>
          <w:color w:val="222222"/>
          <w:sz w:val="24"/>
          <w:szCs w:val="24"/>
        </w:rPr>
        <w:t xml:space="preserve">Muhammad Saqlain</w:t>
      </w:r>
    </w:p>
    <w:p>
      <w:pPr>
        <w:spacing w:after="120"/>
        <w:jc w:val="center"/>
      </w:pPr>
      <w:r>
        <w:rPr>
          <w:b/>
          <w:bCs/>
          <w:color w:val="222222"/>
          <w:sz w:val="24"/>
          <w:szCs w:val="24"/>
        </w:rPr>
        <w:t xml:space="preserve">Department: </w:t>
      </w:r>
      <w:r>
        <w:rPr>
          <w:color w:val="222222"/>
          <w:sz w:val="24"/>
          <w:szCs w:val="24"/>
        </w:rPr>
        <w:t xml:space="preserve">BS Artificial Intelligence</w:t>
      </w:r>
    </w:p>
    <w:p>
      <w:pPr>
        <w:spacing w:after="120"/>
        <w:jc w:val="center"/>
      </w:pPr>
      <w:r>
        <w:rPr>
          <w:b/>
          <w:bCs/>
          <w:color w:val="222222"/>
          <w:sz w:val="24"/>
          <w:szCs w:val="24"/>
        </w:rPr>
        <w:t xml:space="preserve">University: </w:t>
      </w:r>
      <w:r>
        <w:rPr>
          <w:color w:val="222222"/>
          <w:sz w:val="24"/>
          <w:szCs w:val="24"/>
        </w:rPr>
        <w:t xml:space="preserve">The University of Faisalabad</w:t>
      </w:r>
    </w:p>
    <w:p>
      <w:r>
        <w:br w:type="page"/>
      </w:r>
    </w:p>
    <w:p>
      <w:pPr>
        <w:pStyle w:val="Heading1"/>
        <w:spacing w:after="160" w:before="320"/>
      </w:pPr>
      <w:r>
        <w:rPr>
          <w:b/>
          <w:bCs/>
          <w:color w:val="0D2B4E"/>
        </w:rPr>
        <w:t xml:space="preserve">System Architecture</w:t>
      </w:r>
    </w:p>
    <w:p>
      <w:pPr>
        <w:spacing w:after="160" w:line="300"/>
      </w:pPr>
      <w:r>
        <w:rPr>
          <w:color w:val="222222"/>
          <w:sz w:val="22"/>
          <w:szCs w:val="22"/>
        </w:rPr>
        <w:t xml:space="preserve">The diagram below illustrates the end-to-end flow of the Vision Toolkit application, from the moment a user uploads an image through to the final saved output.</w:t>
      </w:r>
    </w:p>
    <w:p>
      <w:pPr>
        <w:spacing w:after="200" w:before="200"/>
        <w:jc w:val="center"/>
      </w:pPr>
      <w:r>
        <w:drawing>
          <wp:inline distT="0" distB="0" distL="0" distR="0">
            <wp:extent cx="38100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581650"/>
                    </a:xfrm>
                    <a:prstGeom prst="rect">
                      <a:avLst/>
                    </a:prstGeom>
                  </pic:spPr>
                </pic:pic>
              </a:graphicData>
            </a:graphic>
          </wp:inline>
        </w:drawing>
      </w:r>
    </w:p>
    <w:p>
      <w:pPr>
        <w:spacing w:after="300"/>
        <w:jc w:val="center"/>
      </w:pPr>
      <w:r>
        <w:rPr>
          <w:i/>
          <w:iCs/>
          <w:color w:val="555555"/>
          <w:sz w:val="18"/>
          <w:szCs w:val="18"/>
        </w:rPr>
        <w:t xml:space="preserve">Figure 1: Vision Toolkit Architecture — five-stage processing pipeline</w:t>
      </w:r>
    </w:p>
    <w:p>
      <w:pPr>
        <w:pStyle w:val="Heading2"/>
        <w:spacing w:after="160" w:before="320"/>
      </w:pPr>
      <w:r>
        <w:rPr>
          <w:b/>
          <w:bCs/>
          <w:color w:val="0D2B4E"/>
        </w:rPr>
        <w:t xml:space="preserve">Stage 1 – User</w:t>
      </w:r>
    </w:p>
    <w:p>
      <w:pPr>
        <w:spacing w:after="160" w:line="300"/>
      </w:pPr>
      <w:r>
        <w:rPr>
          <w:color w:val="222222"/>
          <w:sz w:val="22"/>
          <w:szCs w:val="22"/>
        </w:rPr>
        <w:t xml:space="preserve">The user is the starting point of the Vision Toolkit application. The user interacts with the graphical interface to upload an image and select different image processing operations. The application is designed to provide an easy-to-use interface where users can perform computer vision tasks without writing code.</w:t>
      </w:r>
    </w:p>
    <w:p>
      <w:pPr>
        <w:spacing w:after="100" w:before="100"/>
      </w:pPr>
      <w:r>
        <w:rPr>
          <w:b/>
          <w:bCs/>
          <w:color w:val="0D2B4E"/>
          <w:sz w:val="22"/>
          <w:szCs w:val="22"/>
        </w:rPr>
        <w:t xml:space="preserve">Responsibilities</w:t>
      </w:r>
    </w:p>
    <w:p>
      <w:pPr>
        <w:pStyle w:val="ListParagraph"/>
        <w:numPr>
          <w:ilvl w:val="0"/>
          <w:numId w:val="2"/>
        </w:numPr>
        <w:spacing w:after="60"/>
      </w:pPr>
      <w:r>
        <w:rPr>
          <w:color w:val="222222"/>
          <w:sz w:val="22"/>
          <w:szCs w:val="22"/>
        </w:rPr>
        <w:t xml:space="preserve">Launch the application</w:t>
      </w:r>
    </w:p>
    <w:p>
      <w:pPr>
        <w:pStyle w:val="ListParagraph"/>
        <w:numPr>
          <w:ilvl w:val="0"/>
          <w:numId w:val="2"/>
        </w:numPr>
        <w:spacing w:after="60"/>
      </w:pPr>
      <w:r>
        <w:rPr>
          <w:color w:val="222222"/>
          <w:sz w:val="22"/>
          <w:szCs w:val="22"/>
        </w:rPr>
        <w:t xml:space="preserve">Upload an image</w:t>
      </w:r>
    </w:p>
    <w:p>
      <w:pPr>
        <w:pStyle w:val="ListParagraph"/>
        <w:numPr>
          <w:ilvl w:val="0"/>
          <w:numId w:val="2"/>
        </w:numPr>
        <w:spacing w:after="60"/>
      </w:pPr>
      <w:r>
        <w:rPr>
          <w:color w:val="222222"/>
          <w:sz w:val="22"/>
          <w:szCs w:val="22"/>
        </w:rPr>
        <w:t xml:space="preserve">Choose image processing operations</w:t>
      </w:r>
    </w:p>
    <w:p>
      <w:pPr>
        <w:pStyle w:val="ListParagraph"/>
        <w:numPr>
          <w:ilvl w:val="0"/>
          <w:numId w:val="2"/>
        </w:numPr>
        <w:spacing w:after="60"/>
      </w:pPr>
      <w:r>
        <w:rPr>
          <w:color w:val="222222"/>
          <w:sz w:val="22"/>
          <w:szCs w:val="22"/>
        </w:rPr>
        <w:t xml:space="preserve">Save the processed image</w:t>
      </w:r>
    </w:p>
    <w:p>
      <w:pPr>
        <w:pStyle w:val="Heading2"/>
        <w:spacing w:after="160" w:before="320"/>
      </w:pPr>
      <w:r>
        <w:rPr>
          <w:b/>
          <w:bCs/>
          <w:color w:val="0D2B4E"/>
        </w:rPr>
        <w:t xml:space="preserve">Stage 2 – Image Input</w:t>
      </w:r>
    </w:p>
    <w:p>
      <w:pPr>
        <w:spacing w:after="160" w:line="300"/>
      </w:pPr>
      <w:r>
        <w:rPr>
          <w:color w:val="222222"/>
          <w:sz w:val="22"/>
          <w:szCs w:val="22"/>
        </w:rPr>
        <w:t xml:space="preserve">The Image Input module receives images from the user through a file dialog. OpenCV loads the selected image into memory using the cv2.imread() function. The application supports common image formats such as JPG, PNG, BMP, and JPEG.</w:t>
      </w:r>
    </w:p>
    <w:p>
      <w:pPr>
        <w:spacing w:after="100" w:before="100"/>
      </w:pPr>
      <w:r>
        <w:rPr>
          <w:b/>
          <w:bCs/>
          <w:color w:val="0D2B4E"/>
          <w:sz w:val="22"/>
          <w:szCs w:val="22"/>
        </w:rPr>
        <w:t xml:space="preserve">Functions</w:t>
      </w:r>
    </w:p>
    <w:p>
      <w:pPr>
        <w:pStyle w:val="ListParagraph"/>
        <w:numPr>
          <w:ilvl w:val="0"/>
          <w:numId w:val="2"/>
        </w:numPr>
        <w:spacing w:after="60"/>
      </w:pPr>
      <w:r>
        <w:rPr>
          <w:color w:val="222222"/>
          <w:sz w:val="22"/>
          <w:szCs w:val="22"/>
        </w:rPr>
        <w:t xml:space="preserve">Browse image</w:t>
      </w:r>
    </w:p>
    <w:p>
      <w:pPr>
        <w:pStyle w:val="ListParagraph"/>
        <w:numPr>
          <w:ilvl w:val="0"/>
          <w:numId w:val="2"/>
        </w:numPr>
        <w:spacing w:after="60"/>
      </w:pPr>
      <w:r>
        <w:rPr>
          <w:color w:val="222222"/>
          <w:sz w:val="22"/>
          <w:szCs w:val="22"/>
        </w:rPr>
        <w:t xml:space="preserve">Load image</w:t>
      </w:r>
    </w:p>
    <w:p>
      <w:pPr>
        <w:pStyle w:val="ListParagraph"/>
        <w:numPr>
          <w:ilvl w:val="0"/>
          <w:numId w:val="2"/>
        </w:numPr>
        <w:spacing w:after="60"/>
      </w:pPr>
      <w:r>
        <w:rPr>
          <w:color w:val="222222"/>
          <w:sz w:val="22"/>
          <w:szCs w:val="22"/>
        </w:rPr>
        <w:t xml:space="preserve">Validate image format</w:t>
      </w:r>
    </w:p>
    <w:p>
      <w:pPr>
        <w:pStyle w:val="ListParagraph"/>
        <w:numPr>
          <w:ilvl w:val="0"/>
          <w:numId w:val="2"/>
        </w:numPr>
        <w:spacing w:after="60"/>
      </w:pPr>
      <w:r>
        <w:rPr>
          <w:color w:val="222222"/>
          <w:sz w:val="22"/>
          <w:szCs w:val="22"/>
        </w:rPr>
        <w:t xml:space="preserve">Store image in memory</w:t>
      </w:r>
    </w:p>
    <w:p>
      <w:pPr>
        <w:pStyle w:val="Heading2"/>
        <w:spacing w:after="160" w:before="320"/>
      </w:pPr>
      <w:r>
        <w:rPr>
          <w:b/>
          <w:bCs/>
          <w:color w:val="0D2B4E"/>
        </w:rPr>
        <w:t xml:space="preserve">Stage 3 – OpenCV Processing</w:t>
      </w:r>
    </w:p>
    <w:p>
      <w:pPr>
        <w:spacing w:after="160" w:line="300"/>
      </w:pPr>
      <w:r>
        <w:rPr>
          <w:color w:val="222222"/>
          <w:sz w:val="22"/>
          <w:szCs w:val="22"/>
        </w:rPr>
        <w:t xml:space="preserve">This is the core processing module of the application. It applies various computer vision algorithms to the uploaded image.</w:t>
      </w:r>
    </w:p>
    <w:p>
      <w:pPr>
        <w:spacing w:after="100" w:before="100"/>
      </w:pPr>
      <w:r>
        <w:rPr>
          <w:b/>
          <w:bCs/>
          <w:color w:val="0D2B4E"/>
          <w:sz w:val="22"/>
          <w:szCs w:val="22"/>
        </w:rPr>
        <w:t xml:space="preserve">Processing Operations</w:t>
      </w:r>
    </w:p>
    <w:p>
      <w:pPr>
        <w:pStyle w:val="ListParagraph"/>
        <w:numPr>
          <w:ilvl w:val="0"/>
          <w:numId w:val="2"/>
        </w:numPr>
        <w:spacing w:after="60"/>
      </w:pPr>
      <w:r>
        <w:rPr>
          <w:color w:val="222222"/>
          <w:sz w:val="22"/>
          <w:szCs w:val="22"/>
        </w:rPr>
        <w:t xml:space="preserve">Grayscale Conversion</w:t>
      </w:r>
    </w:p>
    <w:p>
      <w:pPr>
        <w:pStyle w:val="ListParagraph"/>
        <w:numPr>
          <w:ilvl w:val="0"/>
          <w:numId w:val="2"/>
        </w:numPr>
        <w:spacing w:after="60"/>
      </w:pPr>
      <w:r>
        <w:rPr>
          <w:color w:val="222222"/>
          <w:sz w:val="22"/>
          <w:szCs w:val="22"/>
        </w:rPr>
        <w:t xml:space="preserve">Gaussian Blur</w:t>
      </w:r>
    </w:p>
    <w:p>
      <w:pPr>
        <w:pStyle w:val="ListParagraph"/>
        <w:numPr>
          <w:ilvl w:val="0"/>
          <w:numId w:val="2"/>
        </w:numPr>
        <w:spacing w:after="60"/>
      </w:pPr>
      <w:r>
        <w:rPr>
          <w:color w:val="222222"/>
          <w:sz w:val="22"/>
          <w:szCs w:val="22"/>
        </w:rPr>
        <w:t xml:space="preserve">Median Blur</w:t>
      </w:r>
    </w:p>
    <w:p>
      <w:pPr>
        <w:pStyle w:val="ListParagraph"/>
        <w:numPr>
          <w:ilvl w:val="0"/>
          <w:numId w:val="2"/>
        </w:numPr>
        <w:spacing w:after="60"/>
      </w:pPr>
      <w:r>
        <w:rPr>
          <w:color w:val="222222"/>
          <w:sz w:val="22"/>
          <w:szCs w:val="22"/>
        </w:rPr>
        <w:t xml:space="preserve">Binary Thresholding</w:t>
      </w:r>
    </w:p>
    <w:p>
      <w:pPr>
        <w:pStyle w:val="ListParagraph"/>
        <w:numPr>
          <w:ilvl w:val="0"/>
          <w:numId w:val="2"/>
        </w:numPr>
        <w:spacing w:after="60"/>
      </w:pPr>
      <w:r>
        <w:rPr>
          <w:color w:val="222222"/>
          <w:sz w:val="22"/>
          <w:szCs w:val="22"/>
        </w:rPr>
        <w:t xml:space="preserve">Adaptive Thresholding</w:t>
      </w:r>
    </w:p>
    <w:p>
      <w:pPr>
        <w:pStyle w:val="ListParagraph"/>
        <w:numPr>
          <w:ilvl w:val="0"/>
          <w:numId w:val="2"/>
        </w:numPr>
        <w:spacing w:after="60"/>
      </w:pPr>
      <w:r>
        <w:rPr>
          <w:color w:val="222222"/>
          <w:sz w:val="22"/>
          <w:szCs w:val="22"/>
        </w:rPr>
        <w:t xml:space="preserve">Canny Edge Detection</w:t>
      </w:r>
    </w:p>
    <w:p>
      <w:pPr>
        <w:pStyle w:val="ListParagraph"/>
        <w:numPr>
          <w:ilvl w:val="0"/>
          <w:numId w:val="2"/>
        </w:numPr>
        <w:spacing w:after="60"/>
      </w:pPr>
      <w:r>
        <w:rPr>
          <w:color w:val="222222"/>
          <w:sz w:val="22"/>
          <w:szCs w:val="22"/>
        </w:rPr>
        <w:t xml:space="preserve">Drawing Rectangle</w:t>
      </w:r>
    </w:p>
    <w:p>
      <w:pPr>
        <w:pStyle w:val="ListParagraph"/>
        <w:numPr>
          <w:ilvl w:val="0"/>
          <w:numId w:val="2"/>
        </w:numPr>
        <w:spacing w:after="60"/>
      </w:pPr>
      <w:r>
        <w:rPr>
          <w:color w:val="222222"/>
          <w:sz w:val="22"/>
          <w:szCs w:val="22"/>
        </w:rPr>
        <w:t xml:space="preserve">Drawing Circle</w:t>
      </w:r>
    </w:p>
    <w:p>
      <w:pPr>
        <w:pStyle w:val="ListParagraph"/>
        <w:numPr>
          <w:ilvl w:val="0"/>
          <w:numId w:val="2"/>
        </w:numPr>
        <w:spacing w:after="60"/>
      </w:pPr>
      <w:r>
        <w:rPr>
          <w:color w:val="222222"/>
          <w:sz w:val="22"/>
          <w:szCs w:val="22"/>
        </w:rPr>
        <w:t xml:space="preserve">Drawing Line</w:t>
      </w:r>
    </w:p>
    <w:p>
      <w:pPr>
        <w:pStyle w:val="ListParagraph"/>
        <w:numPr>
          <w:ilvl w:val="0"/>
          <w:numId w:val="2"/>
        </w:numPr>
        <w:spacing w:after="60"/>
      </w:pPr>
      <w:r>
        <w:rPr>
          <w:color w:val="222222"/>
          <w:sz w:val="22"/>
          <w:szCs w:val="22"/>
        </w:rPr>
        <w:t xml:space="preserve">Adding Text</w:t>
      </w:r>
    </w:p>
    <w:p>
      <w:pPr>
        <w:spacing w:after="160" w:line="300"/>
      </w:pPr>
      <w:r>
        <w:rPr>
          <w:color w:val="222222"/>
          <w:sz w:val="22"/>
          <w:szCs w:val="22"/>
        </w:rPr>
        <w:t xml:space="preserve">Each operation transforms the original image into a processed version while preserving the original image.</w:t>
      </w:r>
    </w:p>
    <w:p>
      <w:pPr>
        <w:pStyle w:val="Heading2"/>
        <w:spacing w:after="160" w:before="320"/>
      </w:pPr>
      <w:r>
        <w:rPr>
          <w:b/>
          <w:bCs/>
          <w:color w:val="0D2B4E"/>
        </w:rPr>
        <w:t xml:space="preserve">Stage 4 – Visualization</w:t>
      </w:r>
    </w:p>
    <w:p>
      <w:pPr>
        <w:spacing w:after="160" w:line="300"/>
      </w:pPr>
      <w:r>
        <w:rPr>
          <w:color w:val="222222"/>
          <w:sz w:val="22"/>
          <w:szCs w:val="22"/>
        </w:rPr>
        <w:t xml:space="preserve">The Visualization module displays the processed image on the application's interface. It also presents important image information such as width, height, resolution, number of channels, and file size.</w:t>
      </w:r>
    </w:p>
    <w:p>
      <w:pPr>
        <w:spacing w:after="100" w:before="100"/>
      </w:pPr>
      <w:r>
        <w:rPr>
          <w:b/>
          <w:bCs/>
          <w:color w:val="0D2B4E"/>
          <w:sz w:val="22"/>
          <w:szCs w:val="22"/>
        </w:rPr>
        <w:t xml:space="preserve">Displayed Information</w:t>
      </w:r>
    </w:p>
    <w:p>
      <w:pPr>
        <w:pStyle w:val="ListParagraph"/>
        <w:numPr>
          <w:ilvl w:val="0"/>
          <w:numId w:val="2"/>
        </w:numPr>
        <w:spacing w:after="60"/>
      </w:pPr>
      <w:r>
        <w:rPr>
          <w:color w:val="222222"/>
          <w:sz w:val="22"/>
          <w:szCs w:val="22"/>
        </w:rPr>
        <w:t xml:space="preserve">Original image</w:t>
      </w:r>
    </w:p>
    <w:p>
      <w:pPr>
        <w:pStyle w:val="ListParagraph"/>
        <w:numPr>
          <w:ilvl w:val="0"/>
          <w:numId w:val="2"/>
        </w:numPr>
        <w:spacing w:after="60"/>
      </w:pPr>
      <w:r>
        <w:rPr>
          <w:color w:val="222222"/>
          <w:sz w:val="22"/>
          <w:szCs w:val="22"/>
        </w:rPr>
        <w:t xml:space="preserve">Processed image</w:t>
      </w:r>
    </w:p>
    <w:p>
      <w:pPr>
        <w:pStyle w:val="ListParagraph"/>
        <w:numPr>
          <w:ilvl w:val="0"/>
          <w:numId w:val="2"/>
        </w:numPr>
        <w:spacing w:after="60"/>
      </w:pPr>
      <w:r>
        <w:rPr>
          <w:color w:val="222222"/>
          <w:sz w:val="22"/>
          <w:szCs w:val="22"/>
        </w:rPr>
        <w:t xml:space="preserve">Width</w:t>
      </w:r>
    </w:p>
    <w:p>
      <w:pPr>
        <w:pStyle w:val="ListParagraph"/>
        <w:numPr>
          <w:ilvl w:val="0"/>
          <w:numId w:val="2"/>
        </w:numPr>
        <w:spacing w:after="60"/>
      </w:pPr>
      <w:r>
        <w:rPr>
          <w:color w:val="222222"/>
          <w:sz w:val="22"/>
          <w:szCs w:val="22"/>
        </w:rPr>
        <w:t xml:space="preserve">Height</w:t>
      </w:r>
    </w:p>
    <w:p>
      <w:pPr>
        <w:pStyle w:val="ListParagraph"/>
        <w:numPr>
          <w:ilvl w:val="0"/>
          <w:numId w:val="2"/>
        </w:numPr>
        <w:spacing w:after="60"/>
      </w:pPr>
      <w:r>
        <w:rPr>
          <w:color w:val="222222"/>
          <w:sz w:val="22"/>
          <w:szCs w:val="22"/>
        </w:rPr>
        <w:t xml:space="preserve">Resolution</w:t>
      </w:r>
    </w:p>
    <w:p>
      <w:pPr>
        <w:pStyle w:val="ListParagraph"/>
        <w:numPr>
          <w:ilvl w:val="0"/>
          <w:numId w:val="2"/>
        </w:numPr>
        <w:spacing w:after="60"/>
      </w:pPr>
      <w:r>
        <w:rPr>
          <w:color w:val="222222"/>
          <w:sz w:val="22"/>
          <w:szCs w:val="22"/>
        </w:rPr>
        <w:t xml:space="preserve">Channels</w:t>
      </w:r>
    </w:p>
    <w:p>
      <w:pPr>
        <w:pStyle w:val="ListParagraph"/>
        <w:numPr>
          <w:ilvl w:val="0"/>
          <w:numId w:val="2"/>
        </w:numPr>
        <w:spacing w:after="60"/>
      </w:pPr>
      <w:r>
        <w:rPr>
          <w:color w:val="222222"/>
          <w:sz w:val="22"/>
          <w:szCs w:val="22"/>
        </w:rPr>
        <w:t xml:space="preserve">File size</w:t>
      </w:r>
    </w:p>
    <w:p>
      <w:pPr>
        <w:spacing w:after="160" w:line="300"/>
      </w:pPr>
      <w:r>
        <w:rPr>
          <w:color w:val="222222"/>
          <w:sz w:val="22"/>
          <w:szCs w:val="22"/>
        </w:rPr>
        <w:t xml:space="preserve">This module provides immediate visual feedback to the user after every processing operation.</w:t>
      </w:r>
    </w:p>
    <w:p>
      <w:pPr>
        <w:pStyle w:val="Heading2"/>
        <w:spacing w:after="160" w:before="320"/>
      </w:pPr>
      <w:r>
        <w:rPr>
          <w:b/>
          <w:bCs/>
          <w:color w:val="0D2B4E"/>
        </w:rPr>
        <w:t xml:space="preserve">Stage 5 – Output</w:t>
      </w:r>
    </w:p>
    <w:p>
      <w:pPr>
        <w:spacing w:after="160" w:line="300"/>
      </w:pPr>
      <w:r>
        <w:rPr>
          <w:color w:val="222222"/>
          <w:sz w:val="22"/>
          <w:szCs w:val="22"/>
        </w:rPr>
        <w:t xml:space="preserve">The Output module allows the user to save the processed image. The application writes the processed image to disk using OpenCV's cv2.imwrite() function.</w:t>
      </w:r>
    </w:p>
    <w:p>
      <w:pPr>
        <w:spacing w:after="100" w:before="100"/>
      </w:pPr>
      <w:r>
        <w:rPr>
          <w:b/>
          <w:bCs/>
          <w:color w:val="0D2B4E"/>
          <w:sz w:val="22"/>
          <w:szCs w:val="22"/>
        </w:rPr>
        <w:t xml:space="preserve">Output Features</w:t>
      </w:r>
    </w:p>
    <w:p>
      <w:pPr>
        <w:pStyle w:val="ListParagraph"/>
        <w:numPr>
          <w:ilvl w:val="0"/>
          <w:numId w:val="2"/>
        </w:numPr>
        <w:spacing w:after="60"/>
      </w:pPr>
      <w:r>
        <w:rPr>
          <w:color w:val="222222"/>
          <w:sz w:val="22"/>
          <w:szCs w:val="22"/>
        </w:rPr>
        <w:t xml:space="preserve">Save processed image</w:t>
      </w:r>
    </w:p>
    <w:p>
      <w:pPr>
        <w:pStyle w:val="ListParagraph"/>
        <w:numPr>
          <w:ilvl w:val="0"/>
          <w:numId w:val="2"/>
        </w:numPr>
        <w:spacing w:after="60"/>
      </w:pPr>
      <w:r>
        <w:rPr>
          <w:color w:val="222222"/>
          <w:sz w:val="22"/>
          <w:szCs w:val="22"/>
        </w:rPr>
        <w:t xml:space="preserve">Export edited image</w:t>
      </w:r>
    </w:p>
    <w:p>
      <w:pPr>
        <w:pStyle w:val="ListParagraph"/>
        <w:numPr>
          <w:ilvl w:val="0"/>
          <w:numId w:val="2"/>
        </w:numPr>
        <w:spacing w:after="60"/>
      </w:pPr>
      <w:r>
        <w:rPr>
          <w:color w:val="222222"/>
          <w:sz w:val="22"/>
          <w:szCs w:val="22"/>
        </w:rPr>
        <w:t xml:space="preserve">Preserve image quality</w:t>
      </w:r>
    </w:p>
    <w:p>
      <w:pPr>
        <w:pStyle w:val="ListParagraph"/>
        <w:numPr>
          <w:ilvl w:val="0"/>
          <w:numId w:val="2"/>
        </w:numPr>
        <w:spacing w:after="60"/>
      </w:pPr>
      <w:r>
        <w:rPr>
          <w:color w:val="222222"/>
          <w:sz w:val="22"/>
          <w:szCs w:val="22"/>
        </w:rPr>
        <w:t xml:space="preserve">Store in output directory</w:t>
      </w:r>
    </w:p>
    <w:p>
      <w:pPr>
        <w:pBdr>
          <w:bottom w:val="single" w:color="BBBBBB" w:sz="6" w:space="1"/>
        </w:pBdr>
        <w:spacing w:after="200"/>
      </w:pPr>
    </w:p>
    <w:p>
      <w:pPr>
        <w:pStyle w:val="Heading1"/>
        <w:spacing w:after="160" w:before="320"/>
      </w:pPr>
      <w:r>
        <w:rPr>
          <w:b/>
          <w:bCs/>
          <w:color w:val="0D2B4E"/>
        </w:rPr>
        <w:t xml:space="preserve">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976D2" w:val="clear"/>
            <w:tcMar>
              <w:top w:type="dxa" w:w="100"/>
              <w:left w:type="dxa" w:w="150"/>
              <w:bottom w:type="dxa" w:w="100"/>
              <w:right w:type="dxa" w:w="150"/>
            </w:tcMar>
          </w:tcPr>
          <w:p>
            <w:r>
              <w:rPr>
                <w:b/>
                <w:bCs/>
                <w:color w:val="FFFFFF"/>
                <w:sz w:val="22"/>
                <w:szCs w:val="22"/>
              </w:rPr>
              <w:t xml:space="preserve">Technology</w:t>
            </w:r>
          </w:p>
        </w:tc>
        <w:tc>
          <w:tcPr>
            <w:tcW w:type="dxa" w:w="6160"/>
            <w:shd w:fill="1976D2" w:val="clear"/>
            <w:tcMar>
              <w:top w:type="dxa" w:w="100"/>
              <w:left w:type="dxa" w:w="150"/>
              <w:bottom w:type="dxa" w:w="100"/>
              <w:right w:type="dxa" w:w="150"/>
            </w:tcMar>
          </w:tcPr>
          <w:p>
            <w:r>
              <w:rPr>
                <w:b/>
                <w:bCs/>
                <w:color w:val="FFFFFF"/>
                <w:sz w:val="22"/>
                <w:szCs w:val="22"/>
              </w:rPr>
              <w:t xml:space="preserve">Purpose</w:t>
            </w:r>
          </w:p>
        </w:tc>
      </w:tr>
      <w:tr>
        <w:tc>
          <w:tcPr>
            <w:tcW w:type="dxa" w:w="3200"/>
            <w:tcMar>
              <w:top w:type="dxa" w:w="100"/>
              <w:left w:type="dxa" w:w="150"/>
              <w:bottom w:type="dxa" w:w="100"/>
              <w:right w:type="dxa" w:w="150"/>
            </w:tcMar>
          </w:tcPr>
          <w:p>
            <w:r>
              <w:rPr>
                <w:b w:val="false"/>
                <w:bCs w:val="false"/>
                <w:color w:val="222222"/>
                <w:sz w:val="22"/>
                <w:szCs w:val="22"/>
              </w:rPr>
              <w:t xml:space="preserve">Python</w:t>
            </w:r>
          </w:p>
        </w:tc>
        <w:tc>
          <w:tcPr>
            <w:tcW w:type="dxa" w:w="6160"/>
            <w:tcMar>
              <w:top w:type="dxa" w:w="100"/>
              <w:left w:type="dxa" w:w="150"/>
              <w:bottom w:type="dxa" w:w="100"/>
              <w:right w:type="dxa" w:w="150"/>
            </w:tcMar>
          </w:tcPr>
          <w:p>
            <w:r>
              <w:rPr>
                <w:b w:val="false"/>
                <w:bCs w:val="false"/>
                <w:color w:val="222222"/>
                <w:sz w:val="22"/>
                <w:szCs w:val="22"/>
              </w:rPr>
              <w:t xml:space="preserve">Programming Language</w:t>
            </w:r>
          </w:p>
        </w:tc>
      </w:tr>
      <w:tr>
        <w:tc>
          <w:tcPr>
            <w:tcW w:type="dxa" w:w="3200"/>
            <w:tcMar>
              <w:top w:type="dxa" w:w="100"/>
              <w:left w:type="dxa" w:w="150"/>
              <w:bottom w:type="dxa" w:w="100"/>
              <w:right w:type="dxa" w:w="150"/>
            </w:tcMar>
          </w:tcPr>
          <w:p>
            <w:r>
              <w:rPr>
                <w:b w:val="false"/>
                <w:bCs w:val="false"/>
                <w:color w:val="222222"/>
                <w:sz w:val="22"/>
                <w:szCs w:val="22"/>
              </w:rPr>
              <w:t xml:space="preserve">OpenCV</w:t>
            </w:r>
          </w:p>
        </w:tc>
        <w:tc>
          <w:tcPr>
            <w:tcW w:type="dxa" w:w="6160"/>
            <w:tcMar>
              <w:top w:type="dxa" w:w="100"/>
              <w:left w:type="dxa" w:w="150"/>
              <w:bottom w:type="dxa" w:w="100"/>
              <w:right w:type="dxa" w:w="150"/>
            </w:tcMar>
          </w:tcPr>
          <w:p>
            <w:r>
              <w:rPr>
                <w:b w:val="false"/>
                <w:bCs w:val="false"/>
                <w:color w:val="222222"/>
                <w:sz w:val="22"/>
                <w:szCs w:val="22"/>
              </w:rPr>
              <w:t xml:space="preserve">Image Processing</w:t>
            </w:r>
          </w:p>
        </w:tc>
      </w:tr>
      <w:tr>
        <w:tc>
          <w:tcPr>
            <w:tcW w:type="dxa" w:w="3200"/>
            <w:tcMar>
              <w:top w:type="dxa" w:w="100"/>
              <w:left w:type="dxa" w:w="150"/>
              <w:bottom w:type="dxa" w:w="100"/>
              <w:right w:type="dxa" w:w="150"/>
            </w:tcMar>
          </w:tcPr>
          <w:p>
            <w:r>
              <w:rPr>
                <w:b w:val="false"/>
                <w:bCs w:val="false"/>
                <w:color w:val="222222"/>
                <w:sz w:val="22"/>
                <w:szCs w:val="22"/>
              </w:rPr>
              <w:t xml:space="preserve">Tkinter</w:t>
            </w:r>
          </w:p>
        </w:tc>
        <w:tc>
          <w:tcPr>
            <w:tcW w:type="dxa" w:w="6160"/>
            <w:tcMar>
              <w:top w:type="dxa" w:w="100"/>
              <w:left w:type="dxa" w:w="150"/>
              <w:bottom w:type="dxa" w:w="100"/>
              <w:right w:type="dxa" w:w="150"/>
            </w:tcMar>
          </w:tcPr>
          <w:p>
            <w:r>
              <w:rPr>
                <w:b w:val="false"/>
                <w:bCs w:val="false"/>
                <w:color w:val="222222"/>
                <w:sz w:val="22"/>
                <w:szCs w:val="22"/>
              </w:rPr>
              <w:t xml:space="preserve">Graphical User Interface</w:t>
            </w:r>
          </w:p>
        </w:tc>
      </w:tr>
      <w:tr>
        <w:tc>
          <w:tcPr>
            <w:tcW w:type="dxa" w:w="3200"/>
            <w:tcMar>
              <w:top w:type="dxa" w:w="100"/>
              <w:left w:type="dxa" w:w="150"/>
              <w:bottom w:type="dxa" w:w="100"/>
              <w:right w:type="dxa" w:w="150"/>
            </w:tcMar>
          </w:tcPr>
          <w:p>
            <w:r>
              <w:rPr>
                <w:b w:val="false"/>
                <w:bCs w:val="false"/>
                <w:color w:val="222222"/>
                <w:sz w:val="22"/>
                <w:szCs w:val="22"/>
              </w:rPr>
              <w:t xml:space="preserve">NumPy</w:t>
            </w:r>
          </w:p>
        </w:tc>
        <w:tc>
          <w:tcPr>
            <w:tcW w:type="dxa" w:w="6160"/>
            <w:tcMar>
              <w:top w:type="dxa" w:w="100"/>
              <w:left w:type="dxa" w:w="150"/>
              <w:bottom w:type="dxa" w:w="100"/>
              <w:right w:type="dxa" w:w="150"/>
            </w:tcMar>
          </w:tcPr>
          <w:p>
            <w:r>
              <w:rPr>
                <w:b w:val="false"/>
                <w:bCs w:val="false"/>
                <w:color w:val="222222"/>
                <w:sz w:val="22"/>
                <w:szCs w:val="22"/>
              </w:rPr>
              <w:t xml:space="preserve">Numerical Operations</w:t>
            </w:r>
          </w:p>
        </w:tc>
      </w:tr>
      <w:tr>
        <w:tc>
          <w:tcPr>
            <w:tcW w:type="dxa" w:w="3200"/>
            <w:tcMar>
              <w:top w:type="dxa" w:w="100"/>
              <w:left w:type="dxa" w:w="150"/>
              <w:bottom w:type="dxa" w:w="100"/>
              <w:right w:type="dxa" w:w="150"/>
            </w:tcMar>
          </w:tcPr>
          <w:p>
            <w:r>
              <w:rPr>
                <w:b w:val="false"/>
                <w:bCs w:val="false"/>
                <w:color w:val="222222"/>
                <w:sz w:val="22"/>
                <w:szCs w:val="22"/>
              </w:rPr>
              <w:t xml:space="preserve">Pillow</w:t>
            </w:r>
          </w:p>
        </w:tc>
        <w:tc>
          <w:tcPr>
            <w:tcW w:type="dxa" w:w="6160"/>
            <w:tcMar>
              <w:top w:type="dxa" w:w="100"/>
              <w:left w:type="dxa" w:w="150"/>
              <w:bottom w:type="dxa" w:w="100"/>
              <w:right w:type="dxa" w:w="150"/>
            </w:tcMar>
          </w:tcPr>
          <w:p>
            <w:r>
              <w:rPr>
                <w:b w:val="false"/>
                <w:bCs w:val="false"/>
                <w:color w:val="222222"/>
                <w:sz w:val="22"/>
                <w:szCs w:val="22"/>
              </w:rPr>
              <w:t xml:space="preserve">Image Display</w:t>
            </w:r>
          </w:p>
        </w:tc>
      </w:tr>
      <w:tr>
        <w:tc>
          <w:tcPr>
            <w:tcW w:type="dxa" w:w="3200"/>
            <w:tcMar>
              <w:top w:type="dxa" w:w="100"/>
              <w:left w:type="dxa" w:w="150"/>
              <w:bottom w:type="dxa" w:w="100"/>
              <w:right w:type="dxa" w:w="150"/>
            </w:tcMar>
          </w:tcPr>
          <w:p>
            <w:r>
              <w:rPr>
                <w:b w:val="false"/>
                <w:bCs w:val="false"/>
                <w:color w:val="222222"/>
                <w:sz w:val="22"/>
                <w:szCs w:val="22"/>
              </w:rPr>
              <w:t xml:space="preserve">VS Code</w:t>
            </w:r>
          </w:p>
        </w:tc>
        <w:tc>
          <w:tcPr>
            <w:tcW w:type="dxa" w:w="6160"/>
            <w:tcMar>
              <w:top w:type="dxa" w:w="100"/>
              <w:left w:type="dxa" w:w="150"/>
              <w:bottom w:type="dxa" w:w="100"/>
              <w:right w:type="dxa" w:w="150"/>
            </w:tcMar>
          </w:tcPr>
          <w:p>
            <w:r>
              <w:rPr>
                <w:b w:val="false"/>
                <w:bCs w:val="false"/>
                <w:color w:val="222222"/>
                <w:sz w:val="22"/>
                <w:szCs w:val="22"/>
              </w:rPr>
              <w:t xml:space="preserve">Development Environment</w:t>
            </w:r>
          </w:p>
        </w:tc>
      </w:tr>
    </w:tbl>
    <w:p>
      <w:pPr>
        <w:spacing w:after="200"/>
      </w:pPr>
    </w:p>
    <w:p>
      <w:pPr>
        <w:pStyle w:val="Heading1"/>
        <w:spacing w:after="160" w:before="320"/>
      </w:pPr>
      <w:r>
        <w:rPr>
          <w:b/>
          <w:bCs/>
          <w:color w:val="0D2B4E"/>
        </w:rPr>
        <w:t xml:space="preserve">Conclusion</w:t>
      </w:r>
    </w:p>
    <w:p>
      <w:pPr>
        <w:spacing w:after="160" w:line="300"/>
      </w:pPr>
      <w:r>
        <w:rPr>
          <w:color w:val="222222"/>
          <w:sz w:val="22"/>
          <w:szCs w:val="22"/>
        </w:rPr>
        <w:t xml:space="preserve">The Vision Toolkit follows a simple and modular architecture. The user uploads an image, which is processed using OpenCV algorithms. The processed image is visualized in the graphical interface and can be saved as the final output. This architecture ensures that the application is easy to use, maintain, and extend with additional computer vision features in the future.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Vision Toolkit — Architecture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a8b95dd0db199f18b0020e62a988341bc18e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2026-07-05T01:52:00.475Z</dcterms:created>
  <dcterms:modified xsi:type="dcterms:W3CDTF">2026-07-05T01:52:00.475Z</dcterms:modified>
</cp:coreProperties>
</file>

<file path=docProps/custom.xml><?xml version="1.0" encoding="utf-8"?>
<Properties xmlns="http://schemas.openxmlformats.org/officeDocument/2006/custom-properties" xmlns:vt="http://schemas.openxmlformats.org/officeDocument/2006/docPropsVTypes"/>
</file>