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F74F9">
      <w:pPr>
        <w:spacing w:after="100"/>
      </w:pPr>
      <w:r>
        <w:rPr>
          <w:b/>
          <w:bCs/>
          <w:sz w:val="44"/>
          <w:szCs w:val="44"/>
        </w:rPr>
        <w:t>Customer Segmentation for Targeted Marketing</w:t>
      </w:r>
    </w:p>
    <w:p w14:paraId="15644F60">
      <w:pPr>
        <w:spacing w:after="400"/>
      </w:pPr>
      <w:r>
        <w:rPr>
          <w:color w:val="555555"/>
          <w:sz w:val="28"/>
          <w:szCs w:val="28"/>
        </w:rPr>
        <w:t>Project Report</w:t>
      </w:r>
    </w:p>
    <w:p w14:paraId="1F2D0833">
      <w:pPr>
        <w:pStyle w:val="2"/>
        <w:spacing w:before="300" w:after="150"/>
      </w:pPr>
      <w:r>
        <w:t>1. Business Problem</w:t>
      </w:r>
    </w:p>
    <w:p w14:paraId="017B2E74">
      <w:pPr>
        <w:spacing w:after="160"/>
      </w:pPr>
      <w:r>
        <w:t>The marketing team currently sends the same offers to every customer, regardless of how much they spend, how often they buy, or how recently they've purchased. This creates three concrete costs to the business:</w:t>
      </w:r>
    </w:p>
    <w:p w14:paraId="57EE00A3">
      <w:pPr>
        <w:pStyle w:val="16"/>
        <w:numPr>
          <w:ilvl w:val="0"/>
          <w:numId w:val="1"/>
        </w:numPr>
        <w:spacing w:after="80"/>
      </w:pPr>
      <w:r>
        <w:t>Marketing spend is wasted on customers who are statistically unlikely to respond to a given offer.</w:t>
      </w:r>
    </w:p>
    <w:p w14:paraId="2DC40388">
      <w:pPr>
        <w:pStyle w:val="16"/>
        <w:numPr>
          <w:ilvl w:val="0"/>
          <w:numId w:val="1"/>
        </w:numPr>
        <w:spacing w:after="80"/>
      </w:pPr>
      <w:r>
        <w:t>High-value, loyal customers are not being specifically rewarded or retained, increasing churn risk.</w:t>
      </w:r>
    </w:p>
    <w:p w14:paraId="3394AAE7">
      <w:pPr>
        <w:pStyle w:val="16"/>
        <w:numPr>
          <w:ilvl w:val="0"/>
          <w:numId w:val="1"/>
        </w:numPr>
        <w:spacing w:after="80"/>
      </w:pPr>
      <w:r>
        <w:t>Low-engagement or lapsed customers are not being targeted with the kind of incentive that would actually re-activate them.</w:t>
      </w:r>
    </w:p>
    <w:p w14:paraId="61BD8DC8">
      <w:pPr>
        <w:spacing w:after="160"/>
      </w:pPr>
    </w:p>
    <w:p w14:paraId="1DAC9EFC">
      <w:pPr>
        <w:spacing w:after="160"/>
      </w:pPr>
    </w:p>
    <w:p w14:paraId="041FC403">
      <w:pPr>
        <w:spacing w:after="200"/>
      </w:pPr>
      <w:r>
        <w:rPr>
          <w:b/>
          <w:bCs/>
        </w:rPr>
        <w:t xml:space="preserve">Goal: </w:t>
      </w:r>
      <w:r>
        <w:t>Segment customers into meaningful groups based on purchasing behavior (Recency, Frequency, Monetary), Income, and Age, so marketing can design a targeted, segment-specific offer strategy instead of a one-size-fits-all campaign.</w:t>
      </w:r>
    </w:p>
    <w:p w14:paraId="507392DE">
      <w:pPr>
        <w:pStyle w:val="2"/>
        <w:spacing w:before="300" w:after="150"/>
      </w:pPr>
      <w:r>
        <w:t>2. Dataset</w:t>
      </w:r>
    </w:p>
    <w:p w14:paraId="37686D0C">
      <w:pPr>
        <w:spacing w:after="160"/>
      </w:pPr>
      <w:r>
        <w:t>The analysis uses the Customer Personality Analysis dataset (publicly available on Kaggle), containing approximately 2,240 customer records for a retail company. Each record includes:</w:t>
      </w:r>
    </w:p>
    <w:p w14:paraId="4CF0BE13">
      <w:pPr>
        <w:pStyle w:val="16"/>
        <w:numPr>
          <w:ilvl w:val="0"/>
          <w:numId w:val="1"/>
        </w:numPr>
        <w:spacing w:after="80"/>
      </w:pPr>
      <w:r>
        <w:t>Demographics: birth year, education, marital status, income, household composition</w:t>
      </w:r>
    </w:p>
    <w:p w14:paraId="594DED7B">
      <w:pPr>
        <w:pStyle w:val="16"/>
        <w:numPr>
          <w:ilvl w:val="0"/>
          <w:numId w:val="1"/>
        </w:numPr>
        <w:spacing w:after="80"/>
      </w:pPr>
      <w:r>
        <w:t>Enrollment date with the company</w:t>
      </w:r>
    </w:p>
    <w:p w14:paraId="47533D9D">
      <w:pPr>
        <w:pStyle w:val="16"/>
        <w:numPr>
          <w:ilvl w:val="0"/>
          <w:numId w:val="1"/>
        </w:numPr>
        <w:spacing w:after="80"/>
      </w:pPr>
      <w:r>
        <w:t>Spend by product category over the last 2 years (wine, fruit, meat, fish, sweets, gold products)</w:t>
      </w:r>
    </w:p>
    <w:p w14:paraId="5C953F2D">
      <w:pPr>
        <w:pStyle w:val="16"/>
        <w:numPr>
          <w:ilvl w:val="0"/>
          <w:numId w:val="1"/>
        </w:numPr>
        <w:spacing w:after="80"/>
      </w:pPr>
      <w:r>
        <w:t>Purchase counts by channel (web, catalog, in-store) and web visit frequency</w:t>
      </w:r>
    </w:p>
    <w:p w14:paraId="6FEF91EA">
      <w:pPr>
        <w:pStyle w:val="16"/>
        <w:numPr>
          <w:ilvl w:val="0"/>
          <w:numId w:val="1"/>
        </w:numPr>
        <w:spacing w:after="80"/>
      </w:pPr>
      <w:r>
        <w:t>Responses to five past marketing campaigns, plus complaint history</w:t>
      </w:r>
    </w:p>
    <w:p w14:paraId="74815A13">
      <w:pPr>
        <w:pStyle w:val="2"/>
        <w:spacing w:before="300" w:after="150"/>
      </w:pPr>
      <w:r>
        <w:t>3. Methodology</w:t>
      </w:r>
    </w:p>
    <w:p w14:paraId="2148A4ED">
      <w:pPr>
        <w:pStyle w:val="3"/>
        <w:spacing w:before="250" w:after="120"/>
      </w:pPr>
      <w:r>
        <w:t>3.1 Data Cleaning</w:t>
      </w:r>
    </w:p>
    <w:p w14:paraId="5DC2D69B">
      <w:pPr>
        <w:pStyle w:val="16"/>
        <w:numPr>
          <w:ilvl w:val="0"/>
          <w:numId w:val="1"/>
        </w:numPr>
        <w:spacing w:after="80"/>
      </w:pPr>
      <w:r>
        <w:t>Converted the enrollment date field to a proper datetime type.</w:t>
      </w:r>
    </w:p>
    <w:p w14:paraId="7882EDE4">
      <w:pPr>
        <w:pStyle w:val="16"/>
        <w:numPr>
          <w:ilvl w:val="0"/>
          <w:numId w:val="1"/>
        </w:numPr>
        <w:spacing w:after="80"/>
      </w:pPr>
      <w:r>
        <w:t>Removed records with unrealistic birth years (e.g. 1893, 1900) — clear data-entry errors rather than real customers.</w:t>
      </w:r>
    </w:p>
    <w:p w14:paraId="1D783372">
      <w:pPr>
        <w:pStyle w:val="16"/>
        <w:numPr>
          <w:ilvl w:val="0"/>
          <w:numId w:val="1"/>
        </w:numPr>
        <w:spacing w:after="80"/>
      </w:pPr>
      <w:r>
        <w:t>Filled the ~24 missing Income values with the column median, since Income is right-skewed (median is more robust to skew than the mean).</w:t>
      </w:r>
    </w:p>
    <w:p w14:paraId="4825483D">
      <w:pPr>
        <w:pStyle w:val="3"/>
        <w:spacing w:before="250" w:after="120"/>
      </w:pPr>
      <w:r>
        <w:t>3.2 Feature Engineering (RFM)</w:t>
      </w:r>
    </w:p>
    <w:p w14:paraId="3435A7B0">
      <w:pPr>
        <w:spacing w:after="160"/>
      </w:pPr>
      <w:r>
        <w:t>Three of the five clustering features already existed or needed to be derived:</w:t>
      </w:r>
    </w:p>
    <w:p w14:paraId="1292EBEE">
      <w:pPr>
        <w:pStyle w:val="16"/>
        <w:numPr>
          <w:ilvl w:val="0"/>
          <w:numId w:val="1"/>
        </w:numPr>
        <w:spacing w:after="80"/>
      </w:pPr>
      <w:r>
        <w:t>Recency — days since last purchase (already present in the raw data; kept as-is, since a value of 0 is a genuine "purchased today" signal, not missing data).</w:t>
      </w:r>
    </w:p>
    <w:p w14:paraId="6E31847C">
      <w:pPr>
        <w:pStyle w:val="16"/>
        <w:numPr>
          <w:ilvl w:val="0"/>
          <w:numId w:val="1"/>
        </w:numPr>
        <w:spacing w:after="80"/>
      </w:pPr>
      <w:r>
        <w:t>Frequency — engineered as the sum of purchases across web, catalog, and in-store channels.</w:t>
      </w:r>
    </w:p>
    <w:p w14:paraId="0CCDC6F6">
      <w:pPr>
        <w:pStyle w:val="16"/>
        <w:numPr>
          <w:ilvl w:val="0"/>
          <w:numId w:val="1"/>
        </w:numPr>
        <w:spacing w:after="80"/>
      </w:pPr>
      <w:r>
        <w:t>Monetary — engineered as total spend across all six product categories.</w:t>
      </w:r>
    </w:p>
    <w:p w14:paraId="7CBF60B9">
      <w:pPr>
        <w:spacing w:after="160"/>
      </w:pPr>
      <w:r>
        <w:t>Age was derived from birth year using the most recent enrollment year present in the dataset as a consistent reference point for "today." This ensures every customer is aged on the same scale, rather than using each person's individual signup date (which would make age comparisons inconsistent across customers who joined in different years).</w:t>
      </w:r>
    </w:p>
    <w:p w14:paraId="002E8F37">
      <w:pPr>
        <w:pStyle w:val="3"/>
        <w:spacing w:before="250" w:after="120"/>
      </w:pPr>
      <w:r>
        <w:t>3.3 Outlier Handling</w:t>
      </w:r>
    </w:p>
    <w:p w14:paraId="37C43D41">
      <w:pPr>
        <w:spacing w:after="160"/>
      </w:pPr>
      <w:r>
        <w:t>K-Means relies on Euclidean distance, so extreme values (for example, a small number of very high incomes) can pull cluster centers away from where most customers actually sit. Outliers were flagged using the IQR method (1.5× the interquartile range) across all five clustering features, and rows flagged in any feature were removed.</w:t>
      </w:r>
    </w:p>
    <w:p w14:paraId="319D6F5F">
      <w:pPr>
        <w:spacing w:after="200"/>
      </w:pPr>
      <w:r>
        <w:rPr>
          <w:b/>
          <w:bCs/>
        </w:rPr>
        <w:t xml:space="preserve">Note: </w:t>
      </w:r>
      <w:r>
        <w:t>Income and Monetary spend are naturally right-skewed — a small number of customers genuinely earn or spend far more than average. Removing every statistical outlier risks stripping out exactly the high-value customers a segmentation project is meant to identify. The number of rows removed by this step should be checked before finalizing results; if it removes a large share of the data, capping values instead of dropping rows (or using an outlier-tolerant method such as DBSCAN for comparison) is a safer alternative.</w:t>
      </w:r>
    </w:p>
    <w:p w14:paraId="48E4D876">
      <w:pPr>
        <w:pStyle w:val="3"/>
        <w:spacing w:before="250" w:after="120"/>
      </w:pPr>
      <w:r>
        <w:t>3.4 Scaling</w:t>
      </w:r>
    </w:p>
    <w:p w14:paraId="4182BBCE">
      <w:pPr>
        <w:spacing w:after="160"/>
      </w:pPr>
      <w:r>
        <w:t>All five features (Recency, Frequency, Monetary, Income, Age) were standardized with StandardScaler before clustering, since K-Means is distance-based and features on different scales (e.g. Income in tens of thousands vs. Age in years) would otherwise dominate the distance calculation unevenly.</w:t>
      </w:r>
    </w:p>
    <w:p w14:paraId="6AE1572C">
      <w:pPr>
        <w:pStyle w:val="3"/>
        <w:spacing w:before="250" w:after="120"/>
      </w:pPr>
      <w:r>
        <w:t>3.5 Choosing the Number of Clusters</w:t>
      </w:r>
    </w:p>
    <w:p w14:paraId="5E734934">
      <w:pPr>
        <w:spacing w:after="160"/>
      </w:pPr>
      <w:r>
        <w:t>The number of clusters (k) was selected using the elbow method: K-Means was fit for k = 2 through 10, and the within-cluster sum of squares (WCSS) was plotted against k. The point where WCSS stops decreasing sharply — the "elbow" — indicates a reasonable trade-off between cluster compactness and interpretability.</w:t>
      </w:r>
    </w:p>
    <w:p w14:paraId="05E0BD31">
      <w:pPr>
        <w:spacing w:after="200"/>
      </w:pPr>
      <w:r>
        <w:rPr>
          <w:b/>
          <w:bCs/>
        </w:rPr>
        <w:t xml:space="preserve">Recommended refinement: </w:t>
      </w:r>
      <w:r>
        <w:t>cross-check the elbow choice with a silhouette score (a measure of cluster separation, from -1 to 1) across the same range of k. This provides a second, quantitative signal rather than relying on visual judgment of the elbow chart alone.</w:t>
      </w:r>
    </w:p>
    <w:p w14:paraId="65F61F40">
      <w:pPr>
        <w:pStyle w:val="3"/>
        <w:spacing w:before="250" w:after="120"/>
      </w:pPr>
      <w:r>
        <w:t>3.6 Visualization</w:t>
      </w:r>
    </w:p>
    <w:p w14:paraId="7746D1CA">
      <w:pPr>
        <w:spacing w:after="160"/>
      </w:pPr>
      <w:r>
        <w:t>Principal Component Analysis (PCA) was used to compress the five clustering features into two dimensions purely for visualization, allowing the resulting segments to be plotted and visually inspected for separation. PCA was not used as an input to the clustering itself.</w:t>
      </w:r>
    </w:p>
    <w:p w14:paraId="65767450">
      <w:pPr>
        <w:pStyle w:val="3"/>
        <w:spacing w:before="250" w:after="120"/>
      </w:pPr>
      <w:r>
        <w:t>3.7 Segment Profiling</w:t>
      </w:r>
    </w:p>
    <w:p w14:paraId="1DE5ABD8">
      <w:pPr>
        <w:spacing w:after="160"/>
      </w:pPr>
      <w:r>
        <w:t>Once segments were assigned, each cluster was profiled across dimensions not used in clustering, to translate abstract cluster numbers into a business-usable picture:</w:t>
      </w:r>
    </w:p>
    <w:p w14:paraId="5340681F">
      <w:pPr>
        <w:pStyle w:val="16"/>
        <w:numPr>
          <w:ilvl w:val="0"/>
          <w:numId w:val="1"/>
        </w:numPr>
        <w:spacing w:after="80"/>
      </w:pPr>
      <w:r>
        <w:t>Core RFM + demographic averages (Recency, Frequency, Monetary, Income, Age)</w:t>
      </w:r>
    </w:p>
    <w:p w14:paraId="2A6EDF3B">
      <w:pPr>
        <w:pStyle w:val="16"/>
        <w:numPr>
          <w:ilvl w:val="0"/>
          <w:numId w:val="1"/>
        </w:numPr>
        <w:spacing w:after="80"/>
      </w:pPr>
      <w:r>
        <w:t>Past campaign response rate</w:t>
      </w:r>
    </w:p>
    <w:p w14:paraId="7C4F7ECA">
      <w:pPr>
        <w:pStyle w:val="16"/>
        <w:numPr>
          <w:ilvl w:val="0"/>
          <w:numId w:val="1"/>
        </w:numPr>
        <w:spacing w:after="80"/>
      </w:pPr>
      <w:r>
        <w:t>Channel preference (web, catalog, in-store purchase volume)</w:t>
      </w:r>
    </w:p>
    <w:p w14:paraId="1CF4D9D3">
      <w:pPr>
        <w:pStyle w:val="16"/>
        <w:numPr>
          <w:ilvl w:val="0"/>
          <w:numId w:val="1"/>
        </w:numPr>
        <w:spacing w:after="80"/>
      </w:pPr>
      <w:r>
        <w:t>Product category preference (spend by category)</w:t>
      </w:r>
    </w:p>
    <w:p w14:paraId="2F9629DD">
      <w:pPr>
        <w:pStyle w:val="2"/>
        <w:spacing w:before="300" w:after="150"/>
      </w:pPr>
      <w:r>
        <w:t>4. Segment Profiles &amp; Recommended Actions</w:t>
      </w:r>
    </w:p>
    <w:p w14:paraId="54AC4C7C">
      <w:pPr>
        <w:spacing w:after="160"/>
      </w:pPr>
      <w:r>
        <w:t>Fill in this table with the actual mean values from the notebook's segment profiling section (12) once the model is run on the full dataset. Use the pattern-matching guide below to assign each numeric cluster a descriptive name.</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700"/>
        <w:gridCol w:w="3900"/>
      </w:tblGrid>
      <w:tr w14:paraId="2A59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2F5496"/>
          </w:tcPr>
          <w:p w14:paraId="262CC2DD">
            <w:r>
              <w:rPr>
                <w:b/>
                <w:bCs/>
                <w:color w:val="FFFFFF"/>
              </w:rPr>
              <w:t>Segment</w:t>
            </w:r>
          </w:p>
        </w:tc>
        <w:tc>
          <w:tcPr>
            <w:tcW w:w="4700" w:type="dxa"/>
            <w:shd w:val="clear" w:color="auto" w:fill="2F5496"/>
          </w:tcPr>
          <w:p w14:paraId="752C93F5">
            <w:r>
              <w:rPr>
                <w:b/>
                <w:bCs/>
                <w:color w:val="FFFFFF"/>
              </w:rPr>
              <w:t>Profile Summary</w:t>
            </w:r>
          </w:p>
        </w:tc>
        <w:tc>
          <w:tcPr>
            <w:tcW w:w="3900" w:type="dxa"/>
            <w:shd w:val="clear" w:color="auto" w:fill="2F5496"/>
          </w:tcPr>
          <w:p w14:paraId="1AADE5F9">
            <w:r>
              <w:rPr>
                <w:b/>
                <w:bCs/>
                <w:color w:val="FFFFFF"/>
              </w:rPr>
              <w:t>Recommended Action</w:t>
            </w:r>
          </w:p>
        </w:tc>
      </w:tr>
      <w:tr w14:paraId="7C58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7C260E8">
            <w:r>
              <w:rPr>
                <w:b w:val="0"/>
                <w:bCs w:val="0"/>
                <w:color w:val="000000"/>
              </w:rPr>
              <w:t>0</w:t>
            </w:r>
          </w:p>
        </w:tc>
        <w:tc>
          <w:tcPr>
            <w:tcW w:w="4700" w:type="dxa"/>
          </w:tcPr>
          <w:p w14:paraId="27A84526">
            <w:r>
              <w:rPr>
                <w:b w:val="0"/>
                <w:bCs w:val="0"/>
                <w:color w:val="000000"/>
              </w:rPr>
              <w:t>TBD — fill from notebook output</w:t>
            </w:r>
          </w:p>
        </w:tc>
        <w:tc>
          <w:tcPr>
            <w:tcW w:w="3900" w:type="dxa"/>
          </w:tcPr>
          <w:p w14:paraId="1FE0E274">
            <w:r>
              <w:rPr>
                <w:b w:val="0"/>
                <w:bCs w:val="0"/>
                <w:color w:val="000000"/>
              </w:rPr>
              <w:t>TBD</w:t>
            </w:r>
          </w:p>
        </w:tc>
      </w:tr>
      <w:tr w14:paraId="581D7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2D75E17">
            <w:r>
              <w:rPr>
                <w:b w:val="0"/>
                <w:bCs w:val="0"/>
                <w:color w:val="000000"/>
              </w:rPr>
              <w:t>1</w:t>
            </w:r>
          </w:p>
        </w:tc>
        <w:tc>
          <w:tcPr>
            <w:tcW w:w="4700" w:type="dxa"/>
          </w:tcPr>
          <w:p w14:paraId="58BD8FAE">
            <w:r>
              <w:rPr>
                <w:b w:val="0"/>
                <w:bCs w:val="0"/>
                <w:color w:val="000000"/>
              </w:rPr>
              <w:t>TBD — fill from notebook output</w:t>
            </w:r>
          </w:p>
        </w:tc>
        <w:tc>
          <w:tcPr>
            <w:tcW w:w="3900" w:type="dxa"/>
          </w:tcPr>
          <w:p w14:paraId="60485AA5">
            <w:r>
              <w:rPr>
                <w:b w:val="0"/>
                <w:bCs w:val="0"/>
                <w:color w:val="000000"/>
              </w:rPr>
              <w:t>TBD</w:t>
            </w:r>
          </w:p>
        </w:tc>
      </w:tr>
      <w:tr w14:paraId="218F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624F04D">
            <w:r>
              <w:rPr>
                <w:b w:val="0"/>
                <w:bCs w:val="0"/>
                <w:color w:val="000000"/>
              </w:rPr>
              <w:t>2</w:t>
            </w:r>
          </w:p>
        </w:tc>
        <w:tc>
          <w:tcPr>
            <w:tcW w:w="4700" w:type="dxa"/>
          </w:tcPr>
          <w:p w14:paraId="0F7E607E">
            <w:r>
              <w:rPr>
                <w:b w:val="0"/>
                <w:bCs w:val="0"/>
                <w:color w:val="000000"/>
              </w:rPr>
              <w:t>TBD — fill from notebook output</w:t>
            </w:r>
          </w:p>
        </w:tc>
        <w:tc>
          <w:tcPr>
            <w:tcW w:w="3900" w:type="dxa"/>
          </w:tcPr>
          <w:p w14:paraId="46C4455D">
            <w:r>
              <w:rPr>
                <w:b w:val="0"/>
                <w:bCs w:val="0"/>
                <w:color w:val="000000"/>
              </w:rPr>
              <w:t>TBD</w:t>
            </w:r>
          </w:p>
        </w:tc>
      </w:tr>
      <w:tr w14:paraId="181D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44CD4500">
            <w:r>
              <w:rPr>
                <w:b w:val="0"/>
                <w:bCs w:val="0"/>
                <w:color w:val="000000"/>
              </w:rPr>
              <w:t>3</w:t>
            </w:r>
          </w:p>
        </w:tc>
        <w:tc>
          <w:tcPr>
            <w:tcW w:w="4700" w:type="dxa"/>
          </w:tcPr>
          <w:p w14:paraId="0BFDEE5B">
            <w:r>
              <w:rPr>
                <w:b w:val="0"/>
                <w:bCs w:val="0"/>
                <w:color w:val="000000"/>
              </w:rPr>
              <w:t>TBD — fill from notebook output</w:t>
            </w:r>
          </w:p>
        </w:tc>
        <w:tc>
          <w:tcPr>
            <w:tcW w:w="3900" w:type="dxa"/>
          </w:tcPr>
          <w:p w14:paraId="61A5C5F2">
            <w:r>
              <w:rPr>
                <w:b w:val="0"/>
                <w:bCs w:val="0"/>
                <w:color w:val="000000"/>
              </w:rPr>
              <w:t>TBD</w:t>
            </w:r>
          </w:p>
        </w:tc>
      </w:tr>
    </w:tbl>
    <w:p w14:paraId="222B10DE">
      <w:pPr>
        <w:spacing w:after="200"/>
      </w:pPr>
    </w:p>
    <w:p w14:paraId="727B6EF4">
      <w:pPr>
        <w:pStyle w:val="3"/>
        <w:spacing w:before="250" w:after="120"/>
      </w:pPr>
      <w:r>
        <w:t>Persona / Action Reference Guide</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4600"/>
      </w:tblGrid>
      <w:tr w14:paraId="6F59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2F5496"/>
          </w:tcPr>
          <w:p w14:paraId="20B2A4AE">
            <w:r>
              <w:rPr>
                <w:b/>
                <w:bCs/>
                <w:color w:val="FFFFFF"/>
              </w:rPr>
              <w:t>RFM Pattern</w:t>
            </w:r>
          </w:p>
        </w:tc>
        <w:tc>
          <w:tcPr>
            <w:tcW w:w="2600" w:type="dxa"/>
            <w:shd w:val="clear" w:color="auto" w:fill="2F5496"/>
          </w:tcPr>
          <w:p w14:paraId="44596BC3">
            <w:r>
              <w:rPr>
                <w:b/>
                <w:bCs/>
                <w:color w:val="FFFFFF"/>
              </w:rPr>
              <w:t>Likely Persona</w:t>
            </w:r>
          </w:p>
        </w:tc>
        <w:tc>
          <w:tcPr>
            <w:tcW w:w="4600" w:type="dxa"/>
            <w:shd w:val="clear" w:color="auto" w:fill="2F5496"/>
          </w:tcPr>
          <w:p w14:paraId="6E5FF308">
            <w:r>
              <w:rPr>
                <w:b/>
                <w:bCs/>
                <w:color w:val="FFFFFF"/>
              </w:rPr>
              <w:t>Suggested Marketing Action</w:t>
            </w:r>
          </w:p>
        </w:tc>
      </w:tr>
      <w:tr w14:paraId="7D5B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968D46E">
            <w:r>
              <w:rPr>
                <w:b w:val="0"/>
                <w:bCs w:val="0"/>
                <w:color w:val="000000"/>
              </w:rPr>
              <w:t>High Monetary, High Frequency, low Recency</w:t>
            </w:r>
          </w:p>
        </w:tc>
        <w:tc>
          <w:tcPr>
            <w:tcW w:w="2600" w:type="dxa"/>
          </w:tcPr>
          <w:p w14:paraId="07E5B645">
            <w:r>
              <w:rPr>
                <w:b w:val="0"/>
                <w:bCs w:val="0"/>
                <w:color w:val="000000"/>
              </w:rPr>
              <w:t>Loyal / VIP customers</w:t>
            </w:r>
          </w:p>
        </w:tc>
        <w:tc>
          <w:tcPr>
            <w:tcW w:w="4600" w:type="dxa"/>
          </w:tcPr>
          <w:p w14:paraId="364B637D">
            <w:r>
              <w:rPr>
                <w:b w:val="0"/>
                <w:bCs w:val="0"/>
                <w:color w:val="000000"/>
              </w:rPr>
              <w:t>Reward with loyalty program, early access, upsell premium products</w:t>
            </w:r>
          </w:p>
        </w:tc>
      </w:tr>
      <w:tr w14:paraId="4D18F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7D07600">
            <w:r>
              <w:rPr>
                <w:b w:val="0"/>
                <w:bCs w:val="0"/>
                <w:color w:val="000000"/>
              </w:rPr>
              <w:t>High Monetary, low Frequency, high Recency</w:t>
            </w:r>
          </w:p>
        </w:tc>
        <w:tc>
          <w:tcPr>
            <w:tcW w:w="2600" w:type="dxa"/>
          </w:tcPr>
          <w:p w14:paraId="728754D1">
            <w:r>
              <w:rPr>
                <w:b w:val="0"/>
                <w:bCs w:val="0"/>
                <w:color w:val="000000"/>
              </w:rPr>
              <w:t>At-risk high spenders</w:t>
            </w:r>
          </w:p>
        </w:tc>
        <w:tc>
          <w:tcPr>
            <w:tcW w:w="4600" w:type="dxa"/>
          </w:tcPr>
          <w:p w14:paraId="2A892BB4">
            <w:r>
              <w:rPr>
                <w:b w:val="0"/>
                <w:bCs w:val="0"/>
                <w:color w:val="000000"/>
              </w:rPr>
              <w:t>Personalized win-back offer before they churn</w:t>
            </w:r>
          </w:p>
        </w:tc>
      </w:tr>
      <w:tr w14:paraId="20EB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16FF460">
            <w:r>
              <w:rPr>
                <w:b w:val="0"/>
                <w:bCs w:val="0"/>
                <w:color w:val="000000"/>
              </w:rPr>
              <w:t>Low Monetary, high Frequency</w:t>
            </w:r>
          </w:p>
        </w:tc>
        <w:tc>
          <w:tcPr>
            <w:tcW w:w="2600" w:type="dxa"/>
          </w:tcPr>
          <w:p w14:paraId="17B9EF10">
            <w:r>
              <w:rPr>
                <w:b w:val="0"/>
                <w:bCs w:val="0"/>
                <w:color w:val="000000"/>
              </w:rPr>
              <w:t>Frequent small spenders</w:t>
            </w:r>
          </w:p>
        </w:tc>
        <w:tc>
          <w:tcPr>
            <w:tcW w:w="4600" w:type="dxa"/>
          </w:tcPr>
          <w:p w14:paraId="7A5E31E8">
            <w:r>
              <w:rPr>
                <w:b w:val="0"/>
                <w:bCs w:val="0"/>
                <w:color w:val="000000"/>
              </w:rPr>
              <w:t>Bundle deals / cross-sell to grow basket size</w:t>
            </w:r>
          </w:p>
        </w:tc>
      </w:tr>
      <w:tr w14:paraId="50D9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1ECE9038">
            <w:r>
              <w:rPr>
                <w:b w:val="0"/>
                <w:bCs w:val="0"/>
                <w:color w:val="000000"/>
              </w:rPr>
              <w:t>Low Monetary, low Frequency, high Recency</w:t>
            </w:r>
          </w:p>
        </w:tc>
        <w:tc>
          <w:tcPr>
            <w:tcW w:w="2600" w:type="dxa"/>
          </w:tcPr>
          <w:p w14:paraId="5E102EA0">
            <w:r>
              <w:rPr>
                <w:b w:val="0"/>
                <w:bCs w:val="0"/>
                <w:color w:val="000000"/>
              </w:rPr>
              <w:t>Low engagement / churn risk</w:t>
            </w:r>
          </w:p>
        </w:tc>
        <w:tc>
          <w:tcPr>
            <w:tcW w:w="4600" w:type="dxa"/>
          </w:tcPr>
          <w:p w14:paraId="2B2921D2">
            <w:r>
              <w:rPr>
                <w:b w:val="0"/>
                <w:bCs w:val="0"/>
                <w:color w:val="000000"/>
              </w:rPr>
              <w:t>Low-cost reactivation email or discount</w:t>
            </w:r>
          </w:p>
        </w:tc>
      </w:tr>
    </w:tbl>
    <w:p w14:paraId="2BEC1FAE">
      <w:pPr>
        <w:pStyle w:val="2"/>
        <w:spacing w:before="300" w:after="150"/>
      </w:pPr>
      <w:r>
        <w:t>5. Conclusion</w:t>
      </w:r>
    </w:p>
    <w:p w14:paraId="07202A56">
      <w:pPr>
        <w:spacing w:after="160"/>
      </w:pPr>
      <w:r>
        <w:t>This project cleaned raw customer data, engineered RFM features, checked and handled outliers, and applied K-Means clustering (validated via the elbow method) to divide customers into distinct segments. Profiling each segment's spending, channel behavior, and campaign responsiveness turns generic cluster labels into an actionable, segment-specific marketing plan.</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0A8071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2026-09-12T14:44:00Z</dcterms:created>
  <dc:creator>Un-named</dc:creator>
  <cp:lastModifiedBy>HP</cp:lastModifiedBy>
  <dcterms:modified xsi:type="dcterms:W3CDTF">2026-09-12T14:51:59Z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F79BBF2474504C6E903BC35F4B600026_12</vt:lpwstr>
  </property>
</Properties>
</file>