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bookmarkEnd w:id="0"/>
    <w:p w14:paraId="06FC5CF8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9D70151"/>
    <w:rsid w:val="0A7B699A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7FA7CB9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105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2025-08-14T13:49:29Z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