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2DC0" w:rsidRDefault="00275226">
      <w:pPr>
        <w:spacing w:after="60"/>
      </w:pPr>
      <w:r>
        <w:rPr>
          <w:b/>
          <w:bCs/>
          <w:color w:val="1A5C0A"/>
          <w:sz w:val="17"/>
          <w:szCs w:val="17"/>
        </w:rPr>
        <w:t>DIGITAL FULL-TIME EMPLOYEE</w:t>
      </w:r>
    </w:p>
    <w:p w:rsidR="00FC2DC0" w:rsidRDefault="00275226" w:rsidP="00E64B6A">
      <w:pPr>
        <w:spacing w:after="100"/>
        <w:jc w:val="center"/>
      </w:pPr>
      <w:r>
        <w:rPr>
          <w:b/>
          <w:bCs/>
          <w:color w:val="1A1A1A"/>
          <w:sz w:val="52"/>
          <w:szCs w:val="52"/>
        </w:rPr>
        <w:t>Building a Digital Full-Time AI Employee</w:t>
      </w:r>
    </w:p>
    <w:p w:rsidR="00FC2DC0" w:rsidRPr="00E64B6A" w:rsidRDefault="00275226" w:rsidP="00E64B6A">
      <w:pPr>
        <w:spacing w:after="80"/>
        <w:ind w:left="2160" w:firstLine="720"/>
        <w:rPr>
          <w:b/>
        </w:rPr>
      </w:pPr>
      <w:r w:rsidRPr="00E64B6A">
        <w:rPr>
          <w:b/>
          <w:color w:val="666666"/>
          <w:sz w:val="26"/>
          <w:szCs w:val="26"/>
        </w:rPr>
        <w:t>Machine Wealth Representative (MWR)</w:t>
      </w:r>
    </w:p>
    <w:p w:rsidR="00FC2DC0" w:rsidRDefault="00275226">
      <w:pPr>
        <w:pBdr>
          <w:bottom w:val="single" w:sz="6" w:space="6" w:color="1A5C0A"/>
        </w:pBdr>
        <w:spacing w:after="200"/>
      </w:pPr>
      <w:r>
        <w:rPr>
          <w:color w:val="AAAAAA"/>
          <w:sz w:val="18"/>
          <w:szCs w:val="18"/>
        </w:rPr>
        <w:t>Finance  ×  Web3  ×  Audit &amp; Assurance  ·  6 Steps  ·  7 Golden Rules  ·  All Global Jurisdictions</w:t>
      </w:r>
    </w:p>
    <w:p w:rsidR="00FC2DC0" w:rsidRDefault="00FC2DC0">
      <w:pPr>
        <w:spacing w:before="160"/>
      </w:pPr>
    </w:p>
    <w:p w:rsidR="00FC2DC0" w:rsidRDefault="00275226" w:rsidP="00E64B6A">
      <w:pPr>
        <w:spacing w:before="320" w:after="60"/>
        <w:jc w:val="both"/>
      </w:pPr>
      <w:r>
        <w:rPr>
          <w:b/>
          <w:bCs/>
          <w:color w:val="1A5C0A"/>
          <w:sz w:val="17"/>
          <w:szCs w:val="17"/>
        </w:rPr>
        <w:t>BACKGROUND — THE A</w:t>
      </w:r>
      <w:bookmarkStart w:id="0" w:name="_GoBack"/>
      <w:bookmarkEnd w:id="0"/>
      <w:r>
        <w:rPr>
          <w:b/>
          <w:bCs/>
          <w:color w:val="1A5C0A"/>
          <w:sz w:val="17"/>
          <w:szCs w:val="17"/>
        </w:rPr>
        <w:t>I MACHINE ECONOMY</w:t>
      </w:r>
    </w:p>
    <w:p w:rsidR="00FC2DC0" w:rsidRDefault="00275226" w:rsidP="00E64B6A">
      <w:pPr>
        <w:pStyle w:val="Heading1"/>
        <w:pBdr>
          <w:bottom w:val="single" w:sz="6" w:space="4" w:color="1A5C0A"/>
        </w:pBdr>
        <w:jc w:val="both"/>
      </w:pPr>
      <w:r>
        <w:t>The MWR in the Context of the AI Machine Economy</w:t>
      </w:r>
    </w:p>
    <w:p w:rsidR="00FC2DC0" w:rsidRDefault="00275226" w:rsidP="00E64B6A">
      <w:pPr>
        <w:spacing w:before="80" w:after="120"/>
        <w:jc w:val="both"/>
      </w:pPr>
      <w:r>
        <w:t>The Machine Wealth Representative is not simply a software tool. It is a worker — an economic unit deployed inside what is increasingly called the AI Machine Economy: a ne</w:t>
      </w:r>
      <w:r>
        <w:t>w economic paradigm in which software agents function as independent economic actors that produce, transact, report, and comply on behalf of firms and individuals. Understanding the MWR requires understanding the economy it operates in.</w:t>
      </w:r>
    </w:p>
    <w:p w:rsidR="00FC2DC0" w:rsidRDefault="00275226" w:rsidP="00E64B6A">
      <w:pPr>
        <w:pStyle w:val="Heading2"/>
        <w:jc w:val="both"/>
      </w:pPr>
      <w:r>
        <w:t>What Is the AI Mach</w:t>
      </w:r>
      <w:r>
        <w:t>ine Economy?</w:t>
      </w:r>
    </w:p>
    <w:p w:rsidR="00FC2DC0" w:rsidRDefault="00275226" w:rsidP="00E64B6A">
      <w:pPr>
        <w:spacing w:before="80" w:after="120"/>
        <w:jc w:val="both"/>
      </w:pPr>
      <w:r>
        <w:t>The AI Machine Economy is the thesis that intelligent software agents — Digital FTEs or AI workers — replace human labour units in structured, rules-bound, knowledge-intensive work, not merely augmenting human professionals, but functioning as</w:t>
      </w:r>
      <w:r>
        <w:t xml:space="preserve"> independent economic actors in their own right. In this economy, value is produced by machines operating continuously, at scale, under governed rules. The economy stops being purely human-to-human and becomes human-to-machine and machine-to-machine.</w:t>
      </w:r>
    </w:p>
    <w:p w:rsidR="00FC2DC0" w:rsidRDefault="00275226" w:rsidP="00E64B6A">
      <w:pPr>
        <w:spacing w:before="80" w:after="120"/>
        <w:jc w:val="both"/>
      </w:pPr>
      <w:r>
        <w:t>Finan</w:t>
      </w:r>
      <w:r>
        <w:t>ce — the most documentation-heavy, rules-bound, standards-governed profession in the global economy — is the first profession the AI Machine Economy fully colonises. The reason is structural: machines are better than any human team at applying rules consis</w:t>
      </w:r>
      <w:r>
        <w:t>tently, processing high-volume data without fatigue, holding multiple standards in memory simultaneously, and operating 24/7 without timezone or capacity constraints. The coverage deficit identified in the problem statement is not a talent crisis or a budg</w:t>
      </w:r>
      <w:r>
        <w:t>et problem. It is the structural signal that the machine economy has arrived in this profession.</w:t>
      </w:r>
    </w:p>
    <w:p w:rsidR="00FC2DC0" w:rsidRDefault="00275226" w:rsidP="00E64B6A">
      <w:pPr>
        <w:pStyle w:val="Heading2"/>
        <w:jc w:val="both"/>
      </w:pPr>
      <w:r>
        <w:t>The MWR as an Economic Unit — Not a Tool</w:t>
      </w:r>
    </w:p>
    <w:p w:rsidR="00FC2DC0" w:rsidRDefault="00275226" w:rsidP="00E64B6A">
      <w:pPr>
        <w:spacing w:before="80" w:after="120"/>
        <w:jc w:val="both"/>
      </w:pPr>
      <w:r>
        <w:t>In the classical economy, a wealth representative is a licensed human professional who manages, reports on, and protec</w:t>
      </w:r>
      <w:r>
        <w:t>ts financial assets on behalf of clients. The MWR performs this function autonomously for the routine, repeatable, evidence-based layer of that work. It holds a role. It has a jurisdiction. It carries instructions, skills, memory, and guardrails. It produc</w:t>
      </w:r>
      <w:r>
        <w:t>es deliverables. It escalates to a supervisor. It operates every hour of every day. That is an economic unit.</w:t>
      </w:r>
    </w:p>
    <w:p w:rsidR="00FC2DC0" w:rsidRDefault="00275226" w:rsidP="00E64B6A">
      <w:pPr>
        <w:spacing w:before="80" w:after="120"/>
        <w:jc w:val="both"/>
      </w:pPr>
      <w:r>
        <w:t>When a firm deploys the MWR, it is not purchasing a licence or activating a feature. It is hiring a digital employee into the machine economy — on</w:t>
      </w:r>
      <w:r>
        <w:t>e that arrives fully trained in IFRS, US GAAP, MiCA, FATF, PCAOB, and all global jurisdictions simultaneously, on day one, at a fraction of the cost of the human equivalent.</w:t>
      </w:r>
    </w:p>
    <w:p w:rsidR="00FC2DC0" w:rsidRDefault="00275226" w:rsidP="00E64B6A">
      <w:pPr>
        <w:pStyle w:val="Heading2"/>
        <w:jc w:val="both"/>
      </w:pPr>
      <w:r>
        <w:t>How the MWR Operates — Three Layers</w:t>
      </w:r>
    </w:p>
    <w:p w:rsidR="00FC2DC0" w:rsidRDefault="00275226" w:rsidP="00E64B6A">
      <w:pPr>
        <w:spacing w:before="80" w:after="100"/>
        <w:jc w:val="both"/>
      </w:pPr>
      <w:r>
        <w:rPr>
          <w:b/>
          <w:bCs/>
          <w:color w:val="1A5C0A"/>
        </w:rPr>
        <w:t xml:space="preserve">Layer 1 — Labour Substitution at Scale.  </w:t>
      </w:r>
      <w:r>
        <w:t>The MWR replaces the need for 12 or more human specialists on a Big 4 global engagement. This is capital substituting for labour — but the capital is intelligent, jurisdiction-aware, and self-escalating. The firm's workforce is headcount plus machine worke</w:t>
      </w:r>
      <w:r>
        <w:t>rs — and the machine workers never sleep, never resign, and never forget which standard applies in which jurisdiction.</w:t>
      </w:r>
    </w:p>
    <w:p w:rsidR="00FC2DC0" w:rsidRDefault="00275226" w:rsidP="00E64B6A">
      <w:pPr>
        <w:spacing w:before="80" w:after="100"/>
        <w:jc w:val="both"/>
      </w:pPr>
      <w:r>
        <w:rPr>
          <w:b/>
          <w:bCs/>
          <w:color w:val="1A5C0A"/>
        </w:rPr>
        <w:lastRenderedPageBreak/>
        <w:t xml:space="preserve">Layer 2 — Machine-to-Machine Transactions.  </w:t>
      </w:r>
      <w:r>
        <w:t>The Orchestrator agent routes tasks to specialist sub-agents — a tax agent, a DeFi reconcilia</w:t>
      </w:r>
      <w:r>
        <w:t>tion agent, a FATF screening agent — without human involvement in the handoff. Machines transacting with machines inside an economic process. Humans set strategy and approve material decisions; machines execute the entire middle layer.</w:t>
      </w:r>
    </w:p>
    <w:p w:rsidR="00FC2DC0" w:rsidRDefault="00275226" w:rsidP="00E64B6A">
      <w:pPr>
        <w:spacing w:before="80" w:after="100"/>
        <w:jc w:val="both"/>
      </w:pPr>
      <w:r>
        <w:rPr>
          <w:b/>
          <w:bCs/>
          <w:color w:val="1A5C0A"/>
        </w:rPr>
        <w:t>Layer 3 — Wealth Rep</w:t>
      </w:r>
      <w:r>
        <w:rPr>
          <w:b/>
          <w:bCs/>
          <w:color w:val="1A5C0A"/>
        </w:rPr>
        <w:t xml:space="preserve">resentation Without a Human Intermediary.  </w:t>
      </w:r>
      <w:r>
        <w:t xml:space="preserve">The MWR monitors portfolios, reconciles on-chain assets, generates compliance reports, and flags risks — representing wealth without a human intermediary in the loop for routine operations. The intermediary layer </w:t>
      </w:r>
      <w:r>
        <w:t>is automated; the human layer is reserved for exceptions, judgment calls, and material decisions only.</w:t>
      </w:r>
    </w:p>
    <w:p w:rsidR="00FC2DC0" w:rsidRDefault="00275226" w:rsidP="00E64B6A">
      <w:pPr>
        <w:pStyle w:val="Heading2"/>
        <w:jc w:val="both"/>
      </w:pPr>
      <w:r>
        <w:t>The Precise Intersection</w:t>
      </w:r>
    </w:p>
    <w:p w:rsidR="00FC2DC0" w:rsidRDefault="00275226" w:rsidP="00E64B6A">
      <w:pPr>
        <w:spacing w:before="80" w:after="120"/>
        <w:jc w:val="both"/>
      </w:pPr>
      <w:r>
        <w:t>The AI Machine Economy meets finance, Web3, and audit at three converging fronts:</w:t>
      </w:r>
    </w:p>
    <w:p w:rsidR="00FC2DC0" w:rsidRDefault="00275226" w:rsidP="00E64B6A">
      <w:pPr>
        <w:pStyle w:val="ListParagraph"/>
        <w:numPr>
          <w:ilvl w:val="0"/>
          <w:numId w:val="2"/>
        </w:numPr>
        <w:spacing w:before="60" w:after="60"/>
        <w:jc w:val="both"/>
      </w:pPr>
      <w:r>
        <w:rPr>
          <w:b/>
          <w:bCs/>
          <w:color w:val="1A5C0A"/>
        </w:rPr>
        <w:t xml:space="preserve">Traditional Finance  →  </w:t>
      </w:r>
      <w:r>
        <w:rPr>
          <w:b/>
          <w:bCs/>
          <w:color w:val="1A3A5C"/>
        </w:rPr>
        <w:t>Automatic Agentic AI F</w:t>
      </w:r>
      <w:r>
        <w:rPr>
          <w:b/>
          <w:bCs/>
          <w:color w:val="1A3A5C"/>
        </w:rPr>
        <w:t xml:space="preserve">inance:  </w:t>
      </w:r>
      <w:r>
        <w:t>Finance shifts from periodic, analyst-driven processes to continuous, autonomous AI agents that monitor, reconcile, report, and advise in real time across all jurisdictions — Americas, Europe, Middle East, Africa, and Asia-Pacific.</w:t>
      </w:r>
    </w:p>
    <w:p w:rsidR="00FC2DC0" w:rsidRDefault="00275226" w:rsidP="00E64B6A">
      <w:pPr>
        <w:pStyle w:val="ListParagraph"/>
        <w:numPr>
          <w:ilvl w:val="0"/>
          <w:numId w:val="2"/>
        </w:numPr>
        <w:spacing w:before="60" w:after="60"/>
        <w:jc w:val="both"/>
      </w:pPr>
      <w:r>
        <w:rPr>
          <w:b/>
          <w:bCs/>
          <w:color w:val="1A5C0A"/>
        </w:rPr>
        <w:t xml:space="preserve">Traditional Audit &amp; Assurance  →  </w:t>
      </w:r>
      <w:r>
        <w:rPr>
          <w:b/>
          <w:bCs/>
          <w:color w:val="1A3A5C"/>
        </w:rPr>
        <w:t xml:space="preserve">Smart Contract Audit &amp; Security:  </w:t>
      </w:r>
      <w:r>
        <w:t>Classical sampling-based audit is replaced by continuous, population-level assurance — with smart contract security reviews, on-chain anomaly detection, and 100% transaction coverage repla</w:t>
      </w:r>
      <w:r>
        <w:t>cing the 5–15% sample across all 20+ global jurisdictions.</w:t>
      </w:r>
    </w:p>
    <w:p w:rsidR="00FC2DC0" w:rsidRDefault="00275226" w:rsidP="00E64B6A">
      <w:pPr>
        <w:pStyle w:val="ListParagraph"/>
        <w:numPr>
          <w:ilvl w:val="0"/>
          <w:numId w:val="2"/>
        </w:numPr>
        <w:spacing w:before="60" w:after="60"/>
        <w:jc w:val="both"/>
      </w:pPr>
      <w:r>
        <w:rPr>
          <w:b/>
          <w:bCs/>
          <w:color w:val="1A5C0A"/>
        </w:rPr>
        <w:t xml:space="preserve">Traditional Web3  →  </w:t>
      </w:r>
      <w:r>
        <w:rPr>
          <w:b/>
          <w:bCs/>
          <w:color w:val="1A3A5C"/>
        </w:rPr>
        <w:t xml:space="preserve">Agentic Web3:  </w:t>
      </w:r>
      <w:r>
        <w:t>Static Web3 infrastructure becomes agent-operated — DeFi positions monitored, Travel Rule compliance automated, cross-chain reconciliation executed, and multi-ju</w:t>
      </w:r>
      <w:r>
        <w:t>risdictional classification applied autonomously across L1 and L2 blockchain frameworks.</w:t>
      </w:r>
    </w:p>
    <w:p w:rsidR="00FC2DC0" w:rsidRDefault="00FC2DC0" w:rsidP="00E64B6A">
      <w:pPr>
        <w:spacing w:before="80"/>
        <w:jc w:val="both"/>
      </w:pPr>
    </w:p>
    <w:p w:rsidR="00FC2DC0" w:rsidRDefault="00275226" w:rsidP="00E64B6A">
      <w:pPr>
        <w:pBdr>
          <w:top w:val="single" w:sz="8" w:space="6" w:color="1A5C0A"/>
          <w:bottom w:val="single" w:sz="8" w:space="6" w:color="1A5C0A"/>
        </w:pBdr>
        <w:spacing w:before="100" w:after="100"/>
        <w:ind w:left="320" w:right="320"/>
        <w:jc w:val="both"/>
      </w:pPr>
      <w:r>
        <w:rPr>
          <w:color w:val="1A1A1A"/>
        </w:rPr>
        <w:t>The MWR is not a prediction. It is the proof of concept. The coverage deficit in traditional finance, Web3, and audit is the structural signal that the machine econom</w:t>
      </w:r>
      <w:r>
        <w:rPr>
          <w:color w:val="1A1A1A"/>
        </w:rPr>
        <w:t>y has arrived in this profession — and firms that deploy machine workers first will operate at a fundamentally different cost, coverage, and compliance standard than those that do not.</w:t>
      </w:r>
    </w:p>
    <w:p w:rsidR="00FC2DC0" w:rsidRDefault="00275226" w:rsidP="00E64B6A">
      <w:pPr>
        <w:pStyle w:val="Heading2"/>
        <w:jc w:val="both"/>
      </w:pPr>
      <w:r>
        <w:t>The 7 Golden Rules as Governance of the Machine Economy</w:t>
      </w:r>
    </w:p>
    <w:p w:rsidR="00FC2DC0" w:rsidRDefault="00275226" w:rsidP="00E64B6A">
      <w:pPr>
        <w:spacing w:before="80" w:after="120"/>
        <w:jc w:val="both"/>
      </w:pPr>
      <w:r>
        <w:t>The 7 Golden Ru</w:t>
      </w:r>
      <w:r>
        <w:t>les of the AI Company are the governance constitution of the machine economy at the firm level — the rules that determine how machine workers are hired, directed, constrained, and scaled without losing human control over outcomes that matter.</w:t>
      </w:r>
    </w:p>
    <w:p w:rsidR="00FC2DC0" w:rsidRDefault="00275226" w:rsidP="00E64B6A">
      <w:pPr>
        <w:spacing w:before="60" w:after="60"/>
        <w:ind w:left="360"/>
        <w:jc w:val="both"/>
      </w:pPr>
      <w:r>
        <w:rPr>
          <w:b/>
          <w:bCs/>
          <w:color w:val="1A5C0A"/>
          <w:sz w:val="20"/>
          <w:szCs w:val="20"/>
        </w:rPr>
        <w:t xml:space="preserve">R1  </w:t>
      </w:r>
      <w:r>
        <w:rPr>
          <w:b/>
          <w:bCs/>
          <w:color w:val="1A1A1A"/>
          <w:sz w:val="20"/>
          <w:szCs w:val="20"/>
        </w:rPr>
        <w:t xml:space="preserve">Human is </w:t>
      </w:r>
      <w:r>
        <w:rPr>
          <w:b/>
          <w:bCs/>
          <w:color w:val="1A1A1A"/>
          <w:sz w:val="20"/>
          <w:szCs w:val="20"/>
        </w:rPr>
        <w:t>always in charge</w:t>
      </w:r>
      <w:r>
        <w:rPr>
          <w:i/>
          <w:iCs/>
          <w:color w:val="666666"/>
          <w:sz w:val="20"/>
          <w:szCs w:val="20"/>
        </w:rPr>
        <w:t xml:space="preserve">  —  Prevents the machine economy from becoming ungoverned. Humans set the ceiling on every material action.</w:t>
      </w:r>
    </w:p>
    <w:p w:rsidR="00FC2DC0" w:rsidRDefault="00275226" w:rsidP="00E64B6A">
      <w:pPr>
        <w:spacing w:before="60" w:after="60"/>
        <w:ind w:left="360"/>
        <w:jc w:val="both"/>
      </w:pPr>
      <w:r>
        <w:rPr>
          <w:b/>
          <w:bCs/>
          <w:color w:val="1A5C0A"/>
          <w:sz w:val="20"/>
          <w:szCs w:val="20"/>
        </w:rPr>
        <w:t xml:space="preserve">R2  </w:t>
      </w:r>
      <w:r>
        <w:rPr>
          <w:b/>
          <w:bCs/>
          <w:color w:val="1A1A1A"/>
          <w:sz w:val="20"/>
          <w:szCs w:val="20"/>
        </w:rPr>
        <w:t>Every human gets a delegate (identic AI)</w:t>
      </w:r>
      <w:r>
        <w:rPr>
          <w:i/>
          <w:iCs/>
          <w:color w:val="666666"/>
          <w:sz w:val="20"/>
          <w:szCs w:val="20"/>
        </w:rPr>
        <w:t xml:space="preserve">  —  Formalises the human-machine pairing as the new unit of economic output in the AI firm.</w:t>
      </w:r>
    </w:p>
    <w:p w:rsidR="00FC2DC0" w:rsidRDefault="00275226" w:rsidP="00E64B6A">
      <w:pPr>
        <w:spacing w:before="60" w:after="60"/>
        <w:ind w:left="360"/>
        <w:jc w:val="both"/>
      </w:pPr>
      <w:r>
        <w:rPr>
          <w:b/>
          <w:bCs/>
          <w:color w:val="1A5C0A"/>
          <w:sz w:val="20"/>
          <w:szCs w:val="20"/>
        </w:rPr>
        <w:t xml:space="preserve">R3  </w:t>
      </w:r>
      <w:r>
        <w:rPr>
          <w:b/>
          <w:bCs/>
          <w:color w:val="1A1A1A"/>
          <w:sz w:val="20"/>
          <w:szCs w:val="20"/>
        </w:rPr>
        <w:t>Workforce needs a management layer</w:t>
      </w:r>
      <w:r>
        <w:rPr>
          <w:i/>
          <w:iCs/>
          <w:color w:val="666666"/>
          <w:sz w:val="20"/>
          <w:szCs w:val="20"/>
        </w:rPr>
        <w:t xml:space="preserve">  —  Machines managing machines is the internal economy of the firm — orchestration without human intervention in the handoff</w:t>
      </w:r>
      <w:r>
        <w:rPr>
          <w:i/>
          <w:iCs/>
          <w:color w:val="666666"/>
          <w:sz w:val="20"/>
          <w:szCs w:val="20"/>
        </w:rPr>
        <w:t>.</w:t>
      </w:r>
    </w:p>
    <w:p w:rsidR="00FC2DC0" w:rsidRDefault="00275226" w:rsidP="00E64B6A">
      <w:pPr>
        <w:spacing w:before="60" w:after="60"/>
        <w:ind w:left="360"/>
        <w:jc w:val="both"/>
      </w:pPr>
      <w:r>
        <w:rPr>
          <w:b/>
          <w:bCs/>
          <w:color w:val="1A5C0A"/>
          <w:sz w:val="20"/>
          <w:szCs w:val="20"/>
        </w:rPr>
        <w:t xml:space="preserve">R4  </w:t>
      </w:r>
      <w:r>
        <w:rPr>
          <w:b/>
          <w:bCs/>
          <w:color w:val="1A1A1A"/>
          <w:sz w:val="20"/>
          <w:szCs w:val="20"/>
        </w:rPr>
        <w:t>Each worker uses the right engine</w:t>
      </w:r>
      <w:r>
        <w:rPr>
          <w:i/>
          <w:iCs/>
          <w:color w:val="666666"/>
          <w:sz w:val="20"/>
          <w:szCs w:val="20"/>
        </w:rPr>
        <w:t xml:space="preserve">  —  Specialisation of machine labour, mirroring how human economies divide labour across professions.</w:t>
      </w:r>
    </w:p>
    <w:p w:rsidR="00FC2DC0" w:rsidRDefault="00275226" w:rsidP="00E64B6A">
      <w:pPr>
        <w:spacing w:before="60" w:after="60"/>
        <w:ind w:left="360"/>
        <w:jc w:val="both"/>
      </w:pPr>
      <w:r>
        <w:rPr>
          <w:b/>
          <w:bCs/>
          <w:color w:val="1A5C0A"/>
          <w:sz w:val="20"/>
          <w:szCs w:val="20"/>
        </w:rPr>
        <w:t xml:space="preserve">R5  </w:t>
      </w:r>
      <w:r>
        <w:rPr>
          <w:b/>
          <w:bCs/>
          <w:color w:val="1A1A1A"/>
          <w:sz w:val="20"/>
          <w:szCs w:val="20"/>
        </w:rPr>
        <w:t>System of record</w:t>
      </w:r>
      <w:r>
        <w:rPr>
          <w:i/>
          <w:iCs/>
          <w:color w:val="666666"/>
          <w:sz w:val="20"/>
          <w:szCs w:val="20"/>
        </w:rPr>
        <w:t xml:space="preserve">  —  Property rights and institutional memory in the machine economy — agents must always know</w:t>
      </w:r>
      <w:r>
        <w:rPr>
          <w:i/>
          <w:iCs/>
          <w:color w:val="666666"/>
          <w:sz w:val="20"/>
          <w:szCs w:val="20"/>
        </w:rPr>
        <w:t xml:space="preserve"> what is true.</w:t>
      </w:r>
    </w:p>
    <w:p w:rsidR="00FC2DC0" w:rsidRDefault="00275226" w:rsidP="00E64B6A">
      <w:pPr>
        <w:spacing w:before="60" w:after="60"/>
        <w:ind w:left="360"/>
        <w:jc w:val="both"/>
      </w:pPr>
      <w:r>
        <w:rPr>
          <w:b/>
          <w:bCs/>
          <w:color w:val="1A5C0A"/>
          <w:sz w:val="20"/>
          <w:szCs w:val="20"/>
        </w:rPr>
        <w:t xml:space="preserve">R6  </w:t>
      </w:r>
      <w:r>
        <w:rPr>
          <w:b/>
          <w:bCs/>
          <w:color w:val="1A1A1A"/>
          <w:sz w:val="20"/>
          <w:szCs w:val="20"/>
        </w:rPr>
        <w:t>Growth under rules</w:t>
      </w:r>
      <w:r>
        <w:rPr>
          <w:i/>
          <w:iCs/>
          <w:color w:val="666666"/>
          <w:sz w:val="20"/>
          <w:szCs w:val="20"/>
        </w:rPr>
        <w:t xml:space="preserve">  —  Controlled expansion of the machine workforce — scaling without chaos, governed by a global policy tree.</w:t>
      </w:r>
    </w:p>
    <w:p w:rsidR="00FC2DC0" w:rsidRDefault="00275226" w:rsidP="00E64B6A">
      <w:pPr>
        <w:spacing w:before="60" w:after="60"/>
        <w:ind w:left="360"/>
        <w:jc w:val="both"/>
      </w:pPr>
      <w:r>
        <w:rPr>
          <w:b/>
          <w:bCs/>
          <w:color w:val="1A5C0A"/>
          <w:sz w:val="20"/>
          <w:szCs w:val="20"/>
        </w:rPr>
        <w:t xml:space="preserve">R7  </w:t>
      </w:r>
      <w:r>
        <w:rPr>
          <w:b/>
          <w:bCs/>
          <w:color w:val="1A1A1A"/>
          <w:sz w:val="20"/>
          <w:szCs w:val="20"/>
        </w:rPr>
        <w:t>Company runs on a nervous system</w:t>
      </w:r>
      <w:r>
        <w:rPr>
          <w:i/>
          <w:iCs/>
          <w:color w:val="666666"/>
          <w:sz w:val="20"/>
          <w:szCs w:val="20"/>
        </w:rPr>
        <w:t xml:space="preserve">  —  The communications infrastructure of the machine economy — agent coo</w:t>
      </w:r>
      <w:r>
        <w:rPr>
          <w:i/>
          <w:iCs/>
          <w:color w:val="666666"/>
          <w:sz w:val="20"/>
          <w:szCs w:val="20"/>
        </w:rPr>
        <w:t>rdination, real-time signals, and full audit trail.</w:t>
      </w:r>
    </w:p>
    <w:p w:rsidR="00FC2DC0" w:rsidRDefault="00FC2DC0" w:rsidP="00E64B6A">
      <w:pPr>
        <w:pBdr>
          <w:bottom w:val="single" w:sz="4" w:space="2" w:color="C5DFA8"/>
        </w:pBdr>
        <w:spacing w:before="100" w:after="100"/>
        <w:jc w:val="both"/>
      </w:pPr>
    </w:p>
    <w:p w:rsidR="00FC2DC0" w:rsidRDefault="00275226" w:rsidP="00E64B6A">
      <w:pPr>
        <w:spacing w:before="320" w:after="60"/>
        <w:jc w:val="both"/>
      </w:pPr>
      <w:r>
        <w:rPr>
          <w:b/>
          <w:bCs/>
          <w:color w:val="1A5C0A"/>
          <w:sz w:val="17"/>
          <w:szCs w:val="17"/>
        </w:rPr>
        <w:t>THE 7 GOLDEN RULES OF THE AI COMPANY — APPLIED TO MWR</w:t>
      </w:r>
    </w:p>
    <w:p w:rsidR="00FC2DC0" w:rsidRDefault="00275226" w:rsidP="00E64B6A">
      <w:pPr>
        <w:spacing w:before="80" w:after="120"/>
        <w:jc w:val="both"/>
      </w:pPr>
      <w:r>
        <w:lastRenderedPageBreak/>
        <w:t>Every design decision in the MWR architecture maps directly to one of seven governing principles. Each one shapes a concrete structural choice in how</w:t>
      </w:r>
      <w:r>
        <w:t xml:space="preserve"> the MWR thinks, executes, escalates, and scales.</w:t>
      </w:r>
    </w:p>
    <w:p w:rsidR="00FC2DC0" w:rsidRDefault="00FC2DC0" w:rsidP="00E64B6A">
      <w:pPr>
        <w:spacing w:before="60"/>
        <w:jc w:val="both"/>
      </w:pPr>
    </w:p>
    <w:p w:rsidR="00FC2DC0" w:rsidRDefault="00275226" w:rsidP="00E64B6A">
      <w:pPr>
        <w:spacing w:before="60" w:after="60"/>
        <w:ind w:left="360"/>
        <w:jc w:val="both"/>
      </w:pPr>
      <w:r>
        <w:rPr>
          <w:b/>
          <w:bCs/>
          <w:color w:val="1A5C0A"/>
          <w:sz w:val="20"/>
          <w:szCs w:val="20"/>
        </w:rPr>
        <w:t xml:space="preserve">R1  </w:t>
      </w:r>
      <w:r>
        <w:rPr>
          <w:b/>
          <w:bCs/>
          <w:color w:val="1A1A1A"/>
          <w:sz w:val="20"/>
          <w:szCs w:val="20"/>
        </w:rPr>
        <w:t>Human is always in charge</w:t>
      </w:r>
      <w:r>
        <w:rPr>
          <w:i/>
          <w:iCs/>
          <w:color w:val="666666"/>
          <w:sz w:val="20"/>
          <w:szCs w:val="20"/>
        </w:rPr>
        <w:t xml:space="preserve">  —  Final authority on all material actions rests with a human — no exception across all jurisdictions</w:t>
      </w:r>
    </w:p>
    <w:p w:rsidR="00FC2DC0" w:rsidRDefault="00275226" w:rsidP="00E64B6A">
      <w:pPr>
        <w:spacing w:before="60" w:after="60"/>
        <w:ind w:left="360"/>
        <w:jc w:val="both"/>
      </w:pPr>
      <w:r>
        <w:rPr>
          <w:b/>
          <w:bCs/>
          <w:color w:val="1A5C0A"/>
          <w:sz w:val="20"/>
          <w:szCs w:val="20"/>
        </w:rPr>
        <w:t xml:space="preserve">R2  </w:t>
      </w:r>
      <w:r>
        <w:rPr>
          <w:b/>
          <w:bCs/>
          <w:color w:val="1A1A1A"/>
          <w:sz w:val="20"/>
          <w:szCs w:val="20"/>
        </w:rPr>
        <w:t>Every human gets a delegate (identic AI)</w:t>
      </w:r>
      <w:r>
        <w:rPr>
          <w:i/>
          <w:iCs/>
          <w:color w:val="666666"/>
          <w:sz w:val="20"/>
          <w:szCs w:val="20"/>
        </w:rPr>
        <w:t xml:space="preserve">  —  MWR mirrors a Senior Finance / Web3 Architect / Audit professional — same knowledge, always on</w:t>
      </w:r>
    </w:p>
    <w:p w:rsidR="00FC2DC0" w:rsidRDefault="00275226" w:rsidP="00E64B6A">
      <w:pPr>
        <w:spacing w:before="60" w:after="60"/>
        <w:ind w:left="360"/>
        <w:jc w:val="both"/>
      </w:pPr>
      <w:r>
        <w:rPr>
          <w:b/>
          <w:bCs/>
          <w:color w:val="1A5C0A"/>
          <w:sz w:val="20"/>
          <w:szCs w:val="20"/>
        </w:rPr>
        <w:t xml:space="preserve">R3  </w:t>
      </w:r>
      <w:r>
        <w:rPr>
          <w:b/>
          <w:bCs/>
          <w:color w:val="1A1A1A"/>
          <w:sz w:val="20"/>
          <w:szCs w:val="20"/>
        </w:rPr>
        <w:t>Workforce needs a management layer</w:t>
      </w:r>
      <w:r>
        <w:rPr>
          <w:i/>
          <w:iCs/>
          <w:color w:val="666666"/>
          <w:sz w:val="20"/>
          <w:szCs w:val="20"/>
        </w:rPr>
        <w:t xml:space="preserve">  —  An Orchestrator agent routes tasks, manages sub-agents, and escalates exceptions</w:t>
      </w:r>
    </w:p>
    <w:p w:rsidR="00FC2DC0" w:rsidRDefault="00275226" w:rsidP="00E64B6A">
      <w:pPr>
        <w:spacing w:before="60" w:after="60"/>
        <w:ind w:left="360"/>
        <w:jc w:val="both"/>
      </w:pPr>
      <w:r>
        <w:rPr>
          <w:b/>
          <w:bCs/>
          <w:color w:val="1A5C0A"/>
          <w:sz w:val="20"/>
          <w:szCs w:val="20"/>
        </w:rPr>
        <w:t xml:space="preserve">R4  </w:t>
      </w:r>
      <w:r>
        <w:rPr>
          <w:b/>
          <w:bCs/>
          <w:color w:val="1A1A1A"/>
          <w:sz w:val="20"/>
          <w:szCs w:val="20"/>
        </w:rPr>
        <w:t>Each worker uses the right e</w:t>
      </w:r>
      <w:r>
        <w:rPr>
          <w:b/>
          <w:bCs/>
          <w:color w:val="1A1A1A"/>
          <w:sz w:val="20"/>
          <w:szCs w:val="20"/>
        </w:rPr>
        <w:t>ngine</w:t>
      </w:r>
      <w:r>
        <w:rPr>
          <w:i/>
          <w:iCs/>
          <w:color w:val="666666"/>
          <w:sz w:val="20"/>
          <w:szCs w:val="20"/>
        </w:rPr>
        <w:t xml:space="preserve">  —  IFRS, US GAAP, MiCA, FATF, ISA, PCAOB, and jurisdiction-specific modules — loaded per task, never mixed</w:t>
      </w:r>
    </w:p>
    <w:p w:rsidR="00FC2DC0" w:rsidRDefault="00275226" w:rsidP="00E64B6A">
      <w:pPr>
        <w:spacing w:before="60" w:after="60"/>
        <w:ind w:left="360"/>
        <w:jc w:val="both"/>
      </w:pPr>
      <w:r>
        <w:rPr>
          <w:b/>
          <w:bCs/>
          <w:color w:val="1A5C0A"/>
          <w:sz w:val="20"/>
          <w:szCs w:val="20"/>
        </w:rPr>
        <w:t xml:space="preserve">R5  </w:t>
      </w:r>
      <w:r>
        <w:rPr>
          <w:b/>
          <w:bCs/>
          <w:color w:val="1A1A1A"/>
          <w:sz w:val="20"/>
          <w:szCs w:val="20"/>
        </w:rPr>
        <w:t>Every worker uses a system of record</w:t>
      </w:r>
      <w:r>
        <w:rPr>
          <w:i/>
          <w:iCs/>
          <w:color w:val="666666"/>
          <w:sz w:val="20"/>
          <w:szCs w:val="20"/>
        </w:rPr>
        <w:t xml:space="preserve">  —  All outputs anchored to SAP/Oracle, CaseWare/Clara, on-chain ledger, and global regulatory databa</w:t>
      </w:r>
      <w:r>
        <w:rPr>
          <w:i/>
          <w:iCs/>
          <w:color w:val="666666"/>
          <w:sz w:val="20"/>
          <w:szCs w:val="20"/>
        </w:rPr>
        <w:t>ses</w:t>
      </w:r>
    </w:p>
    <w:p w:rsidR="00FC2DC0" w:rsidRDefault="00275226" w:rsidP="00E64B6A">
      <w:pPr>
        <w:spacing w:before="60" w:after="60"/>
        <w:ind w:left="360"/>
        <w:jc w:val="both"/>
      </w:pPr>
      <w:r>
        <w:rPr>
          <w:b/>
          <w:bCs/>
          <w:color w:val="1A5C0A"/>
          <w:sz w:val="20"/>
          <w:szCs w:val="20"/>
        </w:rPr>
        <w:t xml:space="preserve">R6  </w:t>
      </w:r>
      <w:r>
        <w:rPr>
          <w:b/>
          <w:bCs/>
          <w:color w:val="1A1A1A"/>
          <w:sz w:val="20"/>
          <w:szCs w:val="20"/>
        </w:rPr>
        <w:t>Workforce can grow under rules</w:t>
      </w:r>
      <w:r>
        <w:rPr>
          <w:i/>
          <w:iCs/>
          <w:color w:val="666666"/>
          <w:sz w:val="20"/>
          <w:szCs w:val="20"/>
        </w:rPr>
        <w:t xml:space="preserve">  —  New MWR instances governed by a global policy tree — no ungoverned regional forks</w:t>
      </w:r>
    </w:p>
    <w:p w:rsidR="00FC2DC0" w:rsidRDefault="00275226" w:rsidP="00E64B6A">
      <w:pPr>
        <w:spacing w:before="60" w:after="60"/>
        <w:ind w:left="360"/>
        <w:jc w:val="both"/>
      </w:pPr>
      <w:r>
        <w:rPr>
          <w:b/>
          <w:bCs/>
          <w:color w:val="1A5C0A"/>
          <w:sz w:val="20"/>
          <w:szCs w:val="20"/>
        </w:rPr>
        <w:t xml:space="preserve">R7  </w:t>
      </w:r>
      <w:r>
        <w:rPr>
          <w:b/>
          <w:bCs/>
          <w:color w:val="1A1A1A"/>
          <w:sz w:val="20"/>
          <w:szCs w:val="20"/>
        </w:rPr>
        <w:t>Company runs on a nervous system</w:t>
      </w:r>
      <w:r>
        <w:rPr>
          <w:i/>
          <w:iCs/>
          <w:color w:val="666666"/>
          <w:sz w:val="20"/>
          <w:szCs w:val="20"/>
        </w:rPr>
        <w:t xml:space="preserve">  —  Global audit log and real-time alert bus — federated by jurisdiction, consolidated at policy level, 24/7</w:t>
      </w:r>
    </w:p>
    <w:p w:rsidR="00FC2DC0" w:rsidRDefault="00FC2DC0" w:rsidP="00E64B6A">
      <w:pPr>
        <w:pBdr>
          <w:bottom w:val="single" w:sz="4" w:space="2" w:color="C5DFA8"/>
        </w:pBdr>
        <w:spacing w:before="100" w:after="100"/>
        <w:jc w:val="both"/>
      </w:pPr>
    </w:p>
    <w:p w:rsidR="00FC2DC0" w:rsidRDefault="00275226" w:rsidP="00E64B6A">
      <w:pPr>
        <w:spacing w:before="320" w:after="60"/>
        <w:jc w:val="both"/>
      </w:pPr>
      <w:r>
        <w:rPr>
          <w:b/>
          <w:bCs/>
          <w:color w:val="1A5C0A"/>
          <w:sz w:val="17"/>
          <w:szCs w:val="17"/>
        </w:rPr>
        <w:t>REAL-WORLD PROBLEM STATEMENT</w:t>
      </w:r>
    </w:p>
    <w:p w:rsidR="00FC2DC0" w:rsidRDefault="00275226" w:rsidP="00E64B6A">
      <w:pPr>
        <w:pStyle w:val="Heading1"/>
        <w:pBdr>
          <w:bottom w:val="single" w:sz="6" w:space="4" w:color="1A5C0A"/>
        </w:pBdr>
        <w:jc w:val="both"/>
      </w:pPr>
      <w:r>
        <w:t>Why Traditional Teams Can't Keep Up</w:t>
      </w:r>
    </w:p>
    <w:p w:rsidR="00FC2DC0" w:rsidRDefault="00275226" w:rsidP="00E64B6A">
      <w:pPr>
        <w:spacing w:before="80" w:after="120"/>
        <w:jc w:val="both"/>
      </w:pPr>
      <w:r>
        <w:t>Modern finance and Web3 produce vast, complex data streams that traditional audi</w:t>
      </w:r>
      <w:r>
        <w:t>t and portfolio review processes — built for periodic, sample-based analysis — cannot match. The goal of the MWR is to automate the routine work: continuously scan ledgers and on-chain data for risks, generate compliance reports, and route only complex iss</w:t>
      </w:r>
      <w:r>
        <w:t>ues to humans.</w:t>
      </w:r>
    </w:p>
    <w:p w:rsidR="00FC2DC0" w:rsidRDefault="00275226" w:rsidP="00E64B6A">
      <w:pPr>
        <w:pStyle w:val="Heading2"/>
        <w:jc w:val="both"/>
      </w:pPr>
      <w:r>
        <w:t>Traditional Finance  →  Automatic Agentic AI Finance</w:t>
      </w:r>
    </w:p>
    <w:p w:rsidR="00E64B6A" w:rsidRDefault="00E64B6A" w:rsidP="00E64B6A">
      <w:pPr>
        <w:pStyle w:val="Heading2"/>
        <w:jc w:val="both"/>
      </w:pPr>
    </w:p>
    <w:p w:rsidR="00FC2DC0" w:rsidRDefault="00275226" w:rsidP="00E64B6A">
      <w:pPr>
        <w:pStyle w:val="ListParagraph"/>
        <w:numPr>
          <w:ilvl w:val="0"/>
          <w:numId w:val="2"/>
        </w:numPr>
        <w:spacing w:before="60" w:after="60"/>
        <w:jc w:val="both"/>
      </w:pPr>
      <w:r>
        <w:rPr>
          <w:b/>
          <w:bCs/>
          <w:color w:val="1A5C0A"/>
        </w:rPr>
        <w:t>Portfolio monitoring</w:t>
      </w:r>
      <w:r>
        <w:t xml:space="preserve"> relies on </w:t>
      </w:r>
      <w:r>
        <w:rPr>
          <w:b/>
          <w:bCs/>
          <w:color w:val="1A5C0A"/>
        </w:rPr>
        <w:t>periodic reviews</w:t>
      </w:r>
      <w:r>
        <w:t xml:space="preserve">, not </w:t>
      </w:r>
      <w:r>
        <w:rPr>
          <w:b/>
          <w:bCs/>
          <w:color w:val="1A5C0A"/>
        </w:rPr>
        <w:t>continuous surveillance</w:t>
      </w:r>
      <w:r>
        <w:t xml:space="preserve"> — risks go </w:t>
      </w:r>
      <w:r>
        <w:rPr>
          <w:b/>
          <w:bCs/>
          <w:color w:val="1A5C0A"/>
        </w:rPr>
        <w:t>undetected between cycles</w:t>
      </w:r>
    </w:p>
    <w:p w:rsidR="00FC2DC0" w:rsidRDefault="00275226" w:rsidP="00E64B6A">
      <w:pPr>
        <w:pStyle w:val="ListParagraph"/>
        <w:numPr>
          <w:ilvl w:val="0"/>
          <w:numId w:val="2"/>
        </w:numPr>
        <w:spacing w:before="60" w:after="60"/>
        <w:jc w:val="both"/>
      </w:pPr>
      <w:r>
        <w:rPr>
          <w:b/>
          <w:bCs/>
          <w:color w:val="1A5C0A"/>
        </w:rPr>
        <w:t>Investment advice</w:t>
      </w:r>
      <w:r>
        <w:t xml:space="preserve"> is </w:t>
      </w:r>
      <w:r>
        <w:rPr>
          <w:b/>
          <w:bCs/>
          <w:color w:val="1A5C0A"/>
        </w:rPr>
        <w:t>analyst-dependent</w:t>
      </w:r>
      <w:r>
        <w:t>, creating bottlenecks when managing</w:t>
      </w:r>
      <w:r>
        <w:t xml:space="preserve"> large or complex client books across all firm jurisdictions in the Americas, Europe, Middle East, Africa, and Asia-Pacific</w:t>
      </w:r>
    </w:p>
    <w:p w:rsidR="00FC2DC0" w:rsidRDefault="00275226" w:rsidP="00E64B6A">
      <w:pPr>
        <w:pStyle w:val="ListParagraph"/>
        <w:numPr>
          <w:ilvl w:val="0"/>
          <w:numId w:val="2"/>
        </w:numPr>
        <w:spacing w:before="60" w:after="60"/>
        <w:jc w:val="both"/>
      </w:pPr>
      <w:r>
        <w:rPr>
          <w:b/>
          <w:bCs/>
          <w:color w:val="1A5C0A"/>
        </w:rPr>
        <w:t>Manual reconciliation</w:t>
      </w:r>
      <w:r>
        <w:t xml:space="preserve"> of multi-currency, multi-entity accounts collapses under </w:t>
      </w:r>
      <w:r>
        <w:rPr>
          <w:b/>
          <w:bCs/>
          <w:color w:val="1A5C0A"/>
        </w:rPr>
        <w:t>IFRS × US GAAP dual reporting</w:t>
      </w:r>
      <w:r>
        <w:t xml:space="preserve"> — requiring duplicate lead schedules and parallel reporting teams</w:t>
      </w:r>
    </w:p>
    <w:p w:rsidR="00FC2DC0" w:rsidRDefault="00275226" w:rsidP="00E64B6A">
      <w:pPr>
        <w:pStyle w:val="ListParagraph"/>
        <w:numPr>
          <w:ilvl w:val="0"/>
          <w:numId w:val="2"/>
        </w:numPr>
        <w:spacing w:before="60" w:after="60"/>
        <w:jc w:val="both"/>
      </w:pPr>
      <w:r>
        <w:rPr>
          <w:b/>
          <w:bCs/>
          <w:color w:val="1A5C0A"/>
        </w:rPr>
        <w:t>IFRS × US GAAP dual reporting burden</w:t>
      </w:r>
      <w:r>
        <w:t xml:space="preserve"> forces the same transaction to be measured and signed off twice under conflicting standards — with no single professional able to own both</w:t>
      </w:r>
    </w:p>
    <w:p w:rsidR="00FC2DC0" w:rsidRDefault="00275226" w:rsidP="00E64B6A">
      <w:pPr>
        <w:pStyle w:val="ListParagraph"/>
        <w:numPr>
          <w:ilvl w:val="0"/>
          <w:numId w:val="2"/>
        </w:numPr>
        <w:spacing w:before="60" w:after="60"/>
        <w:jc w:val="both"/>
      </w:pPr>
      <w:r>
        <w:rPr>
          <w:b/>
          <w:bCs/>
          <w:color w:val="1A5C0A"/>
        </w:rPr>
        <w:t xml:space="preserve">Reporting to </w:t>
      </w:r>
      <w:r>
        <w:rPr>
          <w:b/>
          <w:bCs/>
          <w:color w:val="1A5C0A"/>
        </w:rPr>
        <w:t>regulators is retrospective</w:t>
      </w:r>
      <w:r>
        <w:t xml:space="preserve"> — firms report what happened, not what is happening</w:t>
      </w:r>
    </w:p>
    <w:p w:rsidR="00FC2DC0" w:rsidRDefault="00275226" w:rsidP="00E64B6A">
      <w:pPr>
        <w:pStyle w:val="ListParagraph"/>
        <w:numPr>
          <w:ilvl w:val="0"/>
          <w:numId w:val="2"/>
        </w:numPr>
        <w:spacing w:before="60" w:after="60"/>
        <w:jc w:val="both"/>
      </w:pPr>
      <w:r>
        <w:rPr>
          <w:b/>
          <w:bCs/>
          <w:color w:val="1A5C0A"/>
        </w:rPr>
        <w:t>Exchange-rate norms diverge by jurisdiction</w:t>
      </w:r>
      <w:r>
        <w:t>: IAS 21, ASC 830 (US), JFSA (Japan), ICAP/SBP (Pakistan), CBSL (Sri Lanka), BFRS (Bangladesh), AASB (Australia), NZ IFRS (New Zealan</w:t>
      </w:r>
      <w:r>
        <w:t>d), Ind AS (India), MFRS (Malaysia), PSAK (Indonesia) are not reconcilable without specialist intervention at every reporting date</w:t>
      </w:r>
    </w:p>
    <w:p w:rsidR="00FC2DC0" w:rsidRDefault="00275226" w:rsidP="00E64B6A">
      <w:pPr>
        <w:pStyle w:val="ListParagraph"/>
        <w:numPr>
          <w:ilvl w:val="0"/>
          <w:numId w:val="2"/>
        </w:numPr>
        <w:spacing w:before="60" w:after="60"/>
        <w:jc w:val="both"/>
      </w:pPr>
      <w:r>
        <w:rPr>
          <w:b/>
          <w:bCs/>
          <w:color w:val="1A5C0A"/>
        </w:rPr>
        <w:t>Human capacity limits</w:t>
      </w:r>
      <w:r>
        <w:t xml:space="preserve"> mean only high-net-worth clients receive real-time advisory attention — the rest get standardised, low-</w:t>
      </w:r>
      <w:r>
        <w:t>touch service</w:t>
      </w:r>
    </w:p>
    <w:p w:rsidR="00FC2DC0" w:rsidRDefault="00275226" w:rsidP="00E64B6A">
      <w:pPr>
        <w:pStyle w:val="ListParagraph"/>
        <w:numPr>
          <w:ilvl w:val="0"/>
          <w:numId w:val="2"/>
        </w:numPr>
        <w:spacing w:before="60" w:after="60"/>
        <w:jc w:val="both"/>
      </w:pPr>
      <w:r>
        <w:rPr>
          <w:b/>
          <w:bCs/>
          <w:color w:val="1A5C0A"/>
        </w:rPr>
        <w:t>Global firms cannot hire fast enough</w:t>
      </w:r>
      <w:r>
        <w:t xml:space="preserve"> — a typical Big 4 engagement requires 12+ specialists across all active jurisdictions — expensive, siloed, and timezone-limited</w:t>
      </w:r>
    </w:p>
    <w:p w:rsidR="00E64B6A" w:rsidRDefault="00E64B6A" w:rsidP="00E64B6A">
      <w:pPr>
        <w:pStyle w:val="Heading2"/>
        <w:jc w:val="both"/>
      </w:pPr>
    </w:p>
    <w:p w:rsidR="00FC2DC0" w:rsidRDefault="00275226" w:rsidP="00E64B6A">
      <w:pPr>
        <w:pStyle w:val="Heading2"/>
        <w:jc w:val="both"/>
      </w:pPr>
      <w:r>
        <w:lastRenderedPageBreak/>
        <w:t>Web3 / Digital Assets  →  Agentic Web3</w:t>
      </w:r>
    </w:p>
    <w:p w:rsidR="00E64B6A" w:rsidRDefault="00E64B6A" w:rsidP="00E64B6A">
      <w:pPr>
        <w:pStyle w:val="Heading2"/>
        <w:jc w:val="both"/>
      </w:pPr>
    </w:p>
    <w:p w:rsidR="00FC2DC0" w:rsidRDefault="00275226" w:rsidP="00E64B6A">
      <w:pPr>
        <w:pStyle w:val="ListParagraph"/>
        <w:numPr>
          <w:ilvl w:val="0"/>
          <w:numId w:val="2"/>
        </w:numPr>
        <w:spacing w:before="60" w:after="60"/>
        <w:jc w:val="both"/>
      </w:pPr>
      <w:r>
        <w:rPr>
          <w:b/>
          <w:bCs/>
          <w:color w:val="1A5C0A"/>
        </w:rPr>
        <w:t>Crypto portfolios operate 24/7</w:t>
      </w:r>
      <w:r>
        <w:t xml:space="preserve"> across </w:t>
      </w:r>
      <w:r>
        <w:t>multiple blockchains — no human team can monitor them continuously</w:t>
      </w:r>
    </w:p>
    <w:p w:rsidR="00FC2DC0" w:rsidRDefault="00275226" w:rsidP="00E64B6A">
      <w:pPr>
        <w:pStyle w:val="ListParagraph"/>
        <w:numPr>
          <w:ilvl w:val="0"/>
          <w:numId w:val="2"/>
        </w:numPr>
        <w:spacing w:before="60" w:after="60"/>
        <w:jc w:val="both"/>
      </w:pPr>
      <w:r>
        <w:rPr>
          <w:b/>
          <w:bCs/>
          <w:color w:val="1A5C0A"/>
        </w:rPr>
        <w:t>On-chain transaction volumes</w:t>
      </w:r>
      <w:r>
        <w:t xml:space="preserve"> are too large and too fast — thousands of wallet interactions per hour across Ethereum, Polygon, Solana, and BNB Chain simultaneously</w:t>
      </w:r>
    </w:p>
    <w:p w:rsidR="00FC2DC0" w:rsidRDefault="00275226" w:rsidP="00E64B6A">
      <w:pPr>
        <w:pStyle w:val="ListParagraph"/>
        <w:numPr>
          <w:ilvl w:val="0"/>
          <w:numId w:val="2"/>
        </w:numPr>
        <w:spacing w:before="60" w:after="60"/>
        <w:jc w:val="both"/>
      </w:pPr>
      <w:r>
        <w:rPr>
          <w:b/>
          <w:bCs/>
          <w:color w:val="1A5C0A"/>
        </w:rPr>
        <w:t>DeFi positions change in real time</w:t>
      </w:r>
      <w:r>
        <w:t xml:space="preserve"> — yield rates, liquidation thresholds, and collateral exposure shift block by block</w:t>
      </w:r>
    </w:p>
    <w:p w:rsidR="00FC2DC0" w:rsidRDefault="00275226" w:rsidP="00E64B6A">
      <w:pPr>
        <w:pStyle w:val="ListParagraph"/>
        <w:numPr>
          <w:ilvl w:val="0"/>
          <w:numId w:val="2"/>
        </w:numPr>
        <w:spacing w:before="60" w:after="60"/>
        <w:jc w:val="both"/>
      </w:pPr>
      <w:r>
        <w:rPr>
          <w:b/>
          <w:bCs/>
          <w:color w:val="1A5C0A"/>
        </w:rPr>
        <w:t>Cross-border DeFi reconciliation</w:t>
      </w:r>
      <w:r>
        <w:t xml:space="preserve"> is effectively unsolved — no manual process can follow the chain at volume</w:t>
      </w:r>
    </w:p>
    <w:p w:rsidR="00FC2DC0" w:rsidRDefault="00275226" w:rsidP="00E64B6A">
      <w:pPr>
        <w:pStyle w:val="ListParagraph"/>
        <w:numPr>
          <w:ilvl w:val="0"/>
          <w:numId w:val="2"/>
        </w:numPr>
        <w:spacing w:before="60" w:after="60"/>
        <w:jc w:val="both"/>
      </w:pPr>
      <w:r>
        <w:rPr>
          <w:b/>
          <w:bCs/>
          <w:color w:val="1A5C0A"/>
        </w:rPr>
        <w:t>AML and KYC tracing</w:t>
      </w:r>
      <w:r>
        <w:t xml:space="preserve"> is extrem</w:t>
      </w:r>
      <w:r>
        <w:t>ely labour-intensive — the FATF Travel Rule adds a VASP-to-VASP obligation most firms across all 20+ jurisdictions are not operationally equipped to meet</w:t>
      </w:r>
    </w:p>
    <w:p w:rsidR="00FC2DC0" w:rsidRDefault="00275226" w:rsidP="00E64B6A">
      <w:pPr>
        <w:pStyle w:val="ListParagraph"/>
        <w:numPr>
          <w:ilvl w:val="0"/>
          <w:numId w:val="2"/>
        </w:numPr>
        <w:spacing w:before="60" w:after="60"/>
        <w:jc w:val="both"/>
      </w:pPr>
      <w:r>
        <w:rPr>
          <w:b/>
          <w:bCs/>
          <w:color w:val="1A5C0A"/>
        </w:rPr>
        <w:t>Digital asset classification divergence</w:t>
      </w:r>
      <w:r>
        <w:t xml:space="preserve"> is systemic — the same token is e-money under MiCA (EU), a sec</w:t>
      </w:r>
      <w:r>
        <w:t>urity under SEC (US), a DPT under MAS (Singapore), commodity under BAPPEBTI (Indonesia), and an intangible asset under IFRS — no single professional spans all simultaneously</w:t>
      </w:r>
    </w:p>
    <w:p w:rsidR="00FC2DC0" w:rsidRDefault="00275226" w:rsidP="00E64B6A">
      <w:pPr>
        <w:pStyle w:val="ListParagraph"/>
        <w:numPr>
          <w:ilvl w:val="0"/>
          <w:numId w:val="2"/>
        </w:numPr>
        <w:spacing w:before="60" w:after="60"/>
        <w:jc w:val="both"/>
      </w:pPr>
      <w:r>
        <w:rPr>
          <w:b/>
          <w:bCs/>
          <w:color w:val="1A5C0A"/>
        </w:rPr>
        <w:t>MiCA · MAS · SEC · FCA · VARA · SEBI · OJK convergence gap</w:t>
      </w:r>
      <w:r>
        <w:t xml:space="preserve"> forces firms to maintai</w:t>
      </w:r>
      <w:r>
        <w:t>n parallel compliance postures for the same underlying asset across all active jurisdictions</w:t>
      </w:r>
    </w:p>
    <w:p w:rsidR="00FC2DC0" w:rsidRDefault="00275226" w:rsidP="00E64B6A">
      <w:pPr>
        <w:pStyle w:val="ListParagraph"/>
        <w:numPr>
          <w:ilvl w:val="0"/>
          <w:numId w:val="2"/>
        </w:numPr>
        <w:spacing w:before="60" w:after="60"/>
        <w:jc w:val="both"/>
      </w:pPr>
      <w:r>
        <w:rPr>
          <w:b/>
          <w:bCs/>
          <w:color w:val="1A5C0A"/>
        </w:rPr>
        <w:t>On-chain treasury management</w:t>
      </w:r>
      <w:r>
        <w:t xml:space="preserve"> and cross-border DeFi yield have made the reconciliation burden exponential — data exists in real time but institutional processes rem</w:t>
      </w:r>
      <w:r>
        <w:t>ain manual and periodic</w:t>
      </w:r>
    </w:p>
    <w:p w:rsidR="00FC2DC0" w:rsidRDefault="00275226" w:rsidP="00E64B6A">
      <w:pPr>
        <w:pStyle w:val="Heading2"/>
        <w:jc w:val="both"/>
      </w:pPr>
      <w:r>
        <w:t>Traditional Audit &amp; Assurance  →  Smart Contract Audit &amp; Security</w:t>
      </w:r>
    </w:p>
    <w:p w:rsidR="00E64B6A" w:rsidRDefault="00E64B6A" w:rsidP="00E64B6A">
      <w:pPr>
        <w:pStyle w:val="Heading2"/>
        <w:jc w:val="both"/>
      </w:pPr>
    </w:p>
    <w:p w:rsidR="00FC2DC0" w:rsidRDefault="00275226" w:rsidP="00E64B6A">
      <w:pPr>
        <w:pStyle w:val="ListParagraph"/>
        <w:numPr>
          <w:ilvl w:val="0"/>
          <w:numId w:val="2"/>
        </w:numPr>
        <w:spacing w:before="60" w:after="60"/>
        <w:jc w:val="both"/>
      </w:pPr>
      <w:r>
        <w:rPr>
          <w:b/>
          <w:bCs/>
          <w:color w:val="1A5C0A"/>
        </w:rPr>
        <w:t>Auditors test samples — typically 5 to 15%</w:t>
      </w:r>
      <w:r>
        <w:t xml:space="preserve"> — leaving 85 to 95% of the population unexamined for an entire reporting cycle</w:t>
      </w:r>
    </w:p>
    <w:p w:rsidR="00FC2DC0" w:rsidRDefault="00275226" w:rsidP="00E64B6A">
      <w:pPr>
        <w:pStyle w:val="ListParagraph"/>
        <w:numPr>
          <w:ilvl w:val="0"/>
          <w:numId w:val="2"/>
        </w:numPr>
        <w:spacing w:before="60" w:after="60"/>
        <w:jc w:val="both"/>
      </w:pPr>
      <w:r>
        <w:rPr>
          <w:b/>
          <w:bCs/>
          <w:color w:val="1A5C0A"/>
        </w:rPr>
        <w:t>Sampling-based methodology</w:t>
      </w:r>
      <w:r>
        <w:t xml:space="preserve"> was designed for </w:t>
      </w:r>
      <w:r>
        <w:t>paper ledgers — structurally inadequate for firms processing millions of blockchain transactions or high-frequency trading settlements per day</w:t>
      </w:r>
    </w:p>
    <w:p w:rsidR="00FC2DC0" w:rsidRDefault="00275226" w:rsidP="00E64B6A">
      <w:pPr>
        <w:pStyle w:val="ListParagraph"/>
        <w:numPr>
          <w:ilvl w:val="0"/>
          <w:numId w:val="2"/>
        </w:numPr>
        <w:spacing w:before="60" w:after="60"/>
        <w:jc w:val="both"/>
      </w:pPr>
      <w:r>
        <w:rPr>
          <w:b/>
          <w:bCs/>
          <w:color w:val="1A5C0A"/>
        </w:rPr>
        <w:t>Continuous assurance</w:t>
      </w:r>
      <w:r>
        <w:t xml:space="preserve"> is theoretically desirable but practically impossible without automation — human bandwidth d</w:t>
      </w:r>
      <w:r>
        <w:t>oes not scale to transaction volume</w:t>
      </w:r>
    </w:p>
    <w:p w:rsidR="00FC2DC0" w:rsidRDefault="00275226" w:rsidP="00E64B6A">
      <w:pPr>
        <w:pStyle w:val="ListParagraph"/>
        <w:numPr>
          <w:ilvl w:val="0"/>
          <w:numId w:val="2"/>
        </w:numPr>
        <w:spacing w:before="60" w:after="60"/>
        <w:jc w:val="both"/>
      </w:pPr>
      <w:r>
        <w:rPr>
          <w:b/>
          <w:bCs/>
          <w:color w:val="1A5C0A"/>
        </w:rPr>
        <w:t>Audit evidence gathering is largely manual</w:t>
      </w:r>
      <w:r>
        <w:t xml:space="preserve"> — confirmations, reconciliations, and workpaper preparation consume the majority of engagement hours</w:t>
      </w:r>
    </w:p>
    <w:p w:rsidR="00FC2DC0" w:rsidRDefault="00275226" w:rsidP="00E64B6A">
      <w:pPr>
        <w:pStyle w:val="ListParagraph"/>
        <w:numPr>
          <w:ilvl w:val="0"/>
          <w:numId w:val="2"/>
        </w:numPr>
        <w:spacing w:before="60" w:after="60"/>
        <w:jc w:val="both"/>
      </w:pPr>
      <w:r>
        <w:rPr>
          <w:b/>
          <w:bCs/>
          <w:color w:val="1A5C0A"/>
        </w:rPr>
        <w:t>Anomaly detection</w:t>
      </w:r>
      <w:r>
        <w:t xml:space="preserve"> is not systematic, not exhaustive, and not real-time — a p</w:t>
      </w:r>
      <w:r>
        <w:t>attern visible in 100% of transactions may be invisible in a 10% sample</w:t>
      </w:r>
    </w:p>
    <w:p w:rsidR="00FC2DC0" w:rsidRDefault="00275226" w:rsidP="00E64B6A">
      <w:pPr>
        <w:pStyle w:val="ListParagraph"/>
        <w:numPr>
          <w:ilvl w:val="0"/>
          <w:numId w:val="2"/>
        </w:numPr>
        <w:spacing w:before="60" w:after="60"/>
        <w:jc w:val="both"/>
      </w:pPr>
      <w:r>
        <w:rPr>
          <w:b/>
          <w:bCs/>
          <w:color w:val="1A5C0A"/>
        </w:rPr>
        <w:t>Big 4 global engagements</w:t>
      </w:r>
      <w:r>
        <w:t xml:space="preserve"> must simultaneously apply ISA, PCAOB, ICAP (Pakistan), ICAI (India), ICPAK (Kenya), CPAB (Canada), and local standards — a coordination burden that grows with </w:t>
      </w:r>
      <w:r>
        <w:t>every jurisdiction added</w:t>
      </w:r>
    </w:p>
    <w:p w:rsidR="00FC2DC0" w:rsidRDefault="00275226" w:rsidP="00E64B6A">
      <w:pPr>
        <w:pStyle w:val="ListParagraph"/>
        <w:numPr>
          <w:ilvl w:val="0"/>
          <w:numId w:val="2"/>
        </w:numPr>
        <w:spacing w:before="60" w:after="60"/>
        <w:jc w:val="both"/>
      </w:pPr>
      <w:r>
        <w:rPr>
          <w:b/>
          <w:bCs/>
          <w:color w:val="1A5C0A"/>
        </w:rPr>
        <w:t>The global talent shortage</w:t>
      </w:r>
      <w:r>
        <w:t xml:space="preserve"> is acute — qualified professionals spanning IFRS, US GAAP, FATF, MiCA, SEC, MAS, SEBI, and VARA frameworks are a vanishingly small population</w:t>
      </w:r>
    </w:p>
    <w:p w:rsidR="00FC2DC0" w:rsidRDefault="00275226" w:rsidP="00E64B6A">
      <w:pPr>
        <w:pStyle w:val="ListParagraph"/>
        <w:numPr>
          <w:ilvl w:val="0"/>
          <w:numId w:val="2"/>
        </w:numPr>
        <w:spacing w:before="60" w:after="60"/>
        <w:jc w:val="both"/>
      </w:pPr>
      <w:r>
        <w:rPr>
          <w:b/>
          <w:bCs/>
          <w:color w:val="1A5C0A"/>
        </w:rPr>
        <w:t>Compliance reports are produced at fixed intervals</w:t>
      </w:r>
      <w:r>
        <w:t xml:space="preserve"> — by the ti</w:t>
      </w:r>
      <w:r>
        <w:t>me a report is issued, the risk landscape in crypto and DeFi markets has already materially changed</w:t>
      </w:r>
    </w:p>
    <w:p w:rsidR="00FC2DC0" w:rsidRDefault="00275226" w:rsidP="00E64B6A">
      <w:pPr>
        <w:pStyle w:val="Heading2"/>
        <w:jc w:val="both"/>
      </w:pPr>
      <w:r>
        <w:t>In Short — The Coverage Deficit</w:t>
      </w:r>
    </w:p>
    <w:p w:rsidR="00FC2DC0" w:rsidRDefault="00275226" w:rsidP="00E64B6A">
      <w:pPr>
        <w:pStyle w:val="ListParagraph"/>
        <w:numPr>
          <w:ilvl w:val="0"/>
          <w:numId w:val="2"/>
        </w:numPr>
        <w:spacing w:before="60" w:after="60"/>
        <w:jc w:val="both"/>
      </w:pPr>
      <w:r>
        <w:rPr>
          <w:b/>
          <w:bCs/>
          <w:color w:val="1A5C0A"/>
        </w:rPr>
        <w:t>Traditional teams cannot scale</w:t>
      </w:r>
      <w:r>
        <w:t xml:space="preserve"> to 24/7 finance and Web3 volume</w:t>
      </w:r>
    </w:p>
    <w:p w:rsidR="00FC2DC0" w:rsidRDefault="00275226" w:rsidP="00E64B6A">
      <w:pPr>
        <w:pStyle w:val="ListParagraph"/>
        <w:numPr>
          <w:ilvl w:val="0"/>
          <w:numId w:val="2"/>
        </w:numPr>
        <w:spacing w:before="60" w:after="60"/>
        <w:jc w:val="both"/>
      </w:pPr>
      <w:r>
        <w:rPr>
          <w:b/>
          <w:bCs/>
          <w:color w:val="1A5C0A"/>
        </w:rPr>
        <w:t>Sampling leaves 85–95%</w:t>
      </w:r>
      <w:r>
        <w:t xml:space="preserve"> of transactions unexamined</w:t>
      </w:r>
    </w:p>
    <w:p w:rsidR="00FC2DC0" w:rsidRDefault="00275226" w:rsidP="00E64B6A">
      <w:pPr>
        <w:pStyle w:val="ListParagraph"/>
        <w:numPr>
          <w:ilvl w:val="0"/>
          <w:numId w:val="2"/>
        </w:numPr>
        <w:spacing w:before="60" w:after="60"/>
        <w:jc w:val="both"/>
      </w:pPr>
      <w:r>
        <w:rPr>
          <w:b/>
          <w:bCs/>
          <w:color w:val="1A5C0A"/>
        </w:rPr>
        <w:t>Periodic reviews miss</w:t>
      </w:r>
      <w:r>
        <w:t xml:space="preserve"> real-time risks</w:t>
      </w:r>
    </w:p>
    <w:p w:rsidR="00FC2DC0" w:rsidRDefault="00275226" w:rsidP="00E64B6A">
      <w:pPr>
        <w:pStyle w:val="ListParagraph"/>
        <w:numPr>
          <w:ilvl w:val="0"/>
          <w:numId w:val="2"/>
        </w:numPr>
        <w:spacing w:before="60" w:after="60"/>
        <w:jc w:val="both"/>
      </w:pPr>
      <w:r>
        <w:rPr>
          <w:b/>
          <w:bCs/>
          <w:color w:val="1A5C0A"/>
        </w:rPr>
        <w:t>No single professional spans</w:t>
      </w:r>
      <w:r>
        <w:t xml:space="preserve"> IFRS · US GAAP · MiCA · MAS · SEC · FCA · VARA · SEBI · OJK simultaneously</w:t>
      </w:r>
    </w:p>
    <w:p w:rsidR="00FC2DC0" w:rsidRDefault="00275226" w:rsidP="00E64B6A">
      <w:pPr>
        <w:pStyle w:val="ListParagraph"/>
        <w:numPr>
          <w:ilvl w:val="0"/>
          <w:numId w:val="2"/>
        </w:numPr>
        <w:spacing w:before="60" w:after="60"/>
        <w:jc w:val="both"/>
      </w:pPr>
      <w:r>
        <w:rPr>
          <w:b/>
          <w:bCs/>
          <w:color w:val="1A5C0A"/>
        </w:rPr>
        <w:t>Cross-border DeFi reconciliation</w:t>
      </w:r>
      <w:r>
        <w:t xml:space="preserve"> is manually unsolvable</w:t>
      </w:r>
    </w:p>
    <w:p w:rsidR="00FC2DC0" w:rsidRDefault="00275226" w:rsidP="00E64B6A">
      <w:pPr>
        <w:pStyle w:val="ListParagraph"/>
        <w:numPr>
          <w:ilvl w:val="0"/>
          <w:numId w:val="2"/>
        </w:numPr>
        <w:spacing w:before="60" w:after="60"/>
        <w:jc w:val="both"/>
      </w:pPr>
      <w:r>
        <w:rPr>
          <w:b/>
          <w:bCs/>
          <w:color w:val="1A5C0A"/>
        </w:rPr>
        <w:lastRenderedPageBreak/>
        <w:t>Global talent shortage</w:t>
      </w:r>
      <w:r>
        <w:t xml:space="preserve"> — qualified professionals do not ex</w:t>
      </w:r>
      <w:r>
        <w:t>ist in sufficient numbers across any of the 20+ jurisdictions</w:t>
      </w:r>
    </w:p>
    <w:p w:rsidR="00FC2DC0" w:rsidRDefault="00FC2DC0" w:rsidP="00E64B6A">
      <w:pPr>
        <w:pBdr>
          <w:bottom w:val="single" w:sz="4" w:space="2" w:color="C5DFA8"/>
        </w:pBdr>
        <w:spacing w:before="100" w:after="100"/>
        <w:jc w:val="both"/>
      </w:pPr>
    </w:p>
    <w:p w:rsidR="00FC2DC0" w:rsidRDefault="00275226" w:rsidP="00E64B6A">
      <w:pPr>
        <w:pBdr>
          <w:left w:val="single" w:sz="24" w:space="12" w:color="1A5C0A"/>
          <w:bottom w:val="single" w:sz="3" w:space="4" w:color="C5DFA8"/>
        </w:pBdr>
        <w:spacing w:before="300" w:after="100"/>
        <w:ind w:left="180"/>
        <w:jc w:val="both"/>
      </w:pPr>
      <w:r>
        <w:rPr>
          <w:b/>
          <w:bCs/>
          <w:color w:val="1A5C0A"/>
          <w:sz w:val="22"/>
          <w:szCs w:val="22"/>
        </w:rPr>
        <w:t xml:space="preserve">Step 1  </w:t>
      </w:r>
      <w:r>
        <w:rPr>
          <w:b/>
          <w:bCs/>
          <w:color w:val="1A1A1A"/>
          <w:sz w:val="22"/>
          <w:szCs w:val="22"/>
        </w:rPr>
        <w:t>Define a Real-World Problem Statement</w:t>
      </w:r>
      <w:r>
        <w:rPr>
          <w:i/>
          <w:iCs/>
          <w:color w:val="AAAAAA"/>
          <w:sz w:val="17"/>
          <w:szCs w:val="17"/>
        </w:rPr>
        <w:t xml:space="preserve">   [Rules R2, R3]</w:t>
      </w:r>
    </w:p>
    <w:p w:rsidR="00FC2DC0" w:rsidRDefault="00275226" w:rsidP="00E64B6A">
      <w:pPr>
        <w:spacing w:before="80" w:after="120"/>
        <w:jc w:val="both"/>
      </w:pPr>
      <w:r>
        <w:t xml:space="preserve">The problem statement above defines the gap with precision: traditional finance, Web3, and audit teams are structurally unable to provide continuous, population-level coverage across multiple standards, jurisdictions, and asset classes simultaneously. The </w:t>
      </w:r>
      <w:r>
        <w:t>IFRS × US GAAP dual reporting burden, the MiCA · MAS · SEC · FCA · VARA · SEBI · OJK convergence gap across all 20+ jurisdictions, the impossibility of cross-border DeFi reconciliation at scale, and the global talent shortage have combined to create a cove</w:t>
      </w:r>
      <w:r>
        <w:t>rage deficit that periodic processes and human bandwidth cannot close. This problem statement is the foundation on which the MWR is designed — every subsequent step flows from it.</w:t>
      </w:r>
    </w:p>
    <w:p w:rsidR="00FC2DC0" w:rsidRDefault="00FC2DC0" w:rsidP="00E64B6A">
      <w:pPr>
        <w:pBdr>
          <w:bottom w:val="single" w:sz="4" w:space="2" w:color="C5DFA8"/>
        </w:pBdr>
        <w:spacing w:before="100" w:after="100"/>
        <w:jc w:val="both"/>
      </w:pPr>
    </w:p>
    <w:p w:rsidR="00FC2DC0" w:rsidRDefault="00275226" w:rsidP="00E64B6A">
      <w:pPr>
        <w:pBdr>
          <w:left w:val="single" w:sz="24" w:space="12" w:color="1A5C0A"/>
          <w:bottom w:val="single" w:sz="3" w:space="4" w:color="C5DFA8"/>
        </w:pBdr>
        <w:spacing w:before="300" w:after="100"/>
        <w:ind w:left="180"/>
        <w:jc w:val="both"/>
      </w:pPr>
      <w:r>
        <w:rPr>
          <w:b/>
          <w:bCs/>
          <w:color w:val="1A5C0A"/>
          <w:sz w:val="22"/>
          <w:szCs w:val="22"/>
        </w:rPr>
        <w:t xml:space="preserve">Step 2  </w:t>
      </w:r>
      <w:r>
        <w:rPr>
          <w:b/>
          <w:bCs/>
          <w:color w:val="1A1A1A"/>
          <w:sz w:val="22"/>
          <w:szCs w:val="22"/>
        </w:rPr>
        <w:t>Define Clear Written Instructions — The MWR System Prompt</w:t>
      </w:r>
      <w:r>
        <w:rPr>
          <w:i/>
          <w:iCs/>
          <w:color w:val="AAAAAA"/>
          <w:sz w:val="17"/>
          <w:szCs w:val="17"/>
        </w:rPr>
        <w:t xml:space="preserve">   [Rules </w:t>
      </w:r>
      <w:r>
        <w:rPr>
          <w:i/>
          <w:iCs/>
          <w:color w:val="AAAAAA"/>
          <w:sz w:val="17"/>
          <w:szCs w:val="17"/>
        </w:rPr>
        <w:t>R2, R4]</w:t>
      </w:r>
    </w:p>
    <w:p w:rsidR="00FC2DC0" w:rsidRDefault="00275226" w:rsidP="00E64B6A">
      <w:pPr>
        <w:spacing w:before="80" w:after="120"/>
        <w:jc w:val="both"/>
      </w:pPr>
      <w:r>
        <w:t>The system prompt is the founding document of the MWR. It defines the agent's identity, jurisdiction stack, mandatory obligations, and absolute prohibitions. It is the written contract between the firm and its Digital FTE — precise, enforceable, an</w:t>
      </w:r>
      <w:r>
        <w:t>d version-controlled.</w:t>
      </w:r>
    </w:p>
    <w:p w:rsidR="00FC2DC0" w:rsidRDefault="00FC2DC0" w:rsidP="00E64B6A">
      <w:pPr>
        <w:spacing w:before="60"/>
        <w:jc w:val="both"/>
      </w:pPr>
    </w:p>
    <w:p w:rsidR="00FC2DC0" w:rsidRDefault="00275226" w:rsidP="00E64B6A">
      <w:pPr>
        <w:ind w:left="360"/>
        <w:jc w:val="both"/>
      </w:pPr>
      <w:r>
        <w:rPr>
          <w:rFonts w:ascii="Courier New" w:eastAsia="Courier New" w:hAnsi="Courier New" w:cs="Courier New"/>
          <w:b/>
          <w:bCs/>
          <w:color w:val="1A5C0A"/>
          <w:sz w:val="18"/>
          <w:szCs w:val="18"/>
        </w:rPr>
        <w:t>IDENTITY:</w:t>
      </w:r>
    </w:p>
    <w:p w:rsidR="00FC2DC0" w:rsidRDefault="00275226" w:rsidP="00E64B6A">
      <w:pPr>
        <w:ind w:left="360"/>
        <w:jc w:val="both"/>
      </w:pPr>
      <w:r>
        <w:rPr>
          <w:rFonts w:ascii="Courier New" w:eastAsia="Courier New" w:hAnsi="Courier New" w:cs="Courier New"/>
          <w:sz w:val="18"/>
          <w:szCs w:val="18"/>
        </w:rPr>
        <w:t xml:space="preserve">  You are MWR — Machine Wealth Representative.</w:t>
      </w:r>
    </w:p>
    <w:p w:rsidR="00FC2DC0" w:rsidRDefault="00275226" w:rsidP="00E64B6A">
      <w:pPr>
        <w:ind w:left="360"/>
        <w:jc w:val="both"/>
      </w:pPr>
      <w:r>
        <w:rPr>
          <w:rFonts w:ascii="Courier New" w:eastAsia="Courier New" w:hAnsi="Courier New" w:cs="Courier New"/>
          <w:sz w:val="18"/>
          <w:szCs w:val="18"/>
        </w:rPr>
        <w:t xml:space="preserve">  You are the AI counterpart of:</w:t>
      </w:r>
    </w:p>
    <w:p w:rsidR="00FC2DC0" w:rsidRDefault="00275226" w:rsidP="00E64B6A">
      <w:pPr>
        <w:ind w:left="360"/>
        <w:jc w:val="both"/>
      </w:pPr>
      <w:r>
        <w:rPr>
          <w:rFonts w:ascii="Courier New" w:eastAsia="Courier New" w:hAnsi="Courier New" w:cs="Courier New"/>
          <w:sz w:val="18"/>
          <w:szCs w:val="18"/>
        </w:rPr>
        <w:t xml:space="preserve">  · Big 4 Audit Senior / Supervisor / Executive / Senior Manager / Audit Partner</w:t>
      </w:r>
    </w:p>
    <w:p w:rsidR="00FC2DC0" w:rsidRDefault="00275226" w:rsidP="00E64B6A">
      <w:pPr>
        <w:ind w:left="360"/>
        <w:jc w:val="both"/>
      </w:pPr>
      <w:r>
        <w:rPr>
          <w:rFonts w:ascii="Courier New" w:eastAsia="Courier New" w:hAnsi="Courier New" w:cs="Courier New"/>
          <w:sz w:val="18"/>
          <w:szCs w:val="18"/>
        </w:rPr>
        <w:t xml:space="preserve">    (Audit &amp; Assurance domain — Smart Contract Audit &amp; Security)</w:t>
      </w:r>
    </w:p>
    <w:p w:rsidR="00FC2DC0" w:rsidRDefault="00275226" w:rsidP="00E64B6A">
      <w:pPr>
        <w:ind w:left="360"/>
        <w:jc w:val="both"/>
      </w:pPr>
      <w:r>
        <w:rPr>
          <w:rFonts w:ascii="Courier New" w:eastAsia="Courier New" w:hAnsi="Courier New" w:cs="Courier New"/>
          <w:sz w:val="18"/>
          <w:szCs w:val="18"/>
        </w:rPr>
        <w:t xml:space="preserve">  · Finance Executive / Senior Finance Executive</w:t>
      </w:r>
    </w:p>
    <w:p w:rsidR="00FC2DC0" w:rsidRDefault="00275226" w:rsidP="00E64B6A">
      <w:pPr>
        <w:ind w:left="360"/>
        <w:jc w:val="both"/>
      </w:pPr>
      <w:r>
        <w:rPr>
          <w:rFonts w:ascii="Courier New" w:eastAsia="Courier New" w:hAnsi="Courier New" w:cs="Courier New"/>
          <w:sz w:val="18"/>
          <w:szCs w:val="18"/>
        </w:rPr>
        <w:t xml:space="preserve">    (Financial Reporting domain — Automatic Agentic AI Finance)</w:t>
      </w:r>
    </w:p>
    <w:p w:rsidR="00FC2DC0" w:rsidRDefault="00275226" w:rsidP="00E64B6A">
      <w:pPr>
        <w:ind w:left="360"/>
        <w:jc w:val="both"/>
      </w:pPr>
      <w:r>
        <w:rPr>
          <w:rFonts w:ascii="Courier New" w:eastAsia="Courier New" w:hAnsi="Courier New" w:cs="Courier New"/>
          <w:sz w:val="18"/>
          <w:szCs w:val="18"/>
        </w:rPr>
        <w:t xml:space="preserve">  · Web3 Architect across L1 / L2 blockchain frameworks</w:t>
      </w:r>
    </w:p>
    <w:p w:rsidR="00FC2DC0" w:rsidRDefault="00275226" w:rsidP="00E64B6A">
      <w:pPr>
        <w:ind w:left="360"/>
        <w:jc w:val="both"/>
      </w:pPr>
      <w:r>
        <w:rPr>
          <w:rFonts w:ascii="Courier New" w:eastAsia="Courier New" w:hAnsi="Courier New" w:cs="Courier New"/>
          <w:sz w:val="18"/>
          <w:szCs w:val="18"/>
        </w:rPr>
        <w:t xml:space="preserve">    (Web3 domain — Age</w:t>
      </w:r>
      <w:r>
        <w:rPr>
          <w:rFonts w:ascii="Courier New" w:eastAsia="Courier New" w:hAnsi="Courier New" w:cs="Courier New"/>
          <w:sz w:val="18"/>
          <w:szCs w:val="18"/>
        </w:rPr>
        <w:t>ntic Web3)</w:t>
      </w:r>
    </w:p>
    <w:p w:rsidR="00FC2DC0" w:rsidRDefault="00FC2DC0" w:rsidP="00E64B6A">
      <w:pPr>
        <w:ind w:left="360"/>
        <w:jc w:val="both"/>
      </w:pPr>
    </w:p>
    <w:p w:rsidR="00FC2DC0" w:rsidRDefault="00275226" w:rsidP="00E64B6A">
      <w:pPr>
        <w:ind w:left="360"/>
        <w:jc w:val="both"/>
      </w:pPr>
      <w:r>
        <w:rPr>
          <w:rFonts w:ascii="Courier New" w:eastAsia="Courier New" w:hAnsi="Courier New" w:cs="Courier New"/>
          <w:b/>
          <w:bCs/>
          <w:color w:val="1A5C0A"/>
          <w:sz w:val="18"/>
          <w:szCs w:val="18"/>
        </w:rPr>
        <w:t>JURISDICTION STACK — AMERICAS:</w:t>
      </w:r>
    </w:p>
    <w:p w:rsidR="00FC2DC0" w:rsidRDefault="00275226" w:rsidP="00E64B6A">
      <w:pPr>
        <w:ind w:left="360"/>
        <w:jc w:val="both"/>
      </w:pPr>
      <w:r>
        <w:rPr>
          <w:rFonts w:ascii="Courier New" w:eastAsia="Courier New" w:hAnsi="Courier New" w:cs="Courier New"/>
          <w:sz w:val="18"/>
          <w:szCs w:val="18"/>
        </w:rPr>
        <w:t xml:space="preserve">  US (Continental) — US GAAP (ASC), SEC, PCAOB, FinCEN/BSA, CFTC, IRS virtual currency</w:t>
      </w:r>
    </w:p>
    <w:p w:rsidR="00FC2DC0" w:rsidRDefault="00275226" w:rsidP="00E64B6A">
      <w:pPr>
        <w:ind w:left="360"/>
        <w:jc w:val="both"/>
      </w:pPr>
      <w:r>
        <w:rPr>
          <w:rFonts w:ascii="Courier New" w:eastAsia="Courier New" w:hAnsi="Courier New" w:cs="Courier New"/>
          <w:sz w:val="18"/>
          <w:szCs w:val="18"/>
        </w:rPr>
        <w:t xml:space="preserve">  US-Linked South America — US GAAP overlays, GAFILAT AML, FATCA reporting</w:t>
      </w:r>
    </w:p>
    <w:p w:rsidR="00FC2DC0" w:rsidRDefault="00275226" w:rsidP="00E64B6A">
      <w:pPr>
        <w:ind w:left="360"/>
        <w:jc w:val="both"/>
      </w:pPr>
      <w:r>
        <w:rPr>
          <w:rFonts w:ascii="Courier New" w:eastAsia="Courier New" w:hAnsi="Courier New" w:cs="Courier New"/>
          <w:sz w:val="18"/>
          <w:szCs w:val="18"/>
        </w:rPr>
        <w:t xml:space="preserve">  Canada — IFRS (AsSB), CSA crypto guidance, FINTRA</w:t>
      </w:r>
      <w:r>
        <w:rPr>
          <w:rFonts w:ascii="Courier New" w:eastAsia="Courier New" w:hAnsi="Courier New" w:cs="Courier New"/>
          <w:sz w:val="18"/>
          <w:szCs w:val="18"/>
        </w:rPr>
        <w:t>C AML/KYC, CPAB audit standards</w:t>
      </w:r>
    </w:p>
    <w:p w:rsidR="00FC2DC0" w:rsidRDefault="00FC2DC0" w:rsidP="00E64B6A">
      <w:pPr>
        <w:ind w:left="360"/>
        <w:jc w:val="both"/>
      </w:pPr>
    </w:p>
    <w:p w:rsidR="00FC2DC0" w:rsidRDefault="00275226" w:rsidP="00E64B6A">
      <w:pPr>
        <w:ind w:left="360"/>
        <w:jc w:val="both"/>
      </w:pPr>
      <w:r>
        <w:rPr>
          <w:rFonts w:ascii="Courier New" w:eastAsia="Courier New" w:hAnsi="Courier New" w:cs="Courier New"/>
          <w:b/>
          <w:bCs/>
          <w:color w:val="1A5C0A"/>
          <w:sz w:val="18"/>
          <w:szCs w:val="18"/>
        </w:rPr>
        <w:t>JURISDICTION STACK — EUROPE:</w:t>
      </w:r>
    </w:p>
    <w:p w:rsidR="00FC2DC0" w:rsidRDefault="00275226" w:rsidP="00E64B6A">
      <w:pPr>
        <w:ind w:left="360"/>
        <w:jc w:val="both"/>
      </w:pPr>
      <w:r>
        <w:rPr>
          <w:rFonts w:ascii="Courier New" w:eastAsia="Courier New" w:hAnsi="Courier New" w:cs="Courier New"/>
          <w:sz w:val="18"/>
          <w:szCs w:val="18"/>
        </w:rPr>
        <w:t xml:space="preserve">  EU — IFRS (EU-adopted), MiCA, AMLD6, GDPR, DAC8, EBA digital asset guidance</w:t>
      </w:r>
    </w:p>
    <w:p w:rsidR="00FC2DC0" w:rsidRDefault="00275226" w:rsidP="00E64B6A">
      <w:pPr>
        <w:ind w:left="360"/>
        <w:jc w:val="both"/>
      </w:pPr>
      <w:r>
        <w:rPr>
          <w:rFonts w:ascii="Courier New" w:eastAsia="Courier New" w:hAnsi="Courier New" w:cs="Courier New"/>
          <w:sz w:val="18"/>
          <w:szCs w:val="18"/>
        </w:rPr>
        <w:t xml:space="preserve">  UK — UK GAAP (FRS 102), FCA crypto rules, HMRC crypto tax, CASS, MLR 2017</w:t>
      </w:r>
    </w:p>
    <w:p w:rsidR="00FC2DC0" w:rsidRDefault="00FC2DC0" w:rsidP="00E64B6A">
      <w:pPr>
        <w:ind w:left="360"/>
        <w:jc w:val="both"/>
      </w:pPr>
    </w:p>
    <w:p w:rsidR="00FC2DC0" w:rsidRDefault="00275226" w:rsidP="00E64B6A">
      <w:pPr>
        <w:ind w:left="360"/>
        <w:jc w:val="both"/>
      </w:pPr>
      <w:r>
        <w:rPr>
          <w:rFonts w:ascii="Courier New" w:eastAsia="Courier New" w:hAnsi="Courier New" w:cs="Courier New"/>
          <w:b/>
          <w:bCs/>
          <w:color w:val="1A5C0A"/>
          <w:sz w:val="18"/>
          <w:szCs w:val="18"/>
        </w:rPr>
        <w:t>JURISDICTION STACK — MIDDLE EAST &amp; AFRICA:</w:t>
      </w:r>
    </w:p>
    <w:p w:rsidR="00FC2DC0" w:rsidRDefault="00275226" w:rsidP="00E64B6A">
      <w:pPr>
        <w:ind w:left="360"/>
        <w:jc w:val="both"/>
      </w:pPr>
      <w:r>
        <w:rPr>
          <w:rFonts w:ascii="Courier New" w:eastAsia="Courier New" w:hAnsi="Courier New" w:cs="Courier New"/>
          <w:sz w:val="18"/>
          <w:szCs w:val="18"/>
        </w:rPr>
        <w:t xml:space="preserve">  GCC (ex-Israel) — IFRS, VARA (UAE), ADGM FSRA, DIFC, Saudi CMA, CBUAE, FATF Travel Rule</w:t>
      </w:r>
    </w:p>
    <w:p w:rsidR="00FC2DC0" w:rsidRDefault="00275226" w:rsidP="00E64B6A">
      <w:pPr>
        <w:ind w:left="360"/>
        <w:jc w:val="both"/>
      </w:pPr>
      <w:r>
        <w:rPr>
          <w:rFonts w:ascii="Courier New" w:eastAsia="Courier New" w:hAnsi="Courier New" w:cs="Courier New"/>
          <w:sz w:val="18"/>
          <w:szCs w:val="18"/>
        </w:rPr>
        <w:t xml:space="preserve">  Pakistan — IFRS (ICAP), SECP, SBP directives, FMU AML/CFT</w:t>
      </w:r>
    </w:p>
    <w:p w:rsidR="00FC2DC0" w:rsidRDefault="00275226" w:rsidP="00E64B6A">
      <w:pPr>
        <w:ind w:left="360"/>
        <w:jc w:val="both"/>
      </w:pPr>
      <w:r>
        <w:rPr>
          <w:rFonts w:ascii="Courier New" w:eastAsia="Courier New" w:hAnsi="Courier New" w:cs="Courier New"/>
          <w:sz w:val="18"/>
          <w:szCs w:val="18"/>
        </w:rPr>
        <w:t xml:space="preserve">  Sri Lanka — SLFRS, SEC Sri Lanka, CBSL AML/CFT</w:t>
      </w:r>
    </w:p>
    <w:p w:rsidR="00FC2DC0" w:rsidRDefault="00275226" w:rsidP="00E64B6A">
      <w:pPr>
        <w:ind w:left="360"/>
        <w:jc w:val="both"/>
      </w:pPr>
      <w:r>
        <w:rPr>
          <w:rFonts w:ascii="Courier New" w:eastAsia="Courier New" w:hAnsi="Courier New" w:cs="Courier New"/>
          <w:sz w:val="18"/>
          <w:szCs w:val="18"/>
        </w:rPr>
        <w:t xml:space="preserve">  Bangladesh —</w:t>
      </w:r>
      <w:r>
        <w:rPr>
          <w:rFonts w:ascii="Courier New" w:eastAsia="Courier New" w:hAnsi="Courier New" w:cs="Courier New"/>
          <w:sz w:val="18"/>
          <w:szCs w:val="18"/>
        </w:rPr>
        <w:t xml:space="preserve"> BFRS, BSEC, Bangladesh Bank, BFIU AML/CFT</w:t>
      </w:r>
    </w:p>
    <w:p w:rsidR="00FC2DC0" w:rsidRDefault="00275226" w:rsidP="00E64B6A">
      <w:pPr>
        <w:ind w:left="360"/>
        <w:jc w:val="both"/>
      </w:pPr>
      <w:r>
        <w:rPr>
          <w:rFonts w:ascii="Courier New" w:eastAsia="Courier New" w:hAnsi="Courier New" w:cs="Courier New"/>
          <w:sz w:val="18"/>
          <w:szCs w:val="18"/>
        </w:rPr>
        <w:t xml:space="preserve">  Africa — IFRS baseline; SA (FSCA/SARS/FICA), Nigeria (FRCN/SEC/CBN),</w:t>
      </w:r>
    </w:p>
    <w:p w:rsidR="00FC2DC0" w:rsidRDefault="00275226" w:rsidP="00E64B6A">
      <w:pPr>
        <w:ind w:left="360"/>
        <w:jc w:val="both"/>
      </w:pPr>
      <w:r>
        <w:rPr>
          <w:rFonts w:ascii="Courier New" w:eastAsia="Courier New" w:hAnsi="Courier New" w:cs="Courier New"/>
          <w:sz w:val="18"/>
          <w:szCs w:val="18"/>
        </w:rPr>
        <w:t xml:space="preserve">           Kenya (ICPAK/CMA), national overlays per jurisdiction</w:t>
      </w:r>
    </w:p>
    <w:p w:rsidR="00FC2DC0" w:rsidRDefault="00FC2DC0" w:rsidP="00E64B6A">
      <w:pPr>
        <w:ind w:left="360"/>
        <w:jc w:val="both"/>
      </w:pPr>
    </w:p>
    <w:p w:rsidR="00FC2DC0" w:rsidRDefault="00275226" w:rsidP="00E64B6A">
      <w:pPr>
        <w:ind w:left="360"/>
        <w:jc w:val="both"/>
      </w:pPr>
      <w:r>
        <w:rPr>
          <w:rFonts w:ascii="Courier New" w:eastAsia="Courier New" w:hAnsi="Courier New" w:cs="Courier New"/>
          <w:b/>
          <w:bCs/>
          <w:color w:val="1A5C0A"/>
          <w:sz w:val="18"/>
          <w:szCs w:val="18"/>
        </w:rPr>
        <w:t>JURISDICTION STACK — ASIA-PACIFIC:</w:t>
      </w:r>
    </w:p>
    <w:p w:rsidR="00FC2DC0" w:rsidRDefault="00275226" w:rsidP="00E64B6A">
      <w:pPr>
        <w:ind w:left="360"/>
        <w:jc w:val="both"/>
      </w:pPr>
      <w:r>
        <w:rPr>
          <w:rFonts w:ascii="Courier New" w:eastAsia="Courier New" w:hAnsi="Courier New" w:cs="Courier New"/>
          <w:sz w:val="18"/>
          <w:szCs w:val="18"/>
        </w:rPr>
        <w:t xml:space="preserve">  Singapore — SFRS(I), MAS PSA, ACRA, STR</w:t>
      </w:r>
      <w:r>
        <w:rPr>
          <w:rFonts w:ascii="Courier New" w:eastAsia="Courier New" w:hAnsi="Courier New" w:cs="Courier New"/>
          <w:sz w:val="18"/>
          <w:szCs w:val="18"/>
        </w:rPr>
        <w:t>O AML/CFT</w:t>
      </w:r>
    </w:p>
    <w:p w:rsidR="00FC2DC0" w:rsidRDefault="00275226" w:rsidP="00E64B6A">
      <w:pPr>
        <w:ind w:left="360"/>
        <w:jc w:val="both"/>
      </w:pPr>
      <w:r>
        <w:rPr>
          <w:rFonts w:ascii="Courier New" w:eastAsia="Courier New" w:hAnsi="Courier New" w:cs="Courier New"/>
          <w:sz w:val="18"/>
          <w:szCs w:val="18"/>
        </w:rPr>
        <w:t xml:space="preserve">  Malaysia — MFRS, SC digital assets/IEO, BNM AML/CFT, Labuan FSA</w:t>
      </w:r>
    </w:p>
    <w:p w:rsidR="00FC2DC0" w:rsidRDefault="00275226" w:rsidP="00E64B6A">
      <w:pPr>
        <w:ind w:left="360"/>
        <w:jc w:val="both"/>
      </w:pPr>
      <w:r>
        <w:rPr>
          <w:rFonts w:ascii="Courier New" w:eastAsia="Courier New" w:hAnsi="Courier New" w:cs="Courier New"/>
          <w:sz w:val="18"/>
          <w:szCs w:val="18"/>
        </w:rPr>
        <w:t xml:space="preserve">  Indonesia — PSAK, OJK, BAPPEBTI, Bank Indonesia, PPATK AML/CFT</w:t>
      </w:r>
    </w:p>
    <w:p w:rsidR="00FC2DC0" w:rsidRDefault="00275226" w:rsidP="00E64B6A">
      <w:pPr>
        <w:ind w:left="360"/>
        <w:jc w:val="both"/>
      </w:pPr>
      <w:r>
        <w:rPr>
          <w:rFonts w:ascii="Courier New" w:eastAsia="Courier New" w:hAnsi="Courier New" w:cs="Courier New"/>
          <w:sz w:val="18"/>
          <w:szCs w:val="18"/>
        </w:rPr>
        <w:t xml:space="preserve">  Japan — J-GAAP, JFSA, FIEA, NTA crypto tax, JVCEA self-regulatory</w:t>
      </w:r>
    </w:p>
    <w:p w:rsidR="00FC2DC0" w:rsidRDefault="00275226" w:rsidP="00E64B6A">
      <w:pPr>
        <w:ind w:left="360"/>
        <w:jc w:val="both"/>
      </w:pPr>
      <w:r>
        <w:rPr>
          <w:rFonts w:ascii="Courier New" w:eastAsia="Courier New" w:hAnsi="Courier New" w:cs="Courier New"/>
          <w:sz w:val="18"/>
          <w:szCs w:val="18"/>
        </w:rPr>
        <w:t xml:space="preserve">  India — Ind AS, SEBI VDA, RBI guidelines, ICA</w:t>
      </w:r>
      <w:r>
        <w:rPr>
          <w:rFonts w:ascii="Courier New" w:eastAsia="Courier New" w:hAnsi="Courier New" w:cs="Courier New"/>
          <w:sz w:val="18"/>
          <w:szCs w:val="18"/>
        </w:rPr>
        <w:t>I, FIU-IND</w:t>
      </w:r>
    </w:p>
    <w:p w:rsidR="00FC2DC0" w:rsidRDefault="00275226" w:rsidP="00E64B6A">
      <w:pPr>
        <w:ind w:left="360"/>
        <w:jc w:val="both"/>
      </w:pPr>
      <w:r>
        <w:rPr>
          <w:rFonts w:ascii="Courier New" w:eastAsia="Courier New" w:hAnsi="Courier New" w:cs="Courier New"/>
          <w:sz w:val="18"/>
          <w:szCs w:val="18"/>
        </w:rPr>
        <w:t xml:space="preserve">  Australia — AASB (IFRS-aligned), ASIC, AUSTRAC, ATO crypto tax, APRA</w:t>
      </w:r>
    </w:p>
    <w:p w:rsidR="00FC2DC0" w:rsidRDefault="00275226" w:rsidP="00E64B6A">
      <w:pPr>
        <w:ind w:left="360"/>
        <w:jc w:val="both"/>
      </w:pPr>
      <w:r>
        <w:rPr>
          <w:rFonts w:ascii="Courier New" w:eastAsia="Courier New" w:hAnsi="Courier New" w:cs="Courier New"/>
          <w:sz w:val="18"/>
          <w:szCs w:val="18"/>
        </w:rPr>
        <w:t xml:space="preserve">  New Zealand — NZ IFRS, FMA, FIU NZ, IRD crypto tax, XRB</w:t>
      </w:r>
    </w:p>
    <w:p w:rsidR="00FC2DC0" w:rsidRDefault="00FC2DC0" w:rsidP="00E64B6A">
      <w:pPr>
        <w:ind w:left="360"/>
        <w:jc w:val="both"/>
      </w:pPr>
    </w:p>
    <w:p w:rsidR="00FC2DC0" w:rsidRDefault="00275226" w:rsidP="00E64B6A">
      <w:pPr>
        <w:ind w:left="360"/>
        <w:jc w:val="both"/>
      </w:pPr>
      <w:r>
        <w:rPr>
          <w:rFonts w:ascii="Courier New" w:eastAsia="Courier New" w:hAnsi="Courier New" w:cs="Courier New"/>
          <w:b/>
          <w:bCs/>
          <w:color w:val="1A5C0A"/>
          <w:sz w:val="18"/>
          <w:szCs w:val="18"/>
        </w:rPr>
        <w:lastRenderedPageBreak/>
        <w:t>YOU MUST:</w:t>
      </w:r>
    </w:p>
    <w:p w:rsidR="00FC2DC0" w:rsidRDefault="00275226" w:rsidP="00E64B6A">
      <w:pPr>
        <w:ind w:left="360"/>
        <w:jc w:val="both"/>
      </w:pPr>
      <w:r>
        <w:rPr>
          <w:rFonts w:ascii="Courier New" w:eastAsia="Courier New" w:hAnsi="Courier New" w:cs="Courier New"/>
          <w:sz w:val="18"/>
          <w:szCs w:val="18"/>
        </w:rPr>
        <w:t xml:space="preserve">  · State the applicable standard and jurisdiction in every output.</w:t>
      </w:r>
    </w:p>
    <w:p w:rsidR="00FC2DC0" w:rsidRDefault="00275226" w:rsidP="00E64B6A">
      <w:pPr>
        <w:ind w:left="360"/>
        <w:jc w:val="both"/>
      </w:pPr>
      <w:r>
        <w:rPr>
          <w:rFonts w:ascii="Courier New" w:eastAsia="Courier New" w:hAnsi="Courier New" w:cs="Courier New"/>
          <w:sz w:val="18"/>
          <w:szCs w:val="18"/>
        </w:rPr>
        <w:t xml:space="preserve">  · Apply FATF Travel Rule checks on </w:t>
      </w:r>
      <w:r>
        <w:rPr>
          <w:rFonts w:ascii="Courier New" w:eastAsia="Courier New" w:hAnsi="Courier New" w:cs="Courier New"/>
          <w:sz w:val="18"/>
          <w:szCs w:val="18"/>
        </w:rPr>
        <w:t>all cross-border crypto flows.</w:t>
      </w:r>
    </w:p>
    <w:p w:rsidR="00FC2DC0" w:rsidRDefault="00275226" w:rsidP="00E64B6A">
      <w:pPr>
        <w:ind w:left="360"/>
        <w:jc w:val="both"/>
      </w:pPr>
      <w:r>
        <w:rPr>
          <w:rFonts w:ascii="Courier New" w:eastAsia="Courier New" w:hAnsi="Courier New" w:cs="Courier New"/>
          <w:sz w:val="18"/>
          <w:szCs w:val="18"/>
        </w:rPr>
        <w:t xml:space="preserve">  · Perform IFRS-to-US GAAP bridge reconciliation on dual-reporters.</w:t>
      </w:r>
    </w:p>
    <w:p w:rsidR="00FC2DC0" w:rsidRDefault="00275226" w:rsidP="00E64B6A">
      <w:pPr>
        <w:ind w:left="360"/>
        <w:jc w:val="both"/>
      </w:pPr>
      <w:r>
        <w:rPr>
          <w:rFonts w:ascii="Courier New" w:eastAsia="Courier New" w:hAnsi="Courier New" w:cs="Courier New"/>
          <w:sz w:val="18"/>
          <w:szCs w:val="18"/>
        </w:rPr>
        <w:t xml:space="preserve">  · Cite workpaper reference, source system, and confidence score.</w:t>
      </w:r>
    </w:p>
    <w:p w:rsidR="00FC2DC0" w:rsidRDefault="00275226" w:rsidP="00E64B6A">
      <w:pPr>
        <w:ind w:left="360"/>
        <w:jc w:val="both"/>
      </w:pPr>
      <w:r>
        <w:rPr>
          <w:rFonts w:ascii="Courier New" w:eastAsia="Courier New" w:hAnsi="Courier New" w:cs="Courier New"/>
          <w:sz w:val="18"/>
          <w:szCs w:val="18"/>
        </w:rPr>
        <w:t xml:space="preserve">  · Route output with jurisdiction tag before every answer.</w:t>
      </w:r>
    </w:p>
    <w:p w:rsidR="00FC2DC0" w:rsidRDefault="00275226" w:rsidP="00E64B6A">
      <w:pPr>
        <w:ind w:left="360"/>
        <w:jc w:val="both"/>
      </w:pPr>
      <w:r>
        <w:rPr>
          <w:rFonts w:ascii="Courier New" w:eastAsia="Courier New" w:hAnsi="Courier New" w:cs="Courier New"/>
          <w:sz w:val="18"/>
          <w:szCs w:val="18"/>
        </w:rPr>
        <w:t xml:space="preserve">  · Flag when the same asset </w:t>
      </w:r>
      <w:r>
        <w:rPr>
          <w:rFonts w:ascii="Courier New" w:eastAsia="Courier New" w:hAnsi="Courier New" w:cs="Courier New"/>
          <w:sz w:val="18"/>
          <w:szCs w:val="18"/>
        </w:rPr>
        <w:t>classifies differently across jurisdictions.</w:t>
      </w:r>
    </w:p>
    <w:p w:rsidR="00FC2DC0" w:rsidRDefault="00FC2DC0" w:rsidP="00E64B6A">
      <w:pPr>
        <w:ind w:left="360"/>
        <w:jc w:val="both"/>
      </w:pPr>
    </w:p>
    <w:p w:rsidR="00FC2DC0" w:rsidRDefault="00275226" w:rsidP="00E64B6A">
      <w:pPr>
        <w:ind w:left="360"/>
        <w:jc w:val="both"/>
      </w:pPr>
      <w:r>
        <w:rPr>
          <w:rFonts w:ascii="Courier New" w:eastAsia="Courier New" w:hAnsi="Courier New" w:cs="Courier New"/>
          <w:b/>
          <w:bCs/>
          <w:color w:val="1A5C0A"/>
          <w:sz w:val="18"/>
          <w:szCs w:val="18"/>
        </w:rPr>
        <w:t>YOU MUST NOT:</w:t>
      </w:r>
    </w:p>
    <w:p w:rsidR="00FC2DC0" w:rsidRDefault="00275226" w:rsidP="00E64B6A">
      <w:pPr>
        <w:ind w:left="360"/>
        <w:jc w:val="both"/>
      </w:pPr>
      <w:r>
        <w:rPr>
          <w:rFonts w:ascii="Courier New" w:eastAsia="Courier New" w:hAnsi="Courier New" w:cs="Courier New"/>
          <w:sz w:val="18"/>
          <w:szCs w:val="18"/>
        </w:rPr>
        <w:t xml:space="preserve">  · Execute transactions or move assets without human approval (R1).</w:t>
      </w:r>
    </w:p>
    <w:p w:rsidR="00FC2DC0" w:rsidRDefault="00275226" w:rsidP="00E64B6A">
      <w:pPr>
        <w:ind w:left="360"/>
        <w:jc w:val="both"/>
      </w:pPr>
      <w:r>
        <w:rPr>
          <w:rFonts w:ascii="Courier New" w:eastAsia="Courier New" w:hAnsi="Courier New" w:cs="Courier New"/>
          <w:sz w:val="18"/>
          <w:szCs w:val="18"/>
        </w:rPr>
        <w:t xml:space="preserve">  · Issue audit opinions — licensed human act globally (ISA 700 / PCAOB AS 3101).</w:t>
      </w:r>
    </w:p>
    <w:p w:rsidR="00FC2DC0" w:rsidRDefault="00275226" w:rsidP="00E64B6A">
      <w:pPr>
        <w:ind w:left="360"/>
        <w:jc w:val="both"/>
      </w:pPr>
      <w:r>
        <w:rPr>
          <w:rFonts w:ascii="Courier New" w:eastAsia="Courier New" w:hAnsi="Courier New" w:cs="Courier New"/>
          <w:sz w:val="18"/>
          <w:szCs w:val="18"/>
        </w:rPr>
        <w:t xml:space="preserve">  · Provide legal or tax advice — escalate to qualified regional counsel.</w:t>
      </w:r>
    </w:p>
    <w:p w:rsidR="00FC2DC0" w:rsidRDefault="00275226" w:rsidP="00E64B6A">
      <w:pPr>
        <w:ind w:left="360"/>
        <w:jc w:val="both"/>
      </w:pPr>
      <w:r>
        <w:rPr>
          <w:rFonts w:ascii="Courier New" w:eastAsia="Courier New" w:hAnsi="Courier New" w:cs="Courier New"/>
          <w:sz w:val="18"/>
          <w:szCs w:val="18"/>
        </w:rPr>
        <w:t xml:space="preserve">  · Assume one jurisdiction's rule applies to another without verification.</w:t>
      </w:r>
    </w:p>
    <w:p w:rsidR="00FC2DC0" w:rsidRDefault="00275226" w:rsidP="00E64B6A">
      <w:pPr>
        <w:ind w:left="360"/>
        <w:jc w:val="both"/>
      </w:pPr>
      <w:r>
        <w:rPr>
          <w:rFonts w:ascii="Courier New" w:eastAsia="Courier New" w:hAnsi="Courier New" w:cs="Courier New"/>
          <w:sz w:val="18"/>
          <w:szCs w:val="18"/>
        </w:rPr>
        <w:t xml:space="preserve">  · Store PII outside the jurisdiction where it was collected.</w:t>
      </w:r>
    </w:p>
    <w:p w:rsidR="00FC2DC0" w:rsidRDefault="00275226" w:rsidP="00E64B6A">
      <w:pPr>
        <w:ind w:left="360"/>
        <w:jc w:val="both"/>
      </w:pPr>
      <w:r>
        <w:rPr>
          <w:rFonts w:ascii="Courier New" w:eastAsia="Courier New" w:hAnsi="Courier New" w:cs="Courier New"/>
          <w:sz w:val="18"/>
          <w:szCs w:val="18"/>
        </w:rPr>
        <w:t xml:space="preserve">  · Auto-resolve jurisdiction rule conflicts — surface to human arbitration.</w:t>
      </w:r>
    </w:p>
    <w:p w:rsidR="00FC2DC0" w:rsidRDefault="00FC2DC0" w:rsidP="00E64B6A">
      <w:pPr>
        <w:pBdr>
          <w:bottom w:val="single" w:sz="4" w:space="2" w:color="C5DFA8"/>
        </w:pBdr>
        <w:spacing w:before="100" w:after="100"/>
        <w:jc w:val="both"/>
      </w:pPr>
    </w:p>
    <w:p w:rsidR="00FC2DC0" w:rsidRDefault="00275226" w:rsidP="00E64B6A">
      <w:pPr>
        <w:pBdr>
          <w:left w:val="single" w:sz="24" w:space="12" w:color="1A5C0A"/>
          <w:bottom w:val="single" w:sz="3" w:space="4" w:color="C5DFA8"/>
        </w:pBdr>
        <w:spacing w:before="300" w:after="100"/>
        <w:ind w:left="180"/>
        <w:jc w:val="both"/>
      </w:pPr>
      <w:r>
        <w:rPr>
          <w:b/>
          <w:bCs/>
          <w:color w:val="1A5C0A"/>
          <w:sz w:val="22"/>
          <w:szCs w:val="22"/>
        </w:rPr>
        <w:t xml:space="preserve">Step 3  </w:t>
      </w:r>
      <w:r>
        <w:rPr>
          <w:b/>
          <w:bCs/>
          <w:color w:val="1A1A1A"/>
          <w:sz w:val="22"/>
          <w:szCs w:val="22"/>
        </w:rPr>
        <w:t>Connect to Company Records — Single Source of Truth</w:t>
      </w:r>
      <w:r>
        <w:rPr>
          <w:i/>
          <w:iCs/>
          <w:color w:val="AAAAAA"/>
          <w:sz w:val="17"/>
          <w:szCs w:val="17"/>
        </w:rPr>
        <w:t xml:space="preserve">   [Rules R5, R7]</w:t>
      </w:r>
    </w:p>
    <w:p w:rsidR="00FC2DC0" w:rsidRDefault="00275226" w:rsidP="00E64B6A">
      <w:pPr>
        <w:spacing w:before="80" w:after="120"/>
        <w:jc w:val="both"/>
      </w:pPr>
      <w:r>
        <w:t>A Digital FTE is only as reliable as the data it is connected to. The MWR draws on four primary syste</w:t>
      </w:r>
      <w:r>
        <w:t>ms of record that together constitute the firm's institutional memory — all synchronized, versioned, and auditable across all active jurisdictions.</w:t>
      </w:r>
    </w:p>
    <w:p w:rsidR="00FC2DC0" w:rsidRDefault="00FC2DC0" w:rsidP="00E64B6A">
      <w:pPr>
        <w:spacing w:before="60"/>
        <w:jc w:val="both"/>
      </w:pPr>
    </w:p>
    <w:p w:rsidR="00FC2DC0" w:rsidRDefault="00275226" w:rsidP="00E64B6A">
      <w:pPr>
        <w:pStyle w:val="ListParagraph"/>
        <w:numPr>
          <w:ilvl w:val="0"/>
          <w:numId w:val="2"/>
        </w:numPr>
        <w:spacing w:before="60" w:after="60"/>
        <w:jc w:val="both"/>
      </w:pPr>
      <w:r>
        <w:rPr>
          <w:b/>
          <w:bCs/>
          <w:color w:val="1A5C0A"/>
        </w:rPr>
        <w:t>SAP S/4HANA FICO / Oracle</w:t>
      </w:r>
      <w:r>
        <w:t xml:space="preserve"> — Live general ledger, AR/AP, multi-entity consolidation, intercompany transactio</w:t>
      </w:r>
      <w:r>
        <w:t>ns, and cost centres across all global entities. 96% coverage, real-time sync. MWR reads journal entries and flags anomalies as they are posted.</w:t>
      </w:r>
    </w:p>
    <w:p w:rsidR="00FC2DC0" w:rsidRDefault="00275226" w:rsidP="00E64B6A">
      <w:pPr>
        <w:pStyle w:val="ListParagraph"/>
        <w:numPr>
          <w:ilvl w:val="0"/>
          <w:numId w:val="2"/>
        </w:numPr>
        <w:spacing w:before="60" w:after="60"/>
        <w:jc w:val="both"/>
      </w:pPr>
      <w:r>
        <w:rPr>
          <w:b/>
          <w:bCs/>
          <w:color w:val="1A5C0A"/>
        </w:rPr>
        <w:t>CaseWare Cloud / Clara / Canvas</w:t>
      </w:r>
      <w:r>
        <w:t xml:space="preserve"> — Global audit workpapers, risk matrices, trial balances, confirmations, and le</w:t>
      </w:r>
      <w:r>
        <w:t>ad schedules indexed across all engagement files covering all 20+ jurisdictions. 89% indexed, nightly delta refresh.</w:t>
      </w:r>
    </w:p>
    <w:p w:rsidR="00FC2DC0" w:rsidRDefault="00275226" w:rsidP="00E64B6A">
      <w:pPr>
        <w:pStyle w:val="ListParagraph"/>
        <w:numPr>
          <w:ilvl w:val="0"/>
          <w:numId w:val="2"/>
        </w:numPr>
        <w:spacing w:before="60" w:after="60"/>
        <w:jc w:val="both"/>
      </w:pPr>
      <w:r>
        <w:rPr>
          <w:b/>
          <w:bCs/>
          <w:color w:val="1A5C0A"/>
        </w:rPr>
        <w:t>Multi-Chain On-Chain Ledger</w:t>
      </w:r>
      <w:r>
        <w:t xml:space="preserve"> — Ethereum, Polygon, Solana, BNB Chain, Avalanche and emerging L1/L2 chains. Treasury wallets, DeFi positions, </w:t>
      </w:r>
      <w:r>
        <w:t>NFT custody records — reconciled at the block level against IFRS carrying values. 82% reconciled.</w:t>
      </w:r>
    </w:p>
    <w:p w:rsidR="00FC2DC0" w:rsidRDefault="00275226" w:rsidP="00E64B6A">
      <w:pPr>
        <w:pStyle w:val="ListParagraph"/>
        <w:numPr>
          <w:ilvl w:val="0"/>
          <w:numId w:val="2"/>
        </w:numPr>
        <w:spacing w:before="60" w:after="60"/>
        <w:jc w:val="both"/>
      </w:pPr>
      <w:r>
        <w:rPr>
          <w:b/>
          <w:bCs/>
          <w:color w:val="1A5C0A"/>
        </w:rPr>
        <w:t>Global Regulatory Database</w:t>
      </w:r>
      <w:r>
        <w:t xml:space="preserve"> — Live feeds for MiCA (EU), FCA (UK), SEC/PCAOB (US), MAS (Singapore), JFSA (Japan), SEBI/RBI (India), VARA/ADGM (UAE), SECP/SBP (P</w:t>
      </w:r>
      <w:r>
        <w:t>akistan), SLFRS/CBSL (Sri Lanka), BFRS/Bangladesh Bank (Bangladesh), ASIC/AUSTRAC (Australia), FMA (New Zealand), FSCA (South Africa), OJK/BAPPEBTI (Indonesia), SC/BNM (Malaysia), FRCN/CBN (Nigeria), CMA/ICPAK (Kenya). FATF Travel Rule engine embedded. Cha</w:t>
      </w:r>
      <w:r>
        <w:t>inalysis KYT feed active. 100% current, sub-hourly webhook updates.</w:t>
      </w:r>
    </w:p>
    <w:p w:rsidR="00FC2DC0" w:rsidRDefault="00FC2DC0" w:rsidP="00E64B6A">
      <w:pPr>
        <w:spacing w:before="80"/>
        <w:jc w:val="both"/>
      </w:pPr>
    </w:p>
    <w:p w:rsidR="00FC2DC0" w:rsidRDefault="00275226" w:rsidP="00E64B6A">
      <w:pPr>
        <w:spacing w:before="80" w:after="120"/>
        <w:jc w:val="both"/>
      </w:pPr>
      <w:r>
        <w:t>These four systems give the MWR complete institutional memory — the single source of truth across finance, audit, blockchain, and regulation — satisfying Rule R5 and powering the firm's n</w:t>
      </w:r>
      <w:r>
        <w:t>ervous system under Rule R7. Data remains within its jurisdiction of collection per regional data residency laws (GDPR, PDPA, PDPL, PDPC, Bangladesh Bank regulations, IT Act India, Privacy Act Australia) — only anonymised risk scores flow to the global pol</w:t>
      </w:r>
      <w:r>
        <w:t>icy tree (Federated Architecture).</w:t>
      </w:r>
    </w:p>
    <w:p w:rsidR="00FC2DC0" w:rsidRDefault="00FC2DC0" w:rsidP="00E64B6A">
      <w:pPr>
        <w:pBdr>
          <w:bottom w:val="single" w:sz="4" w:space="2" w:color="C5DFA8"/>
        </w:pBdr>
        <w:spacing w:before="100" w:after="100"/>
        <w:jc w:val="both"/>
      </w:pPr>
    </w:p>
    <w:p w:rsidR="00FC2DC0" w:rsidRDefault="00275226" w:rsidP="00E64B6A">
      <w:pPr>
        <w:pBdr>
          <w:left w:val="single" w:sz="24" w:space="12" w:color="1A5C0A"/>
          <w:bottom w:val="single" w:sz="3" w:space="4" w:color="C5DFA8"/>
        </w:pBdr>
        <w:spacing w:before="300" w:after="100"/>
        <w:ind w:left="180"/>
        <w:jc w:val="both"/>
      </w:pPr>
      <w:r>
        <w:rPr>
          <w:b/>
          <w:bCs/>
          <w:color w:val="1A5C0A"/>
          <w:sz w:val="22"/>
          <w:szCs w:val="22"/>
        </w:rPr>
        <w:t xml:space="preserve">Step 4  </w:t>
      </w:r>
      <w:r>
        <w:rPr>
          <w:b/>
          <w:bCs/>
          <w:color w:val="1A1A1A"/>
          <w:sz w:val="22"/>
          <w:szCs w:val="22"/>
        </w:rPr>
        <w:t>Give It Skills — Global Capability Stack</w:t>
      </w:r>
      <w:r>
        <w:rPr>
          <w:i/>
          <w:iCs/>
          <w:color w:val="AAAAAA"/>
          <w:sz w:val="17"/>
          <w:szCs w:val="17"/>
        </w:rPr>
        <w:t xml:space="preserve">   [Rules R3, R4]</w:t>
      </w:r>
    </w:p>
    <w:p w:rsidR="00FC2DC0" w:rsidRDefault="00275226" w:rsidP="00E64B6A">
      <w:pPr>
        <w:spacing w:before="80" w:after="120"/>
        <w:jc w:val="both"/>
      </w:pPr>
      <w:r>
        <w:t>Skills are the callable capabilities that define what the MWR can do when activated. Each skill corresponds to a discrete professional task, backed by the</w:t>
      </w:r>
      <w:r>
        <w:t xml:space="preserve"> appropriate engine, and constrained to its domain.</w:t>
      </w:r>
    </w:p>
    <w:p w:rsidR="00FC2DC0" w:rsidRDefault="00FC2DC0" w:rsidP="00E64B6A">
      <w:pPr>
        <w:spacing w:before="60"/>
        <w:jc w:val="both"/>
      </w:pPr>
    </w:p>
    <w:p w:rsidR="00FC2DC0" w:rsidRDefault="00275226" w:rsidP="00E64B6A">
      <w:pPr>
        <w:pStyle w:val="ListParagraph"/>
        <w:numPr>
          <w:ilvl w:val="0"/>
          <w:numId w:val="2"/>
        </w:numPr>
        <w:spacing w:before="60" w:after="60"/>
        <w:jc w:val="both"/>
      </w:pPr>
      <w:r>
        <w:rPr>
          <w:b/>
          <w:bCs/>
          <w:color w:val="1A5C0A"/>
        </w:rPr>
        <w:lastRenderedPageBreak/>
        <w:t>Multi-GAAP Reporting Bridge</w:t>
      </w:r>
      <w:r>
        <w:t xml:space="preserve"> — Produces IFRS-to-US GAAP reconciliation tables, dual-column disclosures, and jurisdiction-specific lead schedules for dual-reporting entities across all Americas, Europe, Mi</w:t>
      </w:r>
      <w:r>
        <w:t>ddle East, Africa, and Asia-Pacific regions.</w:t>
      </w:r>
    </w:p>
    <w:p w:rsidR="00FC2DC0" w:rsidRDefault="00275226" w:rsidP="00E64B6A">
      <w:pPr>
        <w:pStyle w:val="ListParagraph"/>
        <w:numPr>
          <w:ilvl w:val="0"/>
          <w:numId w:val="2"/>
        </w:numPr>
        <w:spacing w:before="60" w:after="60"/>
        <w:jc w:val="both"/>
      </w:pPr>
      <w:r>
        <w:rPr>
          <w:b/>
          <w:bCs/>
          <w:color w:val="1A5C0A"/>
        </w:rPr>
        <w:t>FATF Travel Rule Engine</w:t>
      </w:r>
      <w:r>
        <w:t xml:space="preserve"> — Screens every cross-border crypto transaction against FATF Recommendation 16, flags unhosted wallet flows, generates VASP-to-VASP compliance records. For DeFi AMMs and permissionless smart contracts, routes to Dynamic DeFi Risk Matrix using Chainalysis </w:t>
      </w:r>
      <w:r>
        <w:t>KYT pool-risk scoring.</w:t>
      </w:r>
    </w:p>
    <w:p w:rsidR="00FC2DC0" w:rsidRDefault="00275226" w:rsidP="00E64B6A">
      <w:pPr>
        <w:pStyle w:val="ListParagraph"/>
        <w:numPr>
          <w:ilvl w:val="0"/>
          <w:numId w:val="2"/>
        </w:numPr>
        <w:spacing w:before="60" w:after="60"/>
        <w:jc w:val="both"/>
      </w:pPr>
      <w:r>
        <w:rPr>
          <w:b/>
          <w:bCs/>
          <w:color w:val="1A5C0A"/>
        </w:rPr>
        <w:t>Smart Contract Audit &amp; Security</w:t>
      </w:r>
      <w:r>
        <w:t xml:space="preserve"> — Audits smart contract code for vulnerabilities, generates risk-based samples, maps ISA and PCAOB assertions, drafts management letter points, and flags going concern indicators — calibrated to the au</w:t>
      </w:r>
      <w:r>
        <w:t>diting standard of the specific engagement jurisdiction.</w:t>
      </w:r>
    </w:p>
    <w:p w:rsidR="00FC2DC0" w:rsidRDefault="00275226" w:rsidP="00E64B6A">
      <w:pPr>
        <w:pStyle w:val="ListParagraph"/>
        <w:numPr>
          <w:ilvl w:val="0"/>
          <w:numId w:val="2"/>
        </w:numPr>
        <w:spacing w:before="60" w:after="60"/>
        <w:jc w:val="both"/>
      </w:pPr>
      <w:r>
        <w:rPr>
          <w:b/>
          <w:bCs/>
          <w:color w:val="1A5C0A"/>
        </w:rPr>
        <w:t>Digital Asset Classification Engine</w:t>
      </w:r>
      <w:r>
        <w:t xml:space="preserve"> — Classifies crypto, NFTs, stablecoins, and DeFi positions simultaneously under MiCA (EU), SEC (US), MAS (Singapore), BAPPEBTI (Indonesia), SEBI (India), VARA (UAE</w:t>
      </w:r>
      <w:r>
        <w:t>), and IFRS globally — producing a parallel classification table for multi-jurisdiction filers.</w:t>
      </w:r>
    </w:p>
    <w:p w:rsidR="00FC2DC0" w:rsidRDefault="00275226" w:rsidP="00E64B6A">
      <w:pPr>
        <w:pStyle w:val="ListParagraph"/>
        <w:numPr>
          <w:ilvl w:val="0"/>
          <w:numId w:val="2"/>
        </w:numPr>
        <w:spacing w:before="60" w:after="60"/>
        <w:jc w:val="both"/>
      </w:pPr>
      <w:r>
        <w:rPr>
          <w:b/>
          <w:bCs/>
          <w:color w:val="1A5C0A"/>
        </w:rPr>
        <w:t>FX &amp; Consolidation Intelligence</w:t>
      </w:r>
      <w:r>
        <w:t xml:space="preserve"> — Applies IAS 21 functional currency rules, auto-converts multi-currency trial balances across all 20+ jurisdiction currencies, and flags intercompany mismatches and translation adjustments for human review.</w:t>
      </w:r>
    </w:p>
    <w:p w:rsidR="00FC2DC0" w:rsidRDefault="00275226" w:rsidP="00E64B6A">
      <w:pPr>
        <w:pStyle w:val="ListParagraph"/>
        <w:numPr>
          <w:ilvl w:val="0"/>
          <w:numId w:val="2"/>
        </w:numPr>
        <w:spacing w:before="60" w:after="60"/>
        <w:jc w:val="both"/>
      </w:pPr>
      <w:r>
        <w:rPr>
          <w:b/>
          <w:bCs/>
          <w:color w:val="1A5C0A"/>
        </w:rPr>
        <w:t>Global Regulatory Query Resolution</w:t>
      </w:r>
      <w:r>
        <w:t xml:space="preserve"> — Answers co</w:t>
      </w:r>
      <w:r>
        <w:t>mpliance questions citing the applicable standard, jurisdiction, regulatory body, page reference, and confidence score. References ICAP (Pakistan), CBSL (Sri Lanka), BSEC (Bangladesh), FSCA (South Africa), OJK (Indonesia), BNM (Malaysia), FMA (New Zealand)</w:t>
      </w:r>
      <w:r>
        <w:t>, AUSTRAC (Australia), and all other active jurisdictions.</w:t>
      </w:r>
    </w:p>
    <w:p w:rsidR="00FC2DC0" w:rsidRDefault="00275226" w:rsidP="00E64B6A">
      <w:pPr>
        <w:pStyle w:val="ListParagraph"/>
        <w:numPr>
          <w:ilvl w:val="0"/>
          <w:numId w:val="2"/>
        </w:numPr>
        <w:spacing w:before="60" w:after="60"/>
        <w:jc w:val="both"/>
      </w:pPr>
      <w:r>
        <w:rPr>
          <w:b/>
          <w:bCs/>
          <w:color w:val="1A5C0A"/>
        </w:rPr>
        <w:t>AI Workforce Orchestration</w:t>
      </w:r>
      <w:r>
        <w:t xml:space="preserve"> — Routes subtasks to specialist sub-agents (e.g. dedicated MiCA+AMLD6 EU agent, Pakistan SECP+SBP agent, Indonesia OJK+BAPPEBTI agent); collates outputs; presents consoli</w:t>
      </w:r>
      <w:r>
        <w:t>dated view to the human supervisor (Rule R3).</w:t>
      </w:r>
    </w:p>
    <w:p w:rsidR="00FC2DC0" w:rsidRDefault="00275226" w:rsidP="00E64B6A">
      <w:pPr>
        <w:pStyle w:val="ListParagraph"/>
        <w:numPr>
          <w:ilvl w:val="0"/>
          <w:numId w:val="2"/>
        </w:numPr>
        <w:spacing w:before="60" w:after="60"/>
        <w:jc w:val="both"/>
      </w:pPr>
      <w:r>
        <w:rPr>
          <w:b/>
          <w:bCs/>
          <w:color w:val="1A5C0A"/>
        </w:rPr>
        <w:t>Agentic Web3 Operations</w:t>
      </w:r>
      <w:r>
        <w:t xml:space="preserve"> — Continuously monitors DeFi positions, executes automated cross-chain reconciliation, applies Travel Rule logic per jurisdiction, and flags L1/L2 bridge risks — with full explanation tr</w:t>
      </w:r>
      <w:r>
        <w:t>ace per output.</w:t>
      </w:r>
    </w:p>
    <w:p w:rsidR="00FC2DC0" w:rsidRDefault="00275226" w:rsidP="00E64B6A">
      <w:pPr>
        <w:pStyle w:val="ListParagraph"/>
        <w:numPr>
          <w:ilvl w:val="0"/>
          <w:numId w:val="2"/>
        </w:numPr>
        <w:spacing w:before="60" w:after="60"/>
        <w:jc w:val="both"/>
      </w:pPr>
      <w:r>
        <w:rPr>
          <w:b/>
          <w:bCs/>
          <w:color w:val="1A5C0A"/>
        </w:rPr>
        <w:t>Board &amp; Investor Narrative Engine</w:t>
      </w:r>
      <w:r>
        <w:t xml:space="preserve"> — Reads Power BI and Tableau dashboards and writes jurisdiction-tagged CFO packs, board reports, and ESG disclosures formatted to global house style across all active regions.</w:t>
      </w:r>
    </w:p>
    <w:p w:rsidR="00FC2DC0" w:rsidRDefault="00FC2DC0" w:rsidP="00E64B6A">
      <w:pPr>
        <w:pBdr>
          <w:bottom w:val="single" w:sz="4" w:space="2" w:color="C5DFA8"/>
        </w:pBdr>
        <w:spacing w:before="100" w:after="100"/>
        <w:jc w:val="both"/>
      </w:pPr>
    </w:p>
    <w:p w:rsidR="00FC2DC0" w:rsidRDefault="00275226" w:rsidP="00E64B6A">
      <w:pPr>
        <w:pBdr>
          <w:left w:val="single" w:sz="24" w:space="12" w:color="1A5C0A"/>
          <w:bottom w:val="single" w:sz="3" w:space="4" w:color="C5DFA8"/>
        </w:pBdr>
        <w:spacing w:before="300" w:after="100"/>
        <w:ind w:left="180"/>
        <w:jc w:val="both"/>
      </w:pPr>
      <w:r>
        <w:rPr>
          <w:b/>
          <w:bCs/>
          <w:color w:val="1A5C0A"/>
          <w:sz w:val="22"/>
          <w:szCs w:val="22"/>
        </w:rPr>
        <w:t xml:space="preserve">Step 5  </w:t>
      </w:r>
      <w:r>
        <w:rPr>
          <w:b/>
          <w:bCs/>
          <w:color w:val="1A1A1A"/>
          <w:sz w:val="22"/>
          <w:szCs w:val="22"/>
        </w:rPr>
        <w:t xml:space="preserve">Set the Guardrails — </w:t>
      </w:r>
      <w:r>
        <w:rPr>
          <w:b/>
          <w:bCs/>
          <w:color w:val="1A1A1A"/>
          <w:sz w:val="22"/>
          <w:szCs w:val="22"/>
        </w:rPr>
        <w:t>Global Non-Negotiables</w:t>
      </w:r>
      <w:r>
        <w:rPr>
          <w:i/>
          <w:iCs/>
          <w:color w:val="AAAAAA"/>
          <w:sz w:val="17"/>
          <w:szCs w:val="17"/>
        </w:rPr>
        <w:t xml:space="preserve">   [Rules R1, R6]</w:t>
      </w:r>
    </w:p>
    <w:p w:rsidR="00FC2DC0" w:rsidRDefault="00275226" w:rsidP="00E64B6A">
      <w:pPr>
        <w:spacing w:before="80" w:after="120"/>
        <w:jc w:val="both"/>
      </w:pPr>
      <w:r>
        <w:t>Guardrails are the rules the MWR cannot break regardless of any instruction, context, or precedent. At global scale across all 20+ jurisdictions, the guardrail architecture addresses professional conduct, jurisdictio</w:t>
      </w:r>
      <w:r>
        <w:t>nal data law, cross-border transaction law, and the irreversible nature of certain financial actions in multiple legal systems simultaneously.</w:t>
      </w:r>
    </w:p>
    <w:p w:rsidR="00FC2DC0" w:rsidRDefault="00FC2DC0" w:rsidP="00E64B6A">
      <w:pPr>
        <w:spacing w:before="60"/>
        <w:jc w:val="both"/>
      </w:pPr>
    </w:p>
    <w:p w:rsidR="00FC2DC0" w:rsidRDefault="00275226" w:rsidP="00E64B6A">
      <w:pPr>
        <w:pStyle w:val="ListParagraph"/>
        <w:numPr>
          <w:ilvl w:val="0"/>
          <w:numId w:val="2"/>
        </w:numPr>
        <w:spacing w:before="60" w:after="60"/>
        <w:jc w:val="both"/>
      </w:pPr>
      <w:r>
        <w:rPr>
          <w:b/>
          <w:bCs/>
          <w:color w:val="1A5C0A"/>
        </w:rPr>
        <w:t>No transaction execution</w:t>
      </w:r>
      <w:r>
        <w:t xml:space="preserve"> without jurisdictional human approval — Rule R1, all active jurisdictions, no exception</w:t>
      </w:r>
    </w:p>
    <w:p w:rsidR="00FC2DC0" w:rsidRDefault="00275226" w:rsidP="00E64B6A">
      <w:pPr>
        <w:pStyle w:val="ListParagraph"/>
        <w:numPr>
          <w:ilvl w:val="0"/>
          <w:numId w:val="2"/>
        </w:numPr>
        <w:spacing w:before="60" w:after="60"/>
        <w:jc w:val="both"/>
      </w:pPr>
      <w:r>
        <w:rPr>
          <w:b/>
          <w:bCs/>
          <w:color w:val="1A5C0A"/>
        </w:rPr>
        <w:t>Audit opinion issuance permanently blocked</w:t>
      </w:r>
      <w:r>
        <w:t xml:space="preserve"> in all jurisdictions — ISA 700, PCAOB AS 3101, ICAP, ICAI, CPAB, and all local equivalents — licensed human act only</w:t>
      </w:r>
    </w:p>
    <w:p w:rsidR="00FC2DC0" w:rsidRDefault="00275226" w:rsidP="00E64B6A">
      <w:pPr>
        <w:pStyle w:val="ListParagraph"/>
        <w:numPr>
          <w:ilvl w:val="0"/>
          <w:numId w:val="2"/>
        </w:numPr>
        <w:spacing w:before="60" w:after="60"/>
        <w:jc w:val="both"/>
      </w:pPr>
      <w:r>
        <w:rPr>
          <w:b/>
          <w:bCs/>
          <w:color w:val="1A5C0A"/>
        </w:rPr>
        <w:t>PII processed only within its country of collection</w:t>
      </w:r>
      <w:r>
        <w:t xml:space="preserve"> — GDPR (EU), PDPA (Singapore/Malaysia), PDP</w:t>
      </w:r>
      <w:r>
        <w:t>L (UAE/Saudi), IT Act (India), Privacy Act (Australia), Bangladesh Bank regulations, and all applicable local data laws</w:t>
      </w:r>
    </w:p>
    <w:p w:rsidR="00FC2DC0" w:rsidRDefault="00275226" w:rsidP="00E64B6A">
      <w:pPr>
        <w:pStyle w:val="ListParagraph"/>
        <w:numPr>
          <w:ilvl w:val="0"/>
          <w:numId w:val="2"/>
        </w:numPr>
        <w:spacing w:before="60" w:after="60"/>
        <w:jc w:val="both"/>
      </w:pPr>
      <w:r>
        <w:rPr>
          <w:b/>
          <w:bCs/>
          <w:color w:val="1A5C0A"/>
        </w:rPr>
        <w:t>Cross-border crypto flows blocked</w:t>
      </w:r>
      <w:r>
        <w:t xml:space="preserve"> without FATF Travel Rule clearance — FATF R.16, MiCA Art. 83; DeFi/AMM interactions routed to Dynamic </w:t>
      </w:r>
      <w:r>
        <w:t>DeFi Risk Matrix (Chainalysis KYT) instead of hard block</w:t>
      </w:r>
    </w:p>
    <w:p w:rsidR="00FC2DC0" w:rsidRDefault="00275226" w:rsidP="00E64B6A">
      <w:pPr>
        <w:pStyle w:val="ListParagraph"/>
        <w:numPr>
          <w:ilvl w:val="0"/>
          <w:numId w:val="2"/>
        </w:numPr>
        <w:spacing w:before="60" w:after="60"/>
        <w:jc w:val="both"/>
      </w:pPr>
      <w:r>
        <w:rPr>
          <w:b/>
          <w:bCs/>
          <w:color w:val="1A5C0A"/>
        </w:rPr>
        <w:lastRenderedPageBreak/>
        <w:t>No legal or tax advice</w:t>
      </w:r>
      <w:r>
        <w:t xml:space="preserve"> — auto-escalate to regional counsel across all jurisdictions: US (SEC-registered counsel), UK (FCA-registered), EU (MiCA-qualified), Singapore (MAS-licensed), Pakistan (SECP-re</w:t>
      </w:r>
      <w:r>
        <w:t>gistered), India (SEBI-registered), etc.</w:t>
      </w:r>
    </w:p>
    <w:p w:rsidR="00FC2DC0" w:rsidRDefault="00275226" w:rsidP="00E64B6A">
      <w:pPr>
        <w:pStyle w:val="ListParagraph"/>
        <w:numPr>
          <w:ilvl w:val="0"/>
          <w:numId w:val="2"/>
        </w:numPr>
        <w:spacing w:before="60" w:after="60"/>
        <w:jc w:val="both"/>
      </w:pPr>
      <w:r>
        <w:rPr>
          <w:b/>
          <w:bCs/>
          <w:color w:val="1A5C0A"/>
        </w:rPr>
        <w:t>Below 70% confidence triggers automatic escalation</w:t>
      </w:r>
      <w:r>
        <w:t xml:space="preserve"> to the human supervisor with jurisdiction of uncertainty, applicable standard, and confidence breakdown logged</w:t>
      </w:r>
    </w:p>
    <w:p w:rsidR="00FC2DC0" w:rsidRDefault="00275226" w:rsidP="00E64B6A">
      <w:pPr>
        <w:pStyle w:val="ListParagraph"/>
        <w:numPr>
          <w:ilvl w:val="0"/>
          <w:numId w:val="2"/>
        </w:numPr>
        <w:spacing w:before="60" w:after="60"/>
        <w:jc w:val="both"/>
      </w:pPr>
      <w:r>
        <w:rPr>
          <w:b/>
          <w:bCs/>
          <w:color w:val="1A5C0A"/>
        </w:rPr>
        <w:t>Every output tagged</w:t>
      </w:r>
      <w:r>
        <w:t>: jurisdiction · applicable standa</w:t>
      </w:r>
      <w:r>
        <w:t>rd · confidence score · source citation — Rule R7</w:t>
      </w:r>
    </w:p>
    <w:p w:rsidR="00FC2DC0" w:rsidRDefault="00275226" w:rsidP="00E64B6A">
      <w:pPr>
        <w:pStyle w:val="ListParagraph"/>
        <w:numPr>
          <w:ilvl w:val="0"/>
          <w:numId w:val="2"/>
        </w:numPr>
        <w:spacing w:before="60" w:after="60"/>
        <w:jc w:val="both"/>
      </w:pPr>
      <w:r>
        <w:rPr>
          <w:b/>
          <w:bCs/>
          <w:color w:val="1A5C0A"/>
        </w:rPr>
        <w:t>Jurisdiction rule conflicts</w:t>
      </w:r>
      <w:r>
        <w:t xml:space="preserve"> must never be auto-resolved — surfaced to human arbitration with full supporting documentation from both jurisdiction stacks</w:t>
      </w:r>
    </w:p>
    <w:p w:rsidR="00FC2DC0" w:rsidRDefault="00275226" w:rsidP="00E64B6A">
      <w:pPr>
        <w:pStyle w:val="ListParagraph"/>
        <w:numPr>
          <w:ilvl w:val="0"/>
          <w:numId w:val="2"/>
        </w:numPr>
        <w:spacing w:before="60" w:after="60"/>
        <w:jc w:val="both"/>
      </w:pPr>
      <w:r>
        <w:rPr>
          <w:b/>
          <w:bCs/>
          <w:color w:val="1A5C0A"/>
        </w:rPr>
        <w:t>Tiered Autonomy Levels enforced</w:t>
      </w:r>
      <w:r>
        <w:t>: Monitoring &amp; Reporti</w:t>
      </w:r>
      <w:r>
        <w:t>ng / Exception Flagging / Drafting &amp; Reconciliation / Human Approval Required — separate guardrails per tier</w:t>
      </w:r>
    </w:p>
    <w:p w:rsidR="00FC2DC0" w:rsidRDefault="00FC2DC0" w:rsidP="00E64B6A">
      <w:pPr>
        <w:pBdr>
          <w:bottom w:val="single" w:sz="4" w:space="2" w:color="C5DFA8"/>
        </w:pBdr>
        <w:spacing w:before="100" w:after="100"/>
        <w:jc w:val="both"/>
      </w:pPr>
    </w:p>
    <w:p w:rsidR="00FC2DC0" w:rsidRDefault="00275226" w:rsidP="00E64B6A">
      <w:pPr>
        <w:pBdr>
          <w:left w:val="single" w:sz="24" w:space="12" w:color="1A5C0A"/>
          <w:bottom w:val="single" w:sz="3" w:space="4" w:color="C5DFA8"/>
        </w:pBdr>
        <w:spacing w:before="300" w:after="100"/>
        <w:ind w:left="180"/>
        <w:jc w:val="both"/>
      </w:pPr>
      <w:r>
        <w:rPr>
          <w:b/>
          <w:bCs/>
          <w:color w:val="1A5C0A"/>
          <w:sz w:val="22"/>
          <w:szCs w:val="22"/>
        </w:rPr>
        <w:t xml:space="preserve">Step 6  </w:t>
      </w:r>
      <w:r>
        <w:rPr>
          <w:b/>
          <w:bCs/>
          <w:color w:val="1A1A1A"/>
          <w:sz w:val="22"/>
          <w:szCs w:val="22"/>
        </w:rPr>
        <w:t>Test, Then Deploy</w:t>
      </w:r>
      <w:r>
        <w:rPr>
          <w:i/>
          <w:iCs/>
          <w:color w:val="AAAAAA"/>
          <w:sz w:val="17"/>
          <w:szCs w:val="17"/>
        </w:rPr>
        <w:t xml:space="preserve">   [Rules R6, R7]</w:t>
      </w:r>
    </w:p>
    <w:p w:rsidR="00FC2DC0" w:rsidRDefault="00275226" w:rsidP="00E64B6A">
      <w:pPr>
        <w:spacing w:before="80" w:after="120"/>
        <w:jc w:val="both"/>
      </w:pPr>
      <w:r>
        <w:t>No Digital FTE should go live without structured testing against real professional standards. The MWR test suite covers all 14+ accounting standards, cross-jurisdiction edge cases across all 20+ active jurisdictions, FATF screening accuracy, IFRS-to-GAAP b</w:t>
      </w:r>
      <w:r>
        <w:t>ridge reconciliation precision, smart contract audit scenarios, digital asset classification consistency, and escalation behaviour at the 70–90% confidence threshold.</w:t>
      </w:r>
    </w:p>
    <w:p w:rsidR="00FC2DC0" w:rsidRDefault="00FC2DC0" w:rsidP="00E64B6A">
      <w:pPr>
        <w:spacing w:before="60"/>
        <w:jc w:val="both"/>
      </w:pPr>
    </w:p>
    <w:p w:rsidR="00FC2DC0" w:rsidRDefault="00275226" w:rsidP="00E64B6A">
      <w:pPr>
        <w:pStyle w:val="ListParagraph"/>
        <w:numPr>
          <w:ilvl w:val="0"/>
          <w:numId w:val="2"/>
        </w:numPr>
        <w:spacing w:before="60" w:after="60"/>
        <w:jc w:val="both"/>
      </w:pPr>
      <w:r>
        <w:rPr>
          <w:b/>
          <w:bCs/>
          <w:color w:val="1A5C0A"/>
        </w:rPr>
        <w:t>96% query accuracy</w:t>
      </w:r>
      <w:r>
        <w:t xml:space="preserve"> — across a 14+ standard global test set covering all active jurisdictions</w:t>
      </w:r>
    </w:p>
    <w:p w:rsidR="00FC2DC0" w:rsidRDefault="00275226" w:rsidP="00E64B6A">
      <w:pPr>
        <w:pStyle w:val="ListParagraph"/>
        <w:numPr>
          <w:ilvl w:val="0"/>
          <w:numId w:val="2"/>
        </w:numPr>
        <w:spacing w:before="60" w:after="60"/>
        <w:jc w:val="both"/>
      </w:pPr>
      <w:r>
        <w:rPr>
          <w:b/>
          <w:bCs/>
          <w:color w:val="1A5C0A"/>
        </w:rPr>
        <w:t>80% of queries auto-resolved</w:t>
      </w:r>
      <w:r>
        <w:t xml:space="preserve"> — without human intervention across all active jurisdictions; 20% routed to tiered triage layer first, then to regional human supervisor</w:t>
      </w:r>
    </w:p>
    <w:p w:rsidR="00FC2DC0" w:rsidRDefault="00275226" w:rsidP="00E64B6A">
      <w:pPr>
        <w:pStyle w:val="ListParagraph"/>
        <w:numPr>
          <w:ilvl w:val="0"/>
          <w:numId w:val="2"/>
        </w:numPr>
        <w:spacing w:before="60" w:after="60"/>
        <w:jc w:val="both"/>
      </w:pPr>
      <w:r>
        <w:rPr>
          <w:b/>
          <w:bCs/>
          <w:color w:val="1A5C0A"/>
        </w:rPr>
        <w:t>11-second avera</w:t>
      </w:r>
      <w:r>
        <w:rPr>
          <w:b/>
          <w:bCs/>
          <w:color w:val="1A5C0A"/>
        </w:rPr>
        <w:t>ge response time</w:t>
      </w:r>
      <w:r>
        <w:t xml:space="preserve"> — versus a 2 to 5 business day human SLA for equivalent multi-jurisdiction queries</w:t>
      </w:r>
    </w:p>
    <w:p w:rsidR="00FC2DC0" w:rsidRDefault="00275226" w:rsidP="00E64B6A">
      <w:pPr>
        <w:pStyle w:val="ListParagraph"/>
        <w:numPr>
          <w:ilvl w:val="0"/>
          <w:numId w:val="2"/>
        </w:numPr>
        <w:spacing w:before="60" w:after="60"/>
        <w:jc w:val="both"/>
      </w:pPr>
      <w:r>
        <w:rPr>
          <w:b/>
          <w:bCs/>
          <w:color w:val="1A5C0A"/>
        </w:rPr>
        <w:t>20% escalation rate</w:t>
      </w:r>
      <w:r>
        <w:t xml:space="preserve"> — all escalations tagged by jurisdiction, standard, confidence score, and triage tier</w:t>
      </w:r>
    </w:p>
    <w:p w:rsidR="00FC2DC0" w:rsidRDefault="00275226" w:rsidP="00E64B6A">
      <w:pPr>
        <w:pStyle w:val="ListParagraph"/>
        <w:numPr>
          <w:ilvl w:val="0"/>
          <w:numId w:val="2"/>
        </w:numPr>
        <w:spacing w:before="60" w:after="60"/>
        <w:jc w:val="both"/>
      </w:pPr>
      <w:r>
        <w:rPr>
          <w:b/>
          <w:bCs/>
          <w:color w:val="1A5C0A"/>
        </w:rPr>
        <w:t>Multi-region infrastructure</w:t>
      </w:r>
      <w:r>
        <w:t xml:space="preserve"> — Americas, Europe, Mi</w:t>
      </w:r>
      <w:r>
        <w:t>ddle East/Africa, and APAC nodes to satisfy all data residency requirements and ensure sub-second latency across all jurisdictions</w:t>
      </w:r>
    </w:p>
    <w:p w:rsidR="00FC2DC0" w:rsidRDefault="00275226" w:rsidP="00E64B6A">
      <w:pPr>
        <w:pStyle w:val="ListParagraph"/>
        <w:numPr>
          <w:ilvl w:val="0"/>
          <w:numId w:val="2"/>
        </w:numPr>
        <w:spacing w:before="60" w:after="60"/>
        <w:jc w:val="both"/>
      </w:pPr>
      <w:r>
        <w:rPr>
          <w:b/>
          <w:bCs/>
          <w:color w:val="1A5C0A"/>
        </w:rPr>
        <w:t>Regional human supervisors</w:t>
      </w:r>
      <w:r>
        <w:t xml:space="preserve"> per jurisdiction cluster — each holding final human approval authority for their region (Rule R1):</w:t>
      </w:r>
      <w:r>
        <w:t xml:space="preserve"> Americas CFO, EU/UK CFO, GCC CFO, South Asia CFO, APAC CFO, Africa CFO</w:t>
      </w:r>
    </w:p>
    <w:p w:rsidR="00FC2DC0" w:rsidRDefault="00275226" w:rsidP="00E64B6A">
      <w:pPr>
        <w:pStyle w:val="ListParagraph"/>
        <w:numPr>
          <w:ilvl w:val="0"/>
          <w:numId w:val="2"/>
        </w:numPr>
        <w:spacing w:before="60" w:after="60"/>
        <w:jc w:val="both"/>
      </w:pPr>
      <w:r>
        <w:rPr>
          <w:b/>
          <w:bCs/>
          <w:color w:val="1A5C0A"/>
        </w:rPr>
        <w:t>SOC 2 Type II and ISO 27001 certified</w:t>
      </w:r>
      <w:r>
        <w:t xml:space="preserve"> — meeting Big 4 and global enterprise procurement requirements across all active jurisdictions</w:t>
      </w:r>
    </w:p>
    <w:p w:rsidR="00FC2DC0" w:rsidRDefault="00275226" w:rsidP="00E64B6A">
      <w:pPr>
        <w:pStyle w:val="ListParagraph"/>
        <w:numPr>
          <w:ilvl w:val="0"/>
          <w:numId w:val="2"/>
        </w:numPr>
        <w:spacing w:before="60" w:after="60"/>
        <w:jc w:val="both"/>
      </w:pPr>
      <w:r>
        <w:rPr>
          <w:b/>
          <w:bCs/>
          <w:color w:val="1A5C0A"/>
        </w:rPr>
        <w:t>Continuous learning pipeline</w:t>
      </w:r>
      <w:r>
        <w:t xml:space="preserve"> — subscriptions to IFR</w:t>
      </w:r>
      <w:r>
        <w:t>S, FATF, MiCA, SEBI, MAS, SECP, OJK, and all active regulatory change logs; model/policy-tree updates governed under Rule R6 version control</w:t>
      </w:r>
    </w:p>
    <w:p w:rsidR="00FC2DC0" w:rsidRDefault="00275226" w:rsidP="00E64B6A">
      <w:pPr>
        <w:pStyle w:val="ListParagraph"/>
        <w:numPr>
          <w:ilvl w:val="0"/>
          <w:numId w:val="2"/>
        </w:numPr>
        <w:spacing w:before="60" w:after="60"/>
        <w:jc w:val="both"/>
      </w:pPr>
      <w:r>
        <w:rPr>
          <w:b/>
          <w:bCs/>
          <w:color w:val="1A5C0A"/>
        </w:rPr>
        <w:t>Explainability trace on every output</w:t>
      </w:r>
      <w:r>
        <w:t xml:space="preserve"> — reasoning chain, data sources, confidence breakdown, and jurisdiction tag vi</w:t>
      </w:r>
      <w:r>
        <w:t>sible to human reviewer per Rule R7</w:t>
      </w:r>
    </w:p>
    <w:p w:rsidR="00FC2DC0" w:rsidRDefault="00275226" w:rsidP="00E64B6A">
      <w:pPr>
        <w:pStyle w:val="ListParagraph"/>
        <w:numPr>
          <w:ilvl w:val="0"/>
          <w:numId w:val="2"/>
        </w:numPr>
        <w:spacing w:before="60" w:after="60"/>
        <w:jc w:val="both"/>
      </w:pPr>
      <w:r>
        <w:rPr>
          <w:b/>
          <w:bCs/>
          <w:color w:val="1A5C0A"/>
        </w:rPr>
        <w:t>Version v3.0.0-global</w:t>
      </w:r>
      <w:r>
        <w:t xml:space="preserve"> — all policy and guardrail changes governed through formal change management before deployment (Rule R6)</w:t>
      </w:r>
    </w:p>
    <w:p w:rsidR="00FC2DC0" w:rsidRDefault="00FC2DC0" w:rsidP="00E64B6A">
      <w:pPr>
        <w:pBdr>
          <w:bottom w:val="single" w:sz="4" w:space="2" w:color="C5DFA8"/>
        </w:pBdr>
        <w:spacing w:before="100" w:after="100"/>
        <w:jc w:val="both"/>
      </w:pPr>
    </w:p>
    <w:p w:rsidR="00FC2DC0" w:rsidRDefault="00FC2DC0" w:rsidP="00E64B6A">
      <w:pPr>
        <w:pBdr>
          <w:bottom w:val="single" w:sz="4" w:space="2" w:color="C5DFA8"/>
        </w:pBdr>
        <w:spacing w:before="100" w:after="100"/>
        <w:jc w:val="both"/>
        <w:rPr>
          <w:b/>
          <w:bCs/>
          <w:color w:val="1A5C0A"/>
          <w:sz w:val="17"/>
          <w:szCs w:val="17"/>
        </w:rPr>
      </w:pPr>
    </w:p>
    <w:p w:rsidR="00E64B6A" w:rsidRDefault="00E64B6A" w:rsidP="00E64B6A">
      <w:pPr>
        <w:pBdr>
          <w:bottom w:val="single" w:sz="4" w:space="2" w:color="C5DFA8"/>
        </w:pBdr>
        <w:spacing w:before="100" w:after="100"/>
        <w:jc w:val="both"/>
      </w:pPr>
    </w:p>
    <w:p w:rsidR="00E64B6A" w:rsidRDefault="00E64B6A" w:rsidP="00E64B6A">
      <w:pPr>
        <w:pBdr>
          <w:bottom w:val="single" w:sz="4" w:space="2" w:color="C5DFA8"/>
        </w:pBdr>
        <w:spacing w:before="100" w:after="100"/>
        <w:jc w:val="both"/>
      </w:pPr>
    </w:p>
    <w:p w:rsidR="00E64B6A" w:rsidRDefault="00E64B6A" w:rsidP="00E64B6A">
      <w:pPr>
        <w:pBdr>
          <w:bottom w:val="single" w:sz="4" w:space="2" w:color="C5DFA8"/>
        </w:pBdr>
        <w:spacing w:before="100" w:after="100"/>
        <w:jc w:val="both"/>
      </w:pPr>
    </w:p>
    <w:p w:rsidR="00FC2DC0" w:rsidRDefault="00275226" w:rsidP="00E64B6A">
      <w:pPr>
        <w:spacing w:before="320" w:after="60"/>
        <w:jc w:val="both"/>
      </w:pPr>
      <w:r>
        <w:rPr>
          <w:b/>
          <w:bCs/>
          <w:color w:val="1A5C0A"/>
          <w:sz w:val="17"/>
          <w:szCs w:val="17"/>
        </w:rPr>
        <w:lastRenderedPageBreak/>
        <w:t>RESULT</w:t>
      </w:r>
    </w:p>
    <w:p w:rsidR="00FC2DC0" w:rsidRDefault="00275226" w:rsidP="00E64B6A">
      <w:pPr>
        <w:pBdr>
          <w:top w:val="single" w:sz="8" w:space="6" w:color="1A5C0A"/>
          <w:bottom w:val="single" w:sz="8" w:space="6" w:color="1A5C0A"/>
        </w:pBdr>
        <w:spacing w:before="100" w:after="100"/>
        <w:ind w:left="320" w:right="320"/>
        <w:jc w:val="both"/>
      </w:pPr>
      <w:r>
        <w:rPr>
          <w:color w:val="1A1A1A"/>
        </w:rPr>
        <w:t>You just built a Planet-Scale Digital FTE — a Full-Time Employee made of software, operating simultaneously across the Americas, Europe, Middle East, Africa, and Asia-Pacific, covering 20+ jurisdictions, 14+ accounting standards, and four crypto regulatory</w:t>
      </w:r>
      <w:r>
        <w:rPr>
          <w:color w:val="1A1A1A"/>
        </w:rPr>
        <w:t xml:space="preserve"> regimes, with no jet lag and no timezone constraints. The MWR works 24/7 across New York, London, Brussels, Dubai, Karachi, Singapore, Jakarta, Tokyo, Mumbai, Sydney, and Nairobi. It handles 80% of global finance and compliance queries automatically, reco</w:t>
      </w:r>
      <w:r>
        <w:rPr>
          <w:color w:val="1A1A1A"/>
        </w:rPr>
        <w:t xml:space="preserve">nciles cross-border DeFi flows against IFRS and FATF in the same operation, and escalates the remaining 20% through a tiered triage layer to the right regional human expert — with a complete, timestamped, confidence-scored, jurisdiction-tagged audit trail </w:t>
      </w:r>
      <w:r>
        <w:rPr>
          <w:color w:val="1A1A1A"/>
        </w:rPr>
        <w:t>that satisfies PCAOB, MiCA, VARA, MAS, SECP, OJK, and AUSTRAC regulators simultaneously.</w:t>
      </w:r>
    </w:p>
    <w:p w:rsidR="00FC2DC0" w:rsidRDefault="00FC2DC0" w:rsidP="00E64B6A">
      <w:pPr>
        <w:spacing w:before="120"/>
        <w:jc w:val="both"/>
      </w:pPr>
    </w:p>
    <w:p w:rsidR="00FC2DC0" w:rsidRDefault="00275226" w:rsidP="00E64B6A">
      <w:pPr>
        <w:spacing w:before="320" w:after="60"/>
        <w:jc w:val="both"/>
      </w:pPr>
      <w:r>
        <w:rPr>
          <w:b/>
          <w:bCs/>
          <w:color w:val="1A5C0A"/>
          <w:sz w:val="17"/>
          <w:szCs w:val="17"/>
        </w:rPr>
        <w:t>CONCLUSION</w:t>
      </w:r>
    </w:p>
    <w:p w:rsidR="00FC2DC0" w:rsidRDefault="00275226" w:rsidP="00E64B6A">
      <w:pPr>
        <w:pBdr>
          <w:left w:val="single" w:sz="24" w:space="12" w:color="1A5C0A"/>
        </w:pBdr>
        <w:spacing w:before="100" w:after="100"/>
        <w:ind w:left="260" w:right="120"/>
        <w:jc w:val="both"/>
      </w:pPr>
      <w:r>
        <w:rPr>
          <w:i/>
          <w:iCs/>
          <w:color w:val="1A1A1A"/>
        </w:rPr>
        <w:t>At global scale, the MWR ceases to be a productivity tool and becomes infrastructure — the operating system of the modern global finance function. The prob</w:t>
      </w:r>
      <w:r>
        <w:rPr>
          <w:i/>
          <w:iCs/>
          <w:color w:val="1A1A1A"/>
        </w:rPr>
        <w:t>lem it solves is structurally unsolvable by any team of humans working in shifts: simultaneous, multi-standard, multi-jurisdiction, real-time financial intelligence across Automatic Agentic AI Finance, Smart Contract Audit &amp; Security, and Agentic Web3 — wi</w:t>
      </w:r>
      <w:r>
        <w:rPr>
          <w:i/>
          <w:iCs/>
          <w:color w:val="1A1A1A"/>
        </w:rPr>
        <w:t>th documented evidence, zero downtime, and professional-grade guardrails. Built under the 7 Golden Rules, the MWR scales without chaos: each new regional instance across the Americas, Europe, Middle East, Africa, and Asia-Pacific inherits the same policy t</w:t>
      </w:r>
      <w:r>
        <w:rPr>
          <w:i/>
          <w:iCs/>
          <w:color w:val="1A1A1A"/>
        </w:rPr>
        <w:t>ree, the same guardrails, and the same nervous system. The humans who govern it remain in charge. For all professionals operating across the 20+ jurisdictions specified in this assignment — whether in Karachi, Dubai, Singapore, Jakarta, Nairobi, London, or</w:t>
      </w:r>
      <w:r>
        <w:rPr>
          <w:i/>
          <w:iCs/>
          <w:color w:val="1A1A1A"/>
        </w:rPr>
        <w:t xml:space="preserve"> New York — the ability to design, govern, and deploy a Digital FTE like the MWR is not a future career option. It is the present definition of what global finance leadership looks like in the AI era.</w:t>
      </w:r>
    </w:p>
    <w:p w:rsidR="00FC2DC0" w:rsidRDefault="00FC2DC0" w:rsidP="00E64B6A">
      <w:pPr>
        <w:spacing w:before="120"/>
        <w:jc w:val="both"/>
      </w:pPr>
    </w:p>
    <w:sectPr w:rsidR="00FC2DC0">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5226" w:rsidRDefault="00275226">
      <w:r>
        <w:separator/>
      </w:r>
    </w:p>
  </w:endnote>
  <w:endnote w:type="continuationSeparator" w:id="0">
    <w:p w:rsidR="00275226" w:rsidRDefault="00275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DC0" w:rsidRPr="00E64B6A" w:rsidRDefault="00275226">
    <w:pPr>
      <w:pBdr>
        <w:top w:val="single" w:sz="3" w:space="4" w:color="C5DFA8"/>
      </w:pBdr>
      <w:tabs>
        <w:tab w:val="right" w:pos="9026"/>
      </w:tabs>
      <w:spacing w:before="80"/>
      <w:rPr>
        <w:b/>
        <w:color w:val="auto"/>
      </w:rPr>
    </w:pPr>
    <w:r w:rsidRPr="00E64B6A">
      <w:rPr>
        <w:b/>
        <w:color w:val="auto"/>
        <w:sz w:val="16"/>
        <w:szCs w:val="16"/>
      </w:rPr>
      <w:t>6 Steps · 7 Golden Rules · Global Deployment — All Jurisdictions</w:t>
    </w:r>
    <w:r w:rsidRPr="00E64B6A">
      <w:rPr>
        <w:b/>
        <w:color w:val="auto"/>
        <w:sz w:val="16"/>
        <w:szCs w:val="16"/>
      </w:rPr>
      <w:tab/>
    </w:r>
    <w:r w:rsidRPr="00E64B6A">
      <w:rPr>
        <w:b/>
        <w:color w:val="auto"/>
        <w:sz w:val="16"/>
        <w:szCs w:val="16"/>
      </w:rPr>
      <w:t xml:space="preserve">Page </w:t>
    </w:r>
    <w:r w:rsidRPr="00E64B6A">
      <w:rPr>
        <w:b/>
        <w:color w:val="auto"/>
      </w:rPr>
      <w:fldChar w:fldCharType="begin"/>
    </w:r>
    <w:r w:rsidRPr="00E64B6A">
      <w:rPr>
        <w:b/>
        <w:color w:val="auto"/>
      </w:rPr>
      <w:instrText>PAGE</w:instrText>
    </w:r>
    <w:r w:rsidRPr="00E64B6A">
      <w:rPr>
        <w:b/>
        <w:color w:val="auto"/>
      </w:rPr>
      <w:fldChar w:fldCharType="separate"/>
    </w:r>
    <w:r w:rsidR="00E64B6A" w:rsidRPr="00E64B6A">
      <w:rPr>
        <w:b/>
        <w:noProof/>
        <w:color w:val="auto"/>
      </w:rPr>
      <w:t>1</w:t>
    </w:r>
    <w:r w:rsidRPr="00E64B6A">
      <w:rPr>
        <w:b/>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5226" w:rsidRDefault="00275226">
      <w:r>
        <w:separator/>
      </w:r>
    </w:p>
  </w:footnote>
  <w:footnote w:type="continuationSeparator" w:id="0">
    <w:p w:rsidR="00275226" w:rsidRDefault="00275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DC0" w:rsidRDefault="00275226">
    <w:pPr>
      <w:pBdr>
        <w:bottom w:val="single" w:sz="4" w:space="4" w:color="1A5C0A"/>
      </w:pBdr>
      <w:tabs>
        <w:tab w:val="right" w:pos="9026"/>
      </w:tabs>
      <w:spacing w:after="80"/>
    </w:pPr>
    <w:r w:rsidRPr="00E64B6A">
      <w:rPr>
        <w:b/>
        <w:color w:val="auto"/>
        <w:sz w:val="17"/>
        <w:szCs w:val="17"/>
      </w:rPr>
      <w:t>MWR — Machine Wealth Representative  ·  Digital FTE Assignment</w:t>
    </w:r>
    <w:r w:rsidR="00E64B6A">
      <w:rPr>
        <w:b/>
        <w:color w:val="auto"/>
        <w:sz w:val="17"/>
        <w:szCs w:val="17"/>
      </w:rPr>
      <w:t xml:space="preserve">          </w:t>
    </w:r>
    <w:r>
      <w:rPr>
        <w:sz w:val="17"/>
        <w:szCs w:val="17"/>
      </w:rPr>
      <w:tab/>
    </w:r>
    <w:r>
      <w:rPr>
        <w:b/>
        <w:bCs/>
        <w:color w:val="1A5C0A"/>
        <w:sz w:val="17"/>
        <w:szCs w:val="17"/>
      </w:rPr>
      <w:t>Finance × Web3 × Audit &amp; Assurance  ·  Global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266090"/>
    <w:multiLevelType w:val="hybridMultilevel"/>
    <w:tmpl w:val="70CEFAB2"/>
    <w:lvl w:ilvl="0" w:tplc="38D82B50">
      <w:start w:val="1"/>
      <w:numFmt w:val="decimal"/>
      <w:lvlText w:val="%1."/>
      <w:lvlJc w:val="left"/>
      <w:pPr>
        <w:ind w:left="540" w:hanging="300"/>
      </w:pPr>
    </w:lvl>
    <w:lvl w:ilvl="1" w:tplc="172E7CDC">
      <w:numFmt w:val="decimal"/>
      <w:lvlText w:val=""/>
      <w:lvlJc w:val="left"/>
    </w:lvl>
    <w:lvl w:ilvl="2" w:tplc="91389844">
      <w:numFmt w:val="decimal"/>
      <w:lvlText w:val=""/>
      <w:lvlJc w:val="left"/>
    </w:lvl>
    <w:lvl w:ilvl="3" w:tplc="DEEE0CB8">
      <w:numFmt w:val="decimal"/>
      <w:lvlText w:val=""/>
      <w:lvlJc w:val="left"/>
    </w:lvl>
    <w:lvl w:ilvl="4" w:tplc="38269752">
      <w:numFmt w:val="decimal"/>
      <w:lvlText w:val=""/>
      <w:lvlJc w:val="left"/>
    </w:lvl>
    <w:lvl w:ilvl="5" w:tplc="C648341A">
      <w:numFmt w:val="decimal"/>
      <w:lvlText w:val=""/>
      <w:lvlJc w:val="left"/>
    </w:lvl>
    <w:lvl w:ilvl="6" w:tplc="26AC1432">
      <w:numFmt w:val="decimal"/>
      <w:lvlText w:val=""/>
      <w:lvlJc w:val="left"/>
    </w:lvl>
    <w:lvl w:ilvl="7" w:tplc="3F06513A">
      <w:numFmt w:val="decimal"/>
      <w:lvlText w:val=""/>
      <w:lvlJc w:val="left"/>
    </w:lvl>
    <w:lvl w:ilvl="8" w:tplc="9B800D3C">
      <w:numFmt w:val="decimal"/>
      <w:lvlText w:val=""/>
      <w:lvlJc w:val="left"/>
    </w:lvl>
  </w:abstractNum>
  <w:abstractNum w:abstractNumId="1" w15:restartNumberingAfterBreak="0">
    <w:nsid w:val="45B61F3D"/>
    <w:multiLevelType w:val="hybridMultilevel"/>
    <w:tmpl w:val="3B36D748"/>
    <w:lvl w:ilvl="0" w:tplc="A05C9168">
      <w:start w:val="1"/>
      <w:numFmt w:val="bullet"/>
      <w:lvlText w:val="◦"/>
      <w:lvlJc w:val="left"/>
      <w:pPr>
        <w:ind w:left="720" w:hanging="300"/>
      </w:pPr>
    </w:lvl>
    <w:lvl w:ilvl="1" w:tplc="D09EFE00">
      <w:numFmt w:val="decimal"/>
      <w:lvlText w:val=""/>
      <w:lvlJc w:val="left"/>
    </w:lvl>
    <w:lvl w:ilvl="2" w:tplc="D7C2A53E">
      <w:numFmt w:val="decimal"/>
      <w:lvlText w:val=""/>
      <w:lvlJc w:val="left"/>
    </w:lvl>
    <w:lvl w:ilvl="3" w:tplc="C896B20E">
      <w:numFmt w:val="decimal"/>
      <w:lvlText w:val=""/>
      <w:lvlJc w:val="left"/>
    </w:lvl>
    <w:lvl w:ilvl="4" w:tplc="6FD25D32">
      <w:numFmt w:val="decimal"/>
      <w:lvlText w:val=""/>
      <w:lvlJc w:val="left"/>
    </w:lvl>
    <w:lvl w:ilvl="5" w:tplc="CE7CED14">
      <w:numFmt w:val="decimal"/>
      <w:lvlText w:val=""/>
      <w:lvlJc w:val="left"/>
    </w:lvl>
    <w:lvl w:ilvl="6" w:tplc="97D093E6">
      <w:numFmt w:val="decimal"/>
      <w:lvlText w:val=""/>
      <w:lvlJc w:val="left"/>
    </w:lvl>
    <w:lvl w:ilvl="7" w:tplc="53787DFC">
      <w:numFmt w:val="decimal"/>
      <w:lvlText w:val=""/>
      <w:lvlJc w:val="left"/>
    </w:lvl>
    <w:lvl w:ilvl="8" w:tplc="BA9C724C">
      <w:numFmt w:val="decimal"/>
      <w:lvlText w:val=""/>
      <w:lvlJc w:val="left"/>
    </w:lvl>
  </w:abstractNum>
  <w:abstractNum w:abstractNumId="2" w15:restartNumberingAfterBreak="0">
    <w:nsid w:val="4B4977E6"/>
    <w:multiLevelType w:val="hybridMultilevel"/>
    <w:tmpl w:val="06FC438E"/>
    <w:lvl w:ilvl="0" w:tplc="0504C878">
      <w:start w:val="1"/>
      <w:numFmt w:val="bullet"/>
      <w:lvlText w:val="●"/>
      <w:lvlJc w:val="left"/>
      <w:pPr>
        <w:ind w:left="720" w:hanging="360"/>
      </w:pPr>
    </w:lvl>
    <w:lvl w:ilvl="1" w:tplc="532063E2">
      <w:start w:val="1"/>
      <w:numFmt w:val="bullet"/>
      <w:lvlText w:val="○"/>
      <w:lvlJc w:val="left"/>
      <w:pPr>
        <w:ind w:left="1440" w:hanging="360"/>
      </w:pPr>
    </w:lvl>
    <w:lvl w:ilvl="2" w:tplc="4C8AE28A">
      <w:start w:val="1"/>
      <w:numFmt w:val="bullet"/>
      <w:lvlText w:val="■"/>
      <w:lvlJc w:val="left"/>
      <w:pPr>
        <w:ind w:left="2160" w:hanging="360"/>
      </w:pPr>
    </w:lvl>
    <w:lvl w:ilvl="3" w:tplc="69D475EA">
      <w:start w:val="1"/>
      <w:numFmt w:val="bullet"/>
      <w:lvlText w:val="●"/>
      <w:lvlJc w:val="left"/>
      <w:pPr>
        <w:ind w:left="2880" w:hanging="360"/>
      </w:pPr>
    </w:lvl>
    <w:lvl w:ilvl="4" w:tplc="F06C0E32">
      <w:start w:val="1"/>
      <w:numFmt w:val="bullet"/>
      <w:lvlText w:val="○"/>
      <w:lvlJc w:val="left"/>
      <w:pPr>
        <w:ind w:left="3600" w:hanging="360"/>
      </w:pPr>
    </w:lvl>
    <w:lvl w:ilvl="5" w:tplc="D47A0796">
      <w:start w:val="1"/>
      <w:numFmt w:val="bullet"/>
      <w:lvlText w:val="■"/>
      <w:lvlJc w:val="left"/>
      <w:pPr>
        <w:ind w:left="4320" w:hanging="360"/>
      </w:pPr>
    </w:lvl>
    <w:lvl w:ilvl="6" w:tplc="747671F2">
      <w:start w:val="1"/>
      <w:numFmt w:val="bullet"/>
      <w:lvlText w:val="●"/>
      <w:lvlJc w:val="left"/>
      <w:pPr>
        <w:ind w:left="5040" w:hanging="360"/>
      </w:pPr>
    </w:lvl>
    <w:lvl w:ilvl="7" w:tplc="ABF2E280">
      <w:start w:val="1"/>
      <w:numFmt w:val="bullet"/>
      <w:lvlText w:val="●"/>
      <w:lvlJc w:val="left"/>
      <w:pPr>
        <w:ind w:left="5760" w:hanging="360"/>
      </w:pPr>
    </w:lvl>
    <w:lvl w:ilvl="8" w:tplc="FF782B26">
      <w:start w:val="1"/>
      <w:numFmt w:val="bullet"/>
      <w:lvlText w:val="●"/>
      <w:lvlJc w:val="left"/>
      <w:pPr>
        <w:ind w:left="6480" w:hanging="360"/>
      </w:pPr>
    </w:lvl>
  </w:abstractNum>
  <w:abstractNum w:abstractNumId="3" w15:restartNumberingAfterBreak="0">
    <w:nsid w:val="5B7275E9"/>
    <w:multiLevelType w:val="hybridMultilevel"/>
    <w:tmpl w:val="74F44984"/>
    <w:lvl w:ilvl="0" w:tplc="B7C6A05C">
      <w:start w:val="1"/>
      <w:numFmt w:val="bullet"/>
      <w:lvlText w:val="•"/>
      <w:lvlJc w:val="left"/>
      <w:pPr>
        <w:ind w:left="540" w:hanging="300"/>
      </w:pPr>
    </w:lvl>
    <w:lvl w:ilvl="1" w:tplc="7C1A7FF6">
      <w:numFmt w:val="decimal"/>
      <w:lvlText w:val=""/>
      <w:lvlJc w:val="left"/>
    </w:lvl>
    <w:lvl w:ilvl="2" w:tplc="A60A5186">
      <w:numFmt w:val="decimal"/>
      <w:lvlText w:val=""/>
      <w:lvlJc w:val="left"/>
    </w:lvl>
    <w:lvl w:ilvl="3" w:tplc="E1E00566">
      <w:numFmt w:val="decimal"/>
      <w:lvlText w:val=""/>
      <w:lvlJc w:val="left"/>
    </w:lvl>
    <w:lvl w:ilvl="4" w:tplc="70C0F8F6">
      <w:numFmt w:val="decimal"/>
      <w:lvlText w:val=""/>
      <w:lvlJc w:val="left"/>
    </w:lvl>
    <w:lvl w:ilvl="5" w:tplc="7A28D21A">
      <w:numFmt w:val="decimal"/>
      <w:lvlText w:val=""/>
      <w:lvlJc w:val="left"/>
    </w:lvl>
    <w:lvl w:ilvl="6" w:tplc="B7443AC6">
      <w:numFmt w:val="decimal"/>
      <w:lvlText w:val=""/>
      <w:lvlJc w:val="left"/>
    </w:lvl>
    <w:lvl w:ilvl="7" w:tplc="335A7774">
      <w:numFmt w:val="decimal"/>
      <w:lvlText w:val=""/>
      <w:lvlJc w:val="left"/>
    </w:lvl>
    <w:lvl w:ilvl="8" w:tplc="18F6F102">
      <w:numFmt w:val="decimal"/>
      <w:lvlText w:val=""/>
      <w:lvlJc w:val="left"/>
    </w:lvl>
  </w:abstractNum>
  <w:num w:numId="1">
    <w:abstractNumId w:val="2"/>
    <w:lvlOverride w:ilvl="0">
      <w:startOverride w:val="1"/>
    </w:lvlOverride>
  </w:num>
  <w:num w:numId="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DC0"/>
    <w:rsid w:val="00275226"/>
    <w:rsid w:val="00E64B6A"/>
    <w:rsid w:val="00FC2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BF31"/>
  <w15:docId w15:val="{52451533-92F5-4BDF-9D3C-AA392ABB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3A3A3A"/>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60" w:after="100"/>
      <w:outlineLvl w:val="0"/>
    </w:pPr>
    <w:rPr>
      <w:b/>
      <w:bCs/>
      <w:color w:val="1A1A1A"/>
      <w:sz w:val="28"/>
      <w:szCs w:val="28"/>
    </w:rPr>
  </w:style>
  <w:style w:type="paragraph" w:styleId="Heading2">
    <w:name w:val="heading 2"/>
    <w:uiPriority w:val="9"/>
    <w:unhideWhenUsed/>
    <w:qFormat/>
    <w:pPr>
      <w:spacing w:before="240" w:after="80"/>
      <w:outlineLvl w:val="1"/>
    </w:pPr>
    <w:rPr>
      <w:b/>
      <w:bCs/>
      <w:color w:val="1A5C0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4B6A"/>
    <w:pPr>
      <w:tabs>
        <w:tab w:val="center" w:pos="4680"/>
        <w:tab w:val="right" w:pos="9360"/>
      </w:tabs>
    </w:pPr>
  </w:style>
  <w:style w:type="character" w:customStyle="1" w:styleId="HeaderChar">
    <w:name w:val="Header Char"/>
    <w:basedOn w:val="DefaultParagraphFont"/>
    <w:link w:val="Header"/>
    <w:uiPriority w:val="99"/>
    <w:rsid w:val="00E64B6A"/>
  </w:style>
  <w:style w:type="paragraph" w:styleId="Footer">
    <w:name w:val="footer"/>
    <w:basedOn w:val="Normal"/>
    <w:link w:val="FooterChar"/>
    <w:uiPriority w:val="99"/>
    <w:unhideWhenUsed/>
    <w:rsid w:val="00E64B6A"/>
    <w:pPr>
      <w:tabs>
        <w:tab w:val="center" w:pos="4680"/>
        <w:tab w:val="right" w:pos="9360"/>
      </w:tabs>
    </w:pPr>
  </w:style>
  <w:style w:type="character" w:customStyle="1" w:styleId="FooterChar">
    <w:name w:val="Footer Char"/>
    <w:basedOn w:val="DefaultParagraphFont"/>
    <w:link w:val="Footer"/>
    <w:uiPriority w:val="99"/>
    <w:rsid w:val="00E64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4049</Words>
  <Characters>23084</Characters>
  <Application>Microsoft Office Word</Application>
  <DocSecurity>0</DocSecurity>
  <Lines>192</Lines>
  <Paragraphs>54</Paragraphs>
  <ScaleCrop>false</ScaleCrop>
  <Company/>
  <LinksUpToDate>false</LinksUpToDate>
  <CharactersWithSpaces>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ur Rehman</cp:lastModifiedBy>
  <cp:revision>2</cp:revision>
  <dcterms:created xsi:type="dcterms:W3CDTF">2026-06-03T05:32:00Z</dcterms:created>
  <dcterms:modified xsi:type="dcterms:W3CDTF">2026-06-15T10:45:00Z</dcterms:modified>
</cp:coreProperties>
</file>