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18, 2026 at 08:58</w:t>
      </w:r>
    </w:p>
    <w:p/>
    <w:p>
      <w:pPr>
        <w:jc w:val="center"/>
      </w:pPr>
      <w:r>
        <w:rPr>
          <w:b/>
          <w:color w:val="F57C00"/>
          <w:sz w:val="32"/>
        </w:rPr>
        <w:t>RISK RECOMMENDATION</w:t>
      </w:r>
    </w:p>
    <w:p>
      <w:pPr>
        <w:jc w:val="center"/>
      </w:pPr>
      <w:r>
        <w:rPr>
          <w:b/>
          <w:color w:val="F57C00"/>
          <w:sz w:val="36"/>
        </w:rPr>
        <w:t>Investigate further - Medium Risk</w:t>
      </w:r>
    </w:p>
    <w:p>
      <w:pPr>
        <w:jc w:val="center"/>
      </w:pPr>
      <w:r>
        <w:rPr>
          <w:b/>
          <w:color w:val="F57C00"/>
          <w:sz w:val="96"/>
        </w:rPr>
        <w:t>76%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1.24.16.32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China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China unicom InnerMongolia province network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Fixed Line ISP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61</w:t>
      </w:r>
    </w:p>
    <w:p>
      <w:r>
        <w:rPr>
          <w:b/>
        </w:rPr>
        <w:t xml:space="preserve">Last Reported: </w:t>
      </w:r>
      <w:r>
        <w:t>2026-04-18T00:54:56+00:00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Investigate further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