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18, 2026 at 17:30</w:t>
      </w:r>
    </w:p>
    <w:p/>
    <w:p>
      <w:pPr>
        <w:jc w:val="center"/>
      </w:pPr>
      <w:r>
        <w:rPr>
          <w:b/>
          <w:color w:val="388E3C"/>
          <w:sz w:val="32"/>
        </w:rPr>
        <w:t>RISK RECOMMENDATION</w:t>
      </w:r>
    </w:p>
    <w:p>
      <w:pPr>
        <w:jc w:val="center"/>
      </w:pPr>
      <w:r>
        <w:rPr>
          <w:b/>
          <w:color w:val="388E3C"/>
          <w:sz w:val="36"/>
        </w:rPr>
        <w:t>Low Risk - Generally safe to allow</w:t>
      </w:r>
    </w:p>
    <w:p>
      <w:pPr>
        <w:jc w:val="center"/>
      </w:pPr>
      <w:r>
        <w:rPr>
          <w:b/>
          <w:color w:val="388E3C"/>
          <w:sz w:val="96"/>
        </w:rPr>
        <w:t>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218.241.161.50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China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Beijing Bitone United Networks Technology Service Co.,Ltd.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Fixed Line ISP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0</w:t>
      </w:r>
    </w:p>
    <w:p>
      <w:r>
        <w:rPr>
          <w:b/>
        </w:rPr>
        <w:t xml:space="preserve">Last Reported: </w:t>
      </w:r>
      <w:r>
        <w:t>None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Low Risk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