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19, 2026 at 14:41</w:t>
      </w:r>
    </w:p>
    <w:p/>
    <w:p>
      <w:pPr>
        <w:jc w:val="center"/>
      </w:pPr>
      <w:r>
        <w:rPr>
          <w:b/>
          <w:color w:val="D32F2F"/>
          <w:sz w:val="32"/>
        </w:rPr>
        <w:t>RISK RECOMMENDATION</w:t>
      </w:r>
    </w:p>
    <w:p>
      <w:pPr>
        <w:jc w:val="center"/>
      </w:pPr>
      <w:r>
        <w:rPr>
          <w:b/>
          <w:color w:val="D32F2F"/>
          <w:sz w:val="36"/>
        </w:rPr>
        <w:t>BLOCK this IP immediately - High Risk</w:t>
      </w:r>
    </w:p>
    <w:p>
      <w:pPr>
        <w:jc w:val="center"/>
      </w:pPr>
      <w:r>
        <w:rPr>
          <w:b/>
          <w:color w:val="D32F2F"/>
          <w:sz w:val="96"/>
        </w:rPr>
        <w:t>100%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45.148.10.141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Netherlands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TECHOFF SRV LIMITED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Data Center/Web Hosting/Transit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162467</w:t>
      </w:r>
    </w:p>
    <w:p>
      <w:r>
        <w:rPr>
          <w:b/>
        </w:rPr>
        <w:t xml:space="preserve">Last Reported: </w:t>
      </w:r>
      <w:r>
        <w:t>2026-04-19T13:29:34+00:00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BLOCK this IP immediately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