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87F79" w14:textId="3581565C" w:rsidR="001E33DB" w:rsidRPr="001E33DB" w:rsidRDefault="001E33DB" w:rsidP="001E33DB">
      <w:pPr>
        <w:pStyle w:val="Heading1"/>
        <w:spacing w:line="360" w:lineRule="auto"/>
        <w:jc w:val="center"/>
        <w:rPr>
          <w:b/>
          <w:bCs/>
          <w:sz w:val="32"/>
          <w:szCs w:val="32"/>
        </w:rPr>
      </w:pPr>
      <w:r w:rsidRPr="001E33DB">
        <w:rPr>
          <w:b/>
          <w:bCs/>
          <w:sz w:val="32"/>
          <w:szCs w:val="32"/>
        </w:rPr>
        <w:t>Influence</w:t>
      </w:r>
      <w:r w:rsidRPr="001E33DB">
        <w:rPr>
          <w:b/>
          <w:bCs/>
          <w:sz w:val="32"/>
          <w:szCs w:val="32"/>
        </w:rPr>
        <w:t xml:space="preserve"> of </w:t>
      </w:r>
      <w:r w:rsidRPr="001E33DB">
        <w:rPr>
          <w:b/>
          <w:bCs/>
          <w:sz w:val="32"/>
          <w:szCs w:val="32"/>
        </w:rPr>
        <w:t xml:space="preserve">Gender </w:t>
      </w:r>
      <w:r w:rsidRPr="001E33DB">
        <w:rPr>
          <w:b/>
          <w:bCs/>
          <w:sz w:val="32"/>
          <w:szCs w:val="32"/>
        </w:rPr>
        <w:t xml:space="preserve">on </w:t>
      </w:r>
      <w:r w:rsidRPr="001E33DB">
        <w:rPr>
          <w:b/>
          <w:bCs/>
          <w:sz w:val="32"/>
          <w:szCs w:val="32"/>
        </w:rPr>
        <w:t>Consumer Buying Patterns</w:t>
      </w:r>
    </w:p>
    <w:p w14:paraId="46758A17" w14:textId="329E5587" w:rsidR="006F59F2" w:rsidRDefault="006F59F2" w:rsidP="00DC2316">
      <w:pPr>
        <w:spacing w:line="360" w:lineRule="auto"/>
        <w:jc w:val="both"/>
        <w:rPr>
          <w:sz w:val="24"/>
          <w:szCs w:val="24"/>
        </w:rPr>
      </w:pPr>
      <w:r w:rsidRPr="006F59F2">
        <w:rPr>
          <w:sz w:val="24"/>
          <w:szCs w:val="24"/>
        </w:rPr>
        <w:t>Student Name</w:t>
      </w:r>
      <w:r>
        <w:rPr>
          <w:sz w:val="24"/>
          <w:szCs w:val="24"/>
        </w:rPr>
        <w:t xml:space="preserve"> – </w:t>
      </w:r>
    </w:p>
    <w:p w14:paraId="5A1FD13F" w14:textId="7484FE33" w:rsidR="006F59F2" w:rsidRDefault="006F59F2" w:rsidP="00DC2316">
      <w:pPr>
        <w:pBdr>
          <w:bottom w:val="single" w:sz="12" w:space="1" w:color="auto"/>
        </w:pBdr>
        <w:spacing w:line="360" w:lineRule="auto"/>
        <w:jc w:val="both"/>
        <w:rPr>
          <w:sz w:val="24"/>
          <w:szCs w:val="24"/>
        </w:rPr>
      </w:pPr>
      <w:r w:rsidRPr="006F59F2">
        <w:rPr>
          <w:sz w:val="24"/>
          <w:szCs w:val="24"/>
        </w:rPr>
        <w:t xml:space="preserve"> ID number</w:t>
      </w:r>
      <w:r>
        <w:rPr>
          <w:sz w:val="24"/>
          <w:szCs w:val="24"/>
        </w:rPr>
        <w:t xml:space="preserve"> –</w:t>
      </w:r>
    </w:p>
    <w:p w14:paraId="15CA8EC6" w14:textId="77777777" w:rsidR="008662ED" w:rsidRDefault="008662ED" w:rsidP="00DC2316">
      <w:pPr>
        <w:spacing w:line="360" w:lineRule="auto"/>
        <w:jc w:val="both"/>
        <w:rPr>
          <w:sz w:val="24"/>
          <w:szCs w:val="24"/>
        </w:rPr>
      </w:pPr>
    </w:p>
    <w:p w14:paraId="5E0C643A" w14:textId="40158CE2" w:rsidR="00DC2316" w:rsidRPr="00DC2316" w:rsidRDefault="00DC2316" w:rsidP="00DC2316">
      <w:pPr>
        <w:spacing w:line="360" w:lineRule="auto"/>
        <w:jc w:val="both"/>
        <w:rPr>
          <w:sz w:val="24"/>
          <w:szCs w:val="24"/>
        </w:rPr>
      </w:pPr>
      <w:r w:rsidRPr="00DC2316">
        <w:rPr>
          <w:sz w:val="24"/>
          <w:szCs w:val="24"/>
        </w:rPr>
        <w:t xml:space="preserve">Understanding the unique ways factors affect customer purchase </w:t>
      </w:r>
      <w:r w:rsidRPr="00DC2316">
        <w:rPr>
          <w:sz w:val="24"/>
          <w:szCs w:val="24"/>
        </w:rPr>
        <w:t>behaviours</w:t>
      </w:r>
      <w:r w:rsidRPr="00DC2316">
        <w:rPr>
          <w:sz w:val="24"/>
          <w:szCs w:val="24"/>
        </w:rPr>
        <w:t xml:space="preserve"> stands essential in consumer behaviour analysis fields. This analysis draws its data from a simulation that contains customer demographic alongside </w:t>
      </w:r>
      <w:r w:rsidRPr="00DC2316">
        <w:rPr>
          <w:sz w:val="24"/>
          <w:szCs w:val="24"/>
        </w:rPr>
        <w:t>behavioural</w:t>
      </w:r>
      <w:r w:rsidRPr="00DC2316">
        <w:rPr>
          <w:sz w:val="24"/>
          <w:szCs w:val="24"/>
        </w:rPr>
        <w:t xml:space="preserve"> information. The dataset includes five key attributes which are age and gender along with income and spending score as well as purchase frequency numbers. </w:t>
      </w:r>
    </w:p>
    <w:p w14:paraId="140055BF" w14:textId="671A4B1F" w:rsidR="00DC2316" w:rsidRPr="00DC2316" w:rsidRDefault="00DC2316" w:rsidP="00DC2316">
      <w:pPr>
        <w:spacing w:line="360" w:lineRule="auto"/>
        <w:jc w:val="center"/>
        <w:rPr>
          <w:sz w:val="24"/>
          <w:szCs w:val="24"/>
        </w:rPr>
      </w:pPr>
      <w:r w:rsidRPr="00DC2316">
        <w:rPr>
          <w:sz w:val="24"/>
          <w:szCs w:val="24"/>
        </w:rPr>
        <w:drawing>
          <wp:inline distT="0" distB="0" distL="0" distR="0" wp14:anchorId="76C0CE0F" wp14:editId="0A124823">
            <wp:extent cx="4140200" cy="2442103"/>
            <wp:effectExtent l="0" t="0" r="0" b="0"/>
            <wp:docPr id="202368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81227" name=""/>
                    <pic:cNvPicPr/>
                  </pic:nvPicPr>
                  <pic:blipFill>
                    <a:blip r:embed="rId4"/>
                    <a:stretch>
                      <a:fillRect/>
                    </a:stretch>
                  </pic:blipFill>
                  <pic:spPr>
                    <a:xfrm>
                      <a:off x="0" y="0"/>
                      <a:ext cx="4145714" cy="2445356"/>
                    </a:xfrm>
                    <a:prstGeom prst="rect">
                      <a:avLst/>
                    </a:prstGeom>
                  </pic:spPr>
                </pic:pic>
              </a:graphicData>
            </a:graphic>
          </wp:inline>
        </w:drawing>
      </w:r>
    </w:p>
    <w:p w14:paraId="5DA26787" w14:textId="3A6A886D" w:rsidR="00DC2316" w:rsidRPr="00DC2316" w:rsidRDefault="00DC2316" w:rsidP="00DC2316">
      <w:pPr>
        <w:spacing w:line="360" w:lineRule="auto"/>
        <w:jc w:val="both"/>
        <w:rPr>
          <w:sz w:val="24"/>
          <w:szCs w:val="24"/>
        </w:rPr>
      </w:pPr>
      <w:r w:rsidRPr="00DC2316">
        <w:rPr>
          <w:sz w:val="24"/>
          <w:szCs w:val="24"/>
        </w:rPr>
        <w:t>The stacked bar chart reveals which products female consumers buy and male consumers buy including demographic-specific buying habits. All gender groups demonstrate comparable shopping patterns as they buy most from the categories of Home &amp; Garden and Groceries and Clothing. Consumer preference seems to focus away from Electronics and Sports among all other product categories. Consumer purchasing decisions seem to be unaffected by gender specifically so much that they might stem from other elements like economic activities and lifestyle choices. Th</w:t>
      </w:r>
      <w:r w:rsidRPr="00DC2316">
        <w:rPr>
          <w:sz w:val="24"/>
          <w:szCs w:val="24"/>
        </w:rPr>
        <w:t>e</w:t>
      </w:r>
      <w:r w:rsidRPr="00DC2316">
        <w:rPr>
          <w:sz w:val="24"/>
          <w:szCs w:val="24"/>
        </w:rPr>
        <w:t xml:space="preserve"> equal proportions within the data help demonstrate that purchasing activity shows consistent trends across gender groups within each category which indicates obtaining products may be significantly influenced by economic needs rather than gender-specific requirements.</w:t>
      </w:r>
    </w:p>
    <w:p w14:paraId="3222CD80" w14:textId="1D331E88" w:rsidR="00070DD4" w:rsidRDefault="00DC2316" w:rsidP="00DC2316">
      <w:pPr>
        <w:spacing w:line="360" w:lineRule="auto"/>
        <w:jc w:val="both"/>
        <w:rPr>
          <w:sz w:val="24"/>
          <w:szCs w:val="24"/>
        </w:rPr>
      </w:pPr>
      <w:r w:rsidRPr="00DC2316">
        <w:rPr>
          <w:sz w:val="24"/>
          <w:szCs w:val="24"/>
        </w:rPr>
        <w:lastRenderedPageBreak/>
        <w:t xml:space="preserve">A detailed evaluation of consumer patterns emerges from </w:t>
      </w:r>
      <w:r w:rsidRPr="00DC2316">
        <w:rPr>
          <w:sz w:val="24"/>
          <w:szCs w:val="24"/>
        </w:rPr>
        <w:t>analysing</w:t>
      </w:r>
      <w:r w:rsidRPr="00DC2316">
        <w:rPr>
          <w:sz w:val="24"/>
          <w:szCs w:val="24"/>
        </w:rPr>
        <w:t xml:space="preserve"> the spending score statistics collected in the data. The distribution of spending scores extends from 1 to 100 revealing substantial variability because the average score stands at 50.69 yet the variation between scores amounts to 28.96. Customer spending habits show wide variations because certain consumers consistently outspend additional groups of consumers.</w:t>
      </w:r>
    </w:p>
    <w:tbl>
      <w:tblPr>
        <w:tblStyle w:val="TableGridLight"/>
        <w:tblW w:w="0" w:type="auto"/>
        <w:jc w:val="center"/>
        <w:tblLook w:val="04A0" w:firstRow="1" w:lastRow="0" w:firstColumn="1" w:lastColumn="0" w:noHBand="0" w:noVBand="1"/>
      </w:tblPr>
      <w:tblGrid>
        <w:gridCol w:w="4127"/>
        <w:gridCol w:w="4127"/>
      </w:tblGrid>
      <w:tr w:rsidR="001E33DB" w14:paraId="17BB64EA" w14:textId="77777777" w:rsidTr="001E33DB">
        <w:trPr>
          <w:trHeight w:val="326"/>
          <w:jc w:val="center"/>
        </w:trPr>
        <w:tc>
          <w:tcPr>
            <w:tcW w:w="4127" w:type="dxa"/>
          </w:tcPr>
          <w:p w14:paraId="5B90FF5B" w14:textId="7431955B" w:rsidR="001E33DB" w:rsidRPr="001E33DB" w:rsidRDefault="001E33DB" w:rsidP="001E33DB">
            <w:pPr>
              <w:spacing w:line="360" w:lineRule="auto"/>
              <w:jc w:val="center"/>
              <w:rPr>
                <w:b/>
                <w:bCs/>
                <w:sz w:val="24"/>
                <w:szCs w:val="24"/>
              </w:rPr>
            </w:pPr>
            <w:r w:rsidRPr="001E33DB">
              <w:rPr>
                <w:b/>
                <w:bCs/>
                <w:sz w:val="24"/>
                <w:szCs w:val="24"/>
              </w:rPr>
              <w:t>Metric</w:t>
            </w:r>
          </w:p>
        </w:tc>
        <w:tc>
          <w:tcPr>
            <w:tcW w:w="4127" w:type="dxa"/>
          </w:tcPr>
          <w:p w14:paraId="64A136AD" w14:textId="2D3BC77C" w:rsidR="001E33DB" w:rsidRPr="001E33DB" w:rsidRDefault="001E33DB" w:rsidP="001E33DB">
            <w:pPr>
              <w:spacing w:line="360" w:lineRule="auto"/>
              <w:jc w:val="center"/>
              <w:rPr>
                <w:b/>
                <w:bCs/>
                <w:sz w:val="24"/>
                <w:szCs w:val="24"/>
              </w:rPr>
            </w:pPr>
            <w:r w:rsidRPr="001E33DB">
              <w:rPr>
                <w:b/>
                <w:bCs/>
                <w:sz w:val="24"/>
                <w:szCs w:val="24"/>
              </w:rPr>
              <w:t>Value</w:t>
            </w:r>
          </w:p>
        </w:tc>
      </w:tr>
      <w:tr w:rsidR="001E33DB" w14:paraId="7A74A3A5" w14:textId="77777777" w:rsidTr="001E33DB">
        <w:trPr>
          <w:trHeight w:val="317"/>
          <w:jc w:val="center"/>
        </w:trPr>
        <w:tc>
          <w:tcPr>
            <w:tcW w:w="4127" w:type="dxa"/>
          </w:tcPr>
          <w:p w14:paraId="0B1B253A" w14:textId="6960AA99" w:rsidR="001E33DB" w:rsidRPr="001E33DB" w:rsidRDefault="001E33DB" w:rsidP="001E33DB">
            <w:pPr>
              <w:spacing w:line="360" w:lineRule="auto"/>
              <w:jc w:val="both"/>
              <w:rPr>
                <w:sz w:val="24"/>
                <w:szCs w:val="24"/>
              </w:rPr>
            </w:pPr>
            <w:r w:rsidRPr="001E33DB">
              <w:rPr>
                <w:sz w:val="24"/>
                <w:szCs w:val="24"/>
              </w:rPr>
              <w:t>Count</w:t>
            </w:r>
          </w:p>
        </w:tc>
        <w:tc>
          <w:tcPr>
            <w:tcW w:w="4127" w:type="dxa"/>
          </w:tcPr>
          <w:p w14:paraId="2B6FC8BC" w14:textId="3C7DA585" w:rsidR="001E33DB" w:rsidRPr="001E33DB" w:rsidRDefault="001E33DB" w:rsidP="001E33DB">
            <w:pPr>
              <w:spacing w:line="360" w:lineRule="auto"/>
              <w:jc w:val="both"/>
              <w:rPr>
                <w:sz w:val="24"/>
                <w:szCs w:val="24"/>
              </w:rPr>
            </w:pPr>
            <w:r w:rsidRPr="001E33DB">
              <w:rPr>
                <w:sz w:val="24"/>
                <w:szCs w:val="24"/>
              </w:rPr>
              <w:t>1000</w:t>
            </w:r>
          </w:p>
        </w:tc>
      </w:tr>
      <w:tr w:rsidR="001E33DB" w14:paraId="3FA2DDA3" w14:textId="77777777" w:rsidTr="001E33DB">
        <w:trPr>
          <w:trHeight w:val="326"/>
          <w:jc w:val="center"/>
        </w:trPr>
        <w:tc>
          <w:tcPr>
            <w:tcW w:w="4127" w:type="dxa"/>
          </w:tcPr>
          <w:p w14:paraId="67B6D87D" w14:textId="3B43B569" w:rsidR="001E33DB" w:rsidRPr="001E33DB" w:rsidRDefault="001E33DB" w:rsidP="001E33DB">
            <w:pPr>
              <w:spacing w:line="360" w:lineRule="auto"/>
              <w:jc w:val="both"/>
              <w:rPr>
                <w:sz w:val="24"/>
                <w:szCs w:val="24"/>
              </w:rPr>
            </w:pPr>
            <w:r w:rsidRPr="001E33DB">
              <w:rPr>
                <w:sz w:val="24"/>
                <w:szCs w:val="24"/>
              </w:rPr>
              <w:t>Mean</w:t>
            </w:r>
          </w:p>
        </w:tc>
        <w:tc>
          <w:tcPr>
            <w:tcW w:w="4127" w:type="dxa"/>
          </w:tcPr>
          <w:p w14:paraId="6C9C34CF" w14:textId="2F934BAC" w:rsidR="001E33DB" w:rsidRPr="001E33DB" w:rsidRDefault="001E33DB" w:rsidP="001E33DB">
            <w:pPr>
              <w:spacing w:line="360" w:lineRule="auto"/>
              <w:jc w:val="both"/>
              <w:rPr>
                <w:sz w:val="24"/>
                <w:szCs w:val="24"/>
              </w:rPr>
            </w:pPr>
            <w:r w:rsidRPr="001E33DB">
              <w:rPr>
                <w:sz w:val="24"/>
                <w:szCs w:val="24"/>
              </w:rPr>
              <w:t>50.685</w:t>
            </w:r>
          </w:p>
        </w:tc>
      </w:tr>
      <w:tr w:rsidR="001E33DB" w14:paraId="6558E68F" w14:textId="77777777" w:rsidTr="001E33DB">
        <w:trPr>
          <w:trHeight w:val="326"/>
          <w:jc w:val="center"/>
        </w:trPr>
        <w:tc>
          <w:tcPr>
            <w:tcW w:w="4127" w:type="dxa"/>
          </w:tcPr>
          <w:p w14:paraId="661D9A8B" w14:textId="40CAC6BF" w:rsidR="001E33DB" w:rsidRPr="001E33DB" w:rsidRDefault="001E33DB" w:rsidP="001E33DB">
            <w:pPr>
              <w:spacing w:line="360" w:lineRule="auto"/>
              <w:jc w:val="both"/>
              <w:rPr>
                <w:sz w:val="24"/>
                <w:szCs w:val="24"/>
              </w:rPr>
            </w:pPr>
            <w:r w:rsidRPr="001E33DB">
              <w:rPr>
                <w:sz w:val="24"/>
                <w:szCs w:val="24"/>
              </w:rPr>
              <w:t>Standard Deviation</w:t>
            </w:r>
          </w:p>
        </w:tc>
        <w:tc>
          <w:tcPr>
            <w:tcW w:w="4127" w:type="dxa"/>
          </w:tcPr>
          <w:p w14:paraId="18BEA8A8" w14:textId="3E376F3E" w:rsidR="001E33DB" w:rsidRPr="001E33DB" w:rsidRDefault="001E33DB" w:rsidP="001E33DB">
            <w:pPr>
              <w:spacing w:line="360" w:lineRule="auto"/>
              <w:jc w:val="both"/>
              <w:rPr>
                <w:sz w:val="24"/>
                <w:szCs w:val="24"/>
              </w:rPr>
            </w:pPr>
            <w:r w:rsidRPr="001E33DB">
              <w:rPr>
                <w:sz w:val="24"/>
                <w:szCs w:val="24"/>
              </w:rPr>
              <w:t>28.955175</w:t>
            </w:r>
          </w:p>
        </w:tc>
      </w:tr>
      <w:tr w:rsidR="001E33DB" w14:paraId="2BF530DE" w14:textId="77777777" w:rsidTr="001E33DB">
        <w:trPr>
          <w:trHeight w:val="326"/>
          <w:jc w:val="center"/>
        </w:trPr>
        <w:tc>
          <w:tcPr>
            <w:tcW w:w="4127" w:type="dxa"/>
          </w:tcPr>
          <w:p w14:paraId="1E91D843" w14:textId="6FB37FE7" w:rsidR="001E33DB" w:rsidRPr="001E33DB" w:rsidRDefault="001E33DB" w:rsidP="001E33DB">
            <w:pPr>
              <w:spacing w:line="360" w:lineRule="auto"/>
              <w:jc w:val="both"/>
              <w:rPr>
                <w:sz w:val="24"/>
                <w:szCs w:val="24"/>
              </w:rPr>
            </w:pPr>
            <w:r w:rsidRPr="001E33DB">
              <w:rPr>
                <w:sz w:val="24"/>
                <w:szCs w:val="24"/>
              </w:rPr>
              <w:t>Min</w:t>
            </w:r>
          </w:p>
        </w:tc>
        <w:tc>
          <w:tcPr>
            <w:tcW w:w="4127" w:type="dxa"/>
          </w:tcPr>
          <w:p w14:paraId="5C2253C9" w14:textId="543EADB7" w:rsidR="001E33DB" w:rsidRPr="001E33DB" w:rsidRDefault="001E33DB" w:rsidP="001E33DB">
            <w:pPr>
              <w:spacing w:line="360" w:lineRule="auto"/>
              <w:jc w:val="both"/>
              <w:rPr>
                <w:sz w:val="24"/>
                <w:szCs w:val="24"/>
              </w:rPr>
            </w:pPr>
            <w:r w:rsidRPr="001E33DB">
              <w:rPr>
                <w:sz w:val="24"/>
                <w:szCs w:val="24"/>
              </w:rPr>
              <w:t>1</w:t>
            </w:r>
          </w:p>
        </w:tc>
      </w:tr>
      <w:tr w:rsidR="001E33DB" w14:paraId="31D9D8ED" w14:textId="77777777" w:rsidTr="001E33DB">
        <w:trPr>
          <w:trHeight w:val="317"/>
          <w:jc w:val="center"/>
        </w:trPr>
        <w:tc>
          <w:tcPr>
            <w:tcW w:w="4127" w:type="dxa"/>
          </w:tcPr>
          <w:p w14:paraId="78608F3C" w14:textId="039B156F" w:rsidR="001E33DB" w:rsidRPr="001E33DB" w:rsidRDefault="001E33DB" w:rsidP="001E33DB">
            <w:pPr>
              <w:spacing w:line="360" w:lineRule="auto"/>
              <w:jc w:val="both"/>
              <w:rPr>
                <w:sz w:val="24"/>
                <w:szCs w:val="24"/>
              </w:rPr>
            </w:pPr>
            <w:r w:rsidRPr="001E33DB">
              <w:rPr>
                <w:sz w:val="24"/>
                <w:szCs w:val="24"/>
              </w:rPr>
              <w:t>25%</w:t>
            </w:r>
          </w:p>
        </w:tc>
        <w:tc>
          <w:tcPr>
            <w:tcW w:w="4127" w:type="dxa"/>
          </w:tcPr>
          <w:p w14:paraId="2B63E1CA" w14:textId="6F91EF88" w:rsidR="001E33DB" w:rsidRPr="001E33DB" w:rsidRDefault="001E33DB" w:rsidP="001E33DB">
            <w:pPr>
              <w:spacing w:line="360" w:lineRule="auto"/>
              <w:jc w:val="both"/>
              <w:rPr>
                <w:sz w:val="24"/>
                <w:szCs w:val="24"/>
              </w:rPr>
            </w:pPr>
            <w:r w:rsidRPr="001E33DB">
              <w:rPr>
                <w:sz w:val="24"/>
                <w:szCs w:val="24"/>
              </w:rPr>
              <w:t>26</w:t>
            </w:r>
          </w:p>
        </w:tc>
      </w:tr>
      <w:tr w:rsidR="001E33DB" w14:paraId="02931C78" w14:textId="77777777" w:rsidTr="001E33DB">
        <w:trPr>
          <w:trHeight w:val="326"/>
          <w:jc w:val="center"/>
        </w:trPr>
        <w:tc>
          <w:tcPr>
            <w:tcW w:w="4127" w:type="dxa"/>
          </w:tcPr>
          <w:p w14:paraId="37F131E4" w14:textId="4C9F14B0" w:rsidR="001E33DB" w:rsidRPr="001E33DB" w:rsidRDefault="001E33DB" w:rsidP="001E33DB">
            <w:pPr>
              <w:spacing w:line="360" w:lineRule="auto"/>
              <w:jc w:val="both"/>
              <w:rPr>
                <w:sz w:val="24"/>
                <w:szCs w:val="24"/>
              </w:rPr>
            </w:pPr>
            <w:r w:rsidRPr="001E33DB">
              <w:rPr>
                <w:sz w:val="24"/>
                <w:szCs w:val="24"/>
              </w:rPr>
              <w:t>50% (Median)</w:t>
            </w:r>
          </w:p>
        </w:tc>
        <w:tc>
          <w:tcPr>
            <w:tcW w:w="4127" w:type="dxa"/>
          </w:tcPr>
          <w:p w14:paraId="3B13D304" w14:textId="0DE98D84" w:rsidR="001E33DB" w:rsidRPr="001E33DB" w:rsidRDefault="001E33DB" w:rsidP="001E33DB">
            <w:pPr>
              <w:spacing w:line="360" w:lineRule="auto"/>
              <w:jc w:val="both"/>
              <w:rPr>
                <w:sz w:val="24"/>
                <w:szCs w:val="24"/>
              </w:rPr>
            </w:pPr>
            <w:r w:rsidRPr="001E33DB">
              <w:rPr>
                <w:sz w:val="24"/>
                <w:szCs w:val="24"/>
              </w:rPr>
              <w:t>50</w:t>
            </w:r>
          </w:p>
        </w:tc>
      </w:tr>
      <w:tr w:rsidR="001E33DB" w14:paraId="5F0D83F2" w14:textId="77777777" w:rsidTr="001E33DB">
        <w:trPr>
          <w:trHeight w:val="326"/>
          <w:jc w:val="center"/>
        </w:trPr>
        <w:tc>
          <w:tcPr>
            <w:tcW w:w="4127" w:type="dxa"/>
          </w:tcPr>
          <w:p w14:paraId="60B7DD2A" w14:textId="53E6B1CE" w:rsidR="001E33DB" w:rsidRPr="001E33DB" w:rsidRDefault="001E33DB" w:rsidP="001E33DB">
            <w:pPr>
              <w:spacing w:line="360" w:lineRule="auto"/>
              <w:jc w:val="both"/>
              <w:rPr>
                <w:sz w:val="24"/>
                <w:szCs w:val="24"/>
              </w:rPr>
            </w:pPr>
            <w:r w:rsidRPr="001E33DB">
              <w:rPr>
                <w:sz w:val="24"/>
                <w:szCs w:val="24"/>
              </w:rPr>
              <w:t>75%</w:t>
            </w:r>
          </w:p>
        </w:tc>
        <w:tc>
          <w:tcPr>
            <w:tcW w:w="4127" w:type="dxa"/>
          </w:tcPr>
          <w:p w14:paraId="08AC8F99" w14:textId="54401629" w:rsidR="001E33DB" w:rsidRPr="001E33DB" w:rsidRDefault="001E33DB" w:rsidP="001E33DB">
            <w:pPr>
              <w:spacing w:line="360" w:lineRule="auto"/>
              <w:jc w:val="both"/>
              <w:rPr>
                <w:sz w:val="24"/>
                <w:szCs w:val="24"/>
              </w:rPr>
            </w:pPr>
            <w:r w:rsidRPr="001E33DB">
              <w:rPr>
                <w:sz w:val="24"/>
                <w:szCs w:val="24"/>
              </w:rPr>
              <w:t>76</w:t>
            </w:r>
          </w:p>
        </w:tc>
      </w:tr>
      <w:tr w:rsidR="001E33DB" w14:paraId="44627C4C" w14:textId="77777777" w:rsidTr="001E33DB">
        <w:trPr>
          <w:trHeight w:val="317"/>
          <w:jc w:val="center"/>
        </w:trPr>
        <w:tc>
          <w:tcPr>
            <w:tcW w:w="4127" w:type="dxa"/>
          </w:tcPr>
          <w:p w14:paraId="248BD0EE" w14:textId="399EF312" w:rsidR="001E33DB" w:rsidRPr="001E33DB" w:rsidRDefault="001E33DB" w:rsidP="001E33DB">
            <w:pPr>
              <w:spacing w:line="360" w:lineRule="auto"/>
              <w:jc w:val="both"/>
              <w:rPr>
                <w:sz w:val="24"/>
                <w:szCs w:val="24"/>
              </w:rPr>
            </w:pPr>
            <w:r w:rsidRPr="001E33DB">
              <w:rPr>
                <w:sz w:val="24"/>
                <w:szCs w:val="24"/>
              </w:rPr>
              <w:t>Max</w:t>
            </w:r>
          </w:p>
        </w:tc>
        <w:tc>
          <w:tcPr>
            <w:tcW w:w="4127" w:type="dxa"/>
          </w:tcPr>
          <w:p w14:paraId="22DAF129" w14:textId="21DFBAA7" w:rsidR="001E33DB" w:rsidRPr="001E33DB" w:rsidRDefault="001E33DB" w:rsidP="001E33DB">
            <w:pPr>
              <w:spacing w:line="360" w:lineRule="auto"/>
              <w:jc w:val="both"/>
              <w:rPr>
                <w:sz w:val="24"/>
                <w:szCs w:val="24"/>
              </w:rPr>
            </w:pPr>
            <w:r w:rsidRPr="001E33DB">
              <w:rPr>
                <w:sz w:val="24"/>
                <w:szCs w:val="24"/>
              </w:rPr>
              <w:t>100</w:t>
            </w:r>
          </w:p>
        </w:tc>
      </w:tr>
    </w:tbl>
    <w:p w14:paraId="42D5F6DB" w14:textId="77777777" w:rsidR="00DC2316" w:rsidRPr="00DC2316" w:rsidRDefault="00DC2316" w:rsidP="00DC2316">
      <w:pPr>
        <w:spacing w:line="360" w:lineRule="auto"/>
        <w:jc w:val="both"/>
        <w:rPr>
          <w:sz w:val="24"/>
          <w:szCs w:val="24"/>
        </w:rPr>
      </w:pPr>
    </w:p>
    <w:p w14:paraId="2498E655" w14:textId="31936446" w:rsidR="00DC2316" w:rsidRDefault="001E33DB" w:rsidP="00DC2316">
      <w:pPr>
        <w:spacing w:line="360" w:lineRule="auto"/>
        <w:jc w:val="both"/>
        <w:rPr>
          <w:sz w:val="24"/>
          <w:szCs w:val="24"/>
        </w:rPr>
      </w:pPr>
      <w:r>
        <w:rPr>
          <w:sz w:val="24"/>
          <w:szCs w:val="24"/>
        </w:rPr>
        <w:t>T</w:t>
      </w:r>
      <w:r w:rsidR="00DC2316" w:rsidRPr="00DC2316">
        <w:rPr>
          <w:sz w:val="24"/>
          <w:szCs w:val="24"/>
        </w:rPr>
        <w:t>he scatter plot built around the functionality of age and spending score</w:t>
      </w:r>
      <w:r>
        <w:rPr>
          <w:sz w:val="24"/>
          <w:szCs w:val="24"/>
        </w:rPr>
        <w:t xml:space="preserve"> illustrate</w:t>
      </w:r>
      <w:r w:rsidR="00DC2316" w:rsidRPr="00DC2316">
        <w:rPr>
          <w:sz w:val="24"/>
          <w:szCs w:val="24"/>
        </w:rPr>
        <w:t xml:space="preserve"> </w:t>
      </w:r>
      <w:r>
        <w:rPr>
          <w:sz w:val="24"/>
          <w:szCs w:val="24"/>
        </w:rPr>
        <w:t>t</w:t>
      </w:r>
      <w:r w:rsidR="00DC2316" w:rsidRPr="00DC2316">
        <w:rPr>
          <w:sz w:val="24"/>
          <w:szCs w:val="24"/>
        </w:rPr>
        <w:t>here is no clear correlation in this dataset between the age and spending score, which indicate that those two are most likely independent to each other. Whilst age and gender didn’t have such a strong determiner, but as data points were scattered randomly, it becomes very obvious.</w:t>
      </w:r>
    </w:p>
    <w:p w14:paraId="7F66481E" w14:textId="779BD5C7" w:rsidR="001E33DB" w:rsidRPr="00DC2316" w:rsidRDefault="001E33DB" w:rsidP="001E33DB">
      <w:pPr>
        <w:spacing w:line="360" w:lineRule="auto"/>
        <w:jc w:val="center"/>
        <w:rPr>
          <w:sz w:val="24"/>
          <w:szCs w:val="24"/>
        </w:rPr>
      </w:pPr>
      <w:r w:rsidRPr="001E33DB">
        <w:rPr>
          <w:sz w:val="24"/>
          <w:szCs w:val="24"/>
        </w:rPr>
        <w:drawing>
          <wp:inline distT="0" distB="0" distL="0" distR="0" wp14:anchorId="30651C32" wp14:editId="4D47DBAC">
            <wp:extent cx="4961467" cy="1848045"/>
            <wp:effectExtent l="0" t="0" r="0" b="0"/>
            <wp:docPr id="72372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29786" name=""/>
                    <pic:cNvPicPr/>
                  </pic:nvPicPr>
                  <pic:blipFill>
                    <a:blip r:embed="rId5"/>
                    <a:stretch>
                      <a:fillRect/>
                    </a:stretch>
                  </pic:blipFill>
                  <pic:spPr>
                    <a:xfrm>
                      <a:off x="0" y="0"/>
                      <a:ext cx="4971584" cy="1851813"/>
                    </a:xfrm>
                    <a:prstGeom prst="rect">
                      <a:avLst/>
                    </a:prstGeom>
                  </pic:spPr>
                </pic:pic>
              </a:graphicData>
            </a:graphic>
          </wp:inline>
        </w:drawing>
      </w:r>
    </w:p>
    <w:p w14:paraId="18C921B9" w14:textId="4A0AD7D2" w:rsidR="00DC2316" w:rsidRDefault="00DC2316" w:rsidP="00DC2316">
      <w:pPr>
        <w:spacing w:line="360" w:lineRule="auto"/>
        <w:jc w:val="both"/>
        <w:rPr>
          <w:sz w:val="24"/>
          <w:szCs w:val="24"/>
        </w:rPr>
      </w:pPr>
      <w:r w:rsidRPr="00DC2316">
        <w:rPr>
          <w:sz w:val="24"/>
          <w:szCs w:val="24"/>
        </w:rPr>
        <w:t xml:space="preserve">On the other hand, density plot depicts spending patterns by different categories in more detailed manner. The Female category displays the Higher density lower spending scores, the spending score in dataset women are spend less than others genders, who have peak at higher spending scores. On the other </w:t>
      </w:r>
      <w:r w:rsidRPr="00DC2316">
        <w:rPr>
          <w:sz w:val="24"/>
          <w:szCs w:val="24"/>
        </w:rPr>
        <w:t>hand,</w:t>
      </w:r>
      <w:r w:rsidRPr="00DC2316">
        <w:rPr>
          <w:sz w:val="24"/>
          <w:szCs w:val="24"/>
        </w:rPr>
        <w:t xml:space="preserve"> however, the Male category shows a more uniform </w:t>
      </w:r>
      <w:r w:rsidRPr="00DC2316">
        <w:rPr>
          <w:sz w:val="24"/>
          <w:szCs w:val="24"/>
        </w:rPr>
        <w:lastRenderedPageBreak/>
        <w:t>distribution, which suggests their spending behaviour more consistent in most of all. In addition to the general impact of gender on spending, it is apparent from the "Other" gender category that a small set of differences do exist, but the effects are far smaller than other factors.</w:t>
      </w:r>
    </w:p>
    <w:p w14:paraId="76E2D4F0" w14:textId="74904295" w:rsidR="001E33DB" w:rsidRPr="00DC2316" w:rsidRDefault="001E33DB" w:rsidP="001E33DB">
      <w:pPr>
        <w:spacing w:line="360" w:lineRule="auto"/>
        <w:jc w:val="center"/>
        <w:rPr>
          <w:sz w:val="24"/>
          <w:szCs w:val="24"/>
        </w:rPr>
      </w:pPr>
      <w:r w:rsidRPr="001E33DB">
        <w:rPr>
          <w:sz w:val="24"/>
          <w:szCs w:val="24"/>
        </w:rPr>
        <w:drawing>
          <wp:inline distT="0" distB="0" distL="0" distR="0" wp14:anchorId="5D573920" wp14:editId="3DBF971B">
            <wp:extent cx="5266267" cy="1947574"/>
            <wp:effectExtent l="0" t="0" r="0" b="0"/>
            <wp:docPr id="122675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54733" name=""/>
                    <pic:cNvPicPr/>
                  </pic:nvPicPr>
                  <pic:blipFill>
                    <a:blip r:embed="rId6"/>
                    <a:stretch>
                      <a:fillRect/>
                    </a:stretch>
                  </pic:blipFill>
                  <pic:spPr>
                    <a:xfrm>
                      <a:off x="0" y="0"/>
                      <a:ext cx="5275858" cy="1951121"/>
                    </a:xfrm>
                    <a:prstGeom prst="rect">
                      <a:avLst/>
                    </a:prstGeom>
                  </pic:spPr>
                </pic:pic>
              </a:graphicData>
            </a:graphic>
          </wp:inline>
        </w:drawing>
      </w:r>
    </w:p>
    <w:p w14:paraId="672F72FA" w14:textId="0E25ADB8" w:rsidR="00DC2316" w:rsidRPr="00DC2316" w:rsidRDefault="00DC2316" w:rsidP="00DC2316">
      <w:pPr>
        <w:spacing w:line="360" w:lineRule="auto"/>
        <w:jc w:val="both"/>
        <w:rPr>
          <w:sz w:val="24"/>
          <w:szCs w:val="24"/>
        </w:rPr>
      </w:pPr>
      <w:r w:rsidRPr="00DC2316">
        <w:rPr>
          <w:sz w:val="24"/>
          <w:szCs w:val="24"/>
        </w:rPr>
        <w:t xml:space="preserve">More insights can be gained about income and purchase frequency with the use of box plots. Analysis shows that purchase frequency also differs much by little (median ≈ 30) indicating that men, women and other gender groups actually visit the stores at similar rates. The variation is very slight due to income. The median income of females in the dataset is close to about 90,000 USD, or higher than the median income of men and those identifying as other genders. </w:t>
      </w:r>
    </w:p>
    <w:p w14:paraId="74328A06" w14:textId="33BE3B86" w:rsidR="00DC2316" w:rsidRPr="00DC2316" w:rsidRDefault="001E33DB" w:rsidP="001E33DB">
      <w:pPr>
        <w:spacing w:line="360" w:lineRule="auto"/>
        <w:jc w:val="center"/>
        <w:rPr>
          <w:sz w:val="24"/>
          <w:szCs w:val="24"/>
        </w:rPr>
      </w:pPr>
      <w:r w:rsidRPr="001E33DB">
        <w:rPr>
          <w:sz w:val="24"/>
          <w:szCs w:val="24"/>
        </w:rPr>
        <w:drawing>
          <wp:inline distT="0" distB="0" distL="0" distR="0" wp14:anchorId="23FE60AB" wp14:editId="4CA0E6BA">
            <wp:extent cx="4512733" cy="2681341"/>
            <wp:effectExtent l="0" t="0" r="2540" b="5080"/>
            <wp:docPr id="170570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06931" name=""/>
                    <pic:cNvPicPr/>
                  </pic:nvPicPr>
                  <pic:blipFill>
                    <a:blip r:embed="rId7"/>
                    <a:stretch>
                      <a:fillRect/>
                    </a:stretch>
                  </pic:blipFill>
                  <pic:spPr>
                    <a:xfrm>
                      <a:off x="0" y="0"/>
                      <a:ext cx="4519870" cy="2685582"/>
                    </a:xfrm>
                    <a:prstGeom prst="rect">
                      <a:avLst/>
                    </a:prstGeom>
                  </pic:spPr>
                </pic:pic>
              </a:graphicData>
            </a:graphic>
          </wp:inline>
        </w:drawing>
      </w:r>
    </w:p>
    <w:p w14:paraId="3FCC5383" w14:textId="56E50D2A" w:rsidR="00070DD4" w:rsidRPr="00DC2316" w:rsidRDefault="00DC2316" w:rsidP="00070DD4">
      <w:pPr>
        <w:spacing w:line="360" w:lineRule="auto"/>
        <w:jc w:val="both"/>
        <w:rPr>
          <w:sz w:val="24"/>
          <w:szCs w:val="24"/>
        </w:rPr>
      </w:pPr>
      <w:r w:rsidRPr="00DC2316">
        <w:rPr>
          <w:sz w:val="24"/>
          <w:szCs w:val="24"/>
        </w:rPr>
        <w:t xml:space="preserve">Lastly, the 2d histogram showing the relation of income and purchase frequency reveals some interesting trend. It appears to have a fairly high concentration of customers in the </w:t>
      </w:r>
      <w:r w:rsidRPr="00DC2316">
        <w:rPr>
          <w:sz w:val="24"/>
          <w:szCs w:val="24"/>
        </w:rPr>
        <w:t>middle-income</w:t>
      </w:r>
      <w:r w:rsidRPr="00DC2316">
        <w:rPr>
          <w:sz w:val="24"/>
          <w:szCs w:val="24"/>
        </w:rPr>
        <w:t xml:space="preserve"> bracket who do tend to shop more often, however the higher incomes do not directly </w:t>
      </w:r>
      <w:r w:rsidRPr="00DC2316">
        <w:rPr>
          <w:sz w:val="24"/>
          <w:szCs w:val="24"/>
        </w:rPr>
        <w:lastRenderedPageBreak/>
        <w:t xml:space="preserve">correlate with a higher purchase frequency. It means income cannot solely determine how often the person will shop, and also there are various consumer segments with diverging spending </w:t>
      </w:r>
      <w:r w:rsidRPr="00DC2316">
        <w:rPr>
          <w:sz w:val="24"/>
          <w:szCs w:val="24"/>
        </w:rPr>
        <w:t>behaviours</w:t>
      </w:r>
      <w:r w:rsidRPr="00DC2316">
        <w:rPr>
          <w:sz w:val="24"/>
          <w:szCs w:val="24"/>
        </w:rPr>
        <w:t xml:space="preserve"> that regardless of the income level will exist.</w:t>
      </w:r>
    </w:p>
    <w:sectPr w:rsidR="00070DD4" w:rsidRPr="00DC2316" w:rsidSect="008662ED">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2MTMyMTYxMTY0MDZS0lEKTi0uzszPAykwrAUAfT4QliwAAAA="/>
  </w:docVars>
  <w:rsids>
    <w:rsidRoot w:val="00070DD4"/>
    <w:rsid w:val="00070DD4"/>
    <w:rsid w:val="001E33DB"/>
    <w:rsid w:val="00233715"/>
    <w:rsid w:val="006C1C37"/>
    <w:rsid w:val="006F59F2"/>
    <w:rsid w:val="008662ED"/>
    <w:rsid w:val="00A919EF"/>
    <w:rsid w:val="00B10FB2"/>
    <w:rsid w:val="00DC2316"/>
    <w:rsid w:val="00DE6F20"/>
    <w:rsid w:val="00EC3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9A80"/>
  <w15:chartTrackingRefBased/>
  <w15:docId w15:val="{5E110A6C-416B-4F04-AB6C-8C1B051E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D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0D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0D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0D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0D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0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D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0D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0D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0D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0D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0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DD4"/>
    <w:rPr>
      <w:rFonts w:eastAsiaTheme="majorEastAsia" w:cstheme="majorBidi"/>
      <w:color w:val="272727" w:themeColor="text1" w:themeTint="D8"/>
    </w:rPr>
  </w:style>
  <w:style w:type="paragraph" w:styleId="Title">
    <w:name w:val="Title"/>
    <w:basedOn w:val="Normal"/>
    <w:next w:val="Normal"/>
    <w:link w:val="TitleChar"/>
    <w:uiPriority w:val="10"/>
    <w:qFormat/>
    <w:rsid w:val="00070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DD4"/>
    <w:pPr>
      <w:spacing w:before="160"/>
      <w:jc w:val="center"/>
    </w:pPr>
    <w:rPr>
      <w:i/>
      <w:iCs/>
      <w:color w:val="404040" w:themeColor="text1" w:themeTint="BF"/>
    </w:rPr>
  </w:style>
  <w:style w:type="character" w:customStyle="1" w:styleId="QuoteChar">
    <w:name w:val="Quote Char"/>
    <w:basedOn w:val="DefaultParagraphFont"/>
    <w:link w:val="Quote"/>
    <w:uiPriority w:val="29"/>
    <w:rsid w:val="00070DD4"/>
    <w:rPr>
      <w:i/>
      <w:iCs/>
      <w:color w:val="404040" w:themeColor="text1" w:themeTint="BF"/>
    </w:rPr>
  </w:style>
  <w:style w:type="paragraph" w:styleId="ListParagraph">
    <w:name w:val="List Paragraph"/>
    <w:basedOn w:val="Normal"/>
    <w:uiPriority w:val="34"/>
    <w:qFormat/>
    <w:rsid w:val="00070DD4"/>
    <w:pPr>
      <w:ind w:left="720"/>
      <w:contextualSpacing/>
    </w:pPr>
  </w:style>
  <w:style w:type="character" w:styleId="IntenseEmphasis">
    <w:name w:val="Intense Emphasis"/>
    <w:basedOn w:val="DefaultParagraphFont"/>
    <w:uiPriority w:val="21"/>
    <w:qFormat/>
    <w:rsid w:val="00070DD4"/>
    <w:rPr>
      <w:i/>
      <w:iCs/>
      <w:color w:val="2F5496" w:themeColor="accent1" w:themeShade="BF"/>
    </w:rPr>
  </w:style>
  <w:style w:type="paragraph" w:styleId="IntenseQuote">
    <w:name w:val="Intense Quote"/>
    <w:basedOn w:val="Normal"/>
    <w:next w:val="Normal"/>
    <w:link w:val="IntenseQuoteChar"/>
    <w:uiPriority w:val="30"/>
    <w:qFormat/>
    <w:rsid w:val="00070D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0DD4"/>
    <w:rPr>
      <w:i/>
      <w:iCs/>
      <w:color w:val="2F5496" w:themeColor="accent1" w:themeShade="BF"/>
    </w:rPr>
  </w:style>
  <w:style w:type="character" w:styleId="IntenseReference">
    <w:name w:val="Intense Reference"/>
    <w:basedOn w:val="DefaultParagraphFont"/>
    <w:uiPriority w:val="32"/>
    <w:qFormat/>
    <w:rsid w:val="00070DD4"/>
    <w:rPr>
      <w:b/>
      <w:bCs/>
      <w:smallCaps/>
      <w:color w:val="2F5496" w:themeColor="accent1" w:themeShade="BF"/>
      <w:spacing w:val="5"/>
    </w:rPr>
  </w:style>
  <w:style w:type="table" w:styleId="TableGrid">
    <w:name w:val="Table Grid"/>
    <w:basedOn w:val="TableNormal"/>
    <w:uiPriority w:val="39"/>
    <w:rsid w:val="001E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33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Krishna Chaitanya Reddy Patlolla [Student-PECS]</cp:lastModifiedBy>
  <cp:revision>3</cp:revision>
  <dcterms:created xsi:type="dcterms:W3CDTF">2025-04-28T20:37:00Z</dcterms:created>
  <dcterms:modified xsi:type="dcterms:W3CDTF">2025-04-28T21:10:00Z</dcterms:modified>
</cp:coreProperties>
</file>