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6"/>
        </w:pBdr>
        <w:spacing w:after="60"/>
      </w:pPr>
      <w:r>
        <w:rPr>
          <w:rFonts w:ascii="Calibri" w:cs="Calibri" w:eastAsia="Calibri" w:hAnsi="Calibri"/>
          <w:b/>
          <w:bCs/>
          <w:i w:val="false"/>
          <w:iCs w:val="false"/>
          <w:color w:val="1F3864"/>
          <w:sz w:val="40"/>
          <w:szCs w:val="40"/>
        </w:rPr>
        <w:t xml:space="preserve">Results — Corrected Decision Thresholds</w:t>
      </w:r>
    </w:p>
    <w:p>
      <w:pPr>
        <w:spacing w:after="240"/>
      </w:pPr>
      <w:r>
        <w:rPr>
          <w:rFonts w:ascii="Calibri" w:cs="Calibri" w:eastAsia="Calibri" w:hAnsi="Calibri"/>
          <w:b w:val="false"/>
          <w:bCs w:val="false"/>
          <w:i/>
          <w:iCs/>
          <w:color w:val="595959"/>
          <w:sz w:val="18"/>
          <w:szCs w:val="18"/>
        </w:rPr>
        <w:t xml:space="preserve">External-validation results recomputed with the corrected operating point. Every value is read from corrected_ev_paip.csv, corrected_ev_surgen.csv and corrected_ev_summary.csv. These tables replace the operating-point results of the PAIP-EV and SurGen-EV sections; the frozen-threshold column is retained alongside so the two are directly comparable. Best row in each table (by corrected balanced accuracy) is bold.</w:t>
      </w:r>
    </w:p>
    <w:p>
      <w:pPr>
        <w:pStyle w:val="Heading1"/>
        <w:spacing w:after="160" w:before="0"/>
      </w:pPr>
      <w:r>
        <w:rPr>
          <w:rFonts w:ascii="Calibri" w:cs="Calibri" w:eastAsia="Calibri" w:hAnsi="Calibri"/>
          <w:b/>
          <w:bCs/>
          <w:i w:val="false"/>
          <w:iCs w:val="false"/>
          <w:color w:val="1F3864"/>
          <w:sz w:val="28"/>
          <w:szCs w:val="28"/>
        </w:rPr>
        <w:t xml:space="preserve">1  What the correction changes</w:t>
      </w:r>
    </w:p>
    <w:p>
      <w:pPr>
        <w:spacing w:after="120"/>
      </w:pPr>
      <w:r>
        <w:rPr>
          <w:rFonts w:ascii="Calibri" w:cs="Calibri" w:eastAsia="Calibri" w:hAnsi="Calibri"/>
          <w:b w:val="false"/>
          <w:bCs w:val="false"/>
          <w:i w:val="false"/>
          <w:iCs w:val="false"/>
          <w:color w:val="262626"/>
          <w:sz w:val="20"/>
          <w:szCs w:val="20"/>
        </w:rPr>
        <w:t xml:space="preserve">The frozen configuration selected k = 3 for KNN and applied a decision threshold τ fitted on TCGA out-of-fold predictions to the target cohort unchanged. Two independent failures followed. First, k = 3 admits only four distinct score values, so the ranking collapses and AUROC degenerates — in the worst case every slide receives the same score and AUROC is exactly 0.5000. Second, several classifiers rank well but produce compressed scores that fall entirely on one side of the frozen τ, so nothing is predicted positive and balanced accuracy pins at 0.5 regardless of how good the ranking is.</w:t>
      </w:r>
    </w:p>
    <w:p>
      <w:pPr>
        <w:spacing w:after="120"/>
      </w:pPr>
      <w:r>
        <w:rPr>
          <w:rFonts w:ascii="Calibri" w:cs="Calibri" w:eastAsia="Calibri" w:hAnsi="Calibri"/>
          <w:b w:val="false"/>
          <w:bCs w:val="false"/>
          <w:i w:val="false"/>
          <w:iCs w:val="false"/>
          <w:color w:val="262626"/>
          <w:sz w:val="20"/>
          <w:szCs w:val="20"/>
        </w:rPr>
        <w:t xml:space="preserve">The corrected configuration makes two changes, both selected on TCGA only. KNN uses k = 35 with uniform weights and τ refit at k = 35 on TCGA out-of-fold predictions. LR, ANN, ProtoNet and RF keep their scores unchanged and take a quantile (rate-matched) threshold, which places τ so that the predicted positive rate matches the TCGA training prevalence. Distance weighting was tested and rejected (+0.006). k = 35 is justified two ways, both TCGA-only: it gives the highest TCGA out-of-fold balanced accuracy (0.6971), and the prevalence rule 35 × 0.145 ≈ 5 gives roughly five expected positive neighbours. The original grid was capped at k = 15, which is why k = 3 kept being selected.</w:t>
      </w:r>
    </w:p>
    <w:p>
      <w:pPr>
        <w:spacing w:after="120"/>
      </w:pPr>
      <w:r>
        <w:rPr>
          <w:rFonts w:ascii="Calibri" w:cs="Calibri" w:eastAsia="Calibri" w:hAnsi="Calibri"/>
          <w:b w:val="false"/>
          <w:bCs w:val="false"/>
          <w:i w:val="false"/>
          <w:iCs w:val="false"/>
          <w:color w:val="262626"/>
          <w:sz w:val="20"/>
          <w:szCs w:val="20"/>
        </w:rPr>
        <w:t xml:space="preserve">Two consequences are worth stating explicitly, because they bound what these tables can and cannot show. AUROC is threshold-free, so for LR, ANN, ProtoNet and RF it is identical in both columns — 0 of the 160 non-KNN configurations show any change at all. Every AUROC gain in these tables comes from KNN, and from the change in k alone. And thresholds_TCGA.json (dated 08-04) was deliberately not regenerated, so the frozen baseline remains reproducible and the comparison stays clean.</w:t>
      </w:r>
    </w:p>
    <w:p>
      <w:pPr>
        <w:spacing w:after="120"/>
      </w:pPr>
      <w:r>
        <w:rPr>
          <w:rFonts w:ascii="Calibri" w:cs="Calibri" w:eastAsia="Calibri" w:hAnsi="Calibri"/>
          <w:b w:val="false"/>
          <w:bCs w:val="false"/>
          <w:i w:val="false"/>
          <w:iCs w:val="false"/>
          <w:color w:val="262626"/>
          <w:sz w:val="20"/>
          <w:szCs w:val="20"/>
        </w:rPr>
        <w:t xml:space="preserve">The correction clears every degenerate configuration. Under the frozen threshold 38 of 200 configurations were flagged as non-viable (23 dead, 13 near-dead, 1 saturated, 1 near-saturated). Under the corrected threshold 200 of 200 are viable and none remains flagged. No configuration sits at AUROC or balanced accuracy of exactly 0.5, and no configuration predicts a single class across the whole cohort.</w:t>
      </w:r>
    </w:p>
    <w:p>
      <w:pPr>
        <w:spacing w:after="120"/>
      </w:pPr>
      <w:r>
        <w:rPr>
          <w:rFonts w:ascii="Calibri" w:cs="Calibri" w:eastAsia="Calibri" w:hAnsi="Calibri"/>
          <w:b w:val="false"/>
          <w:bCs w:val="false"/>
          <w:i w:val="false"/>
          <w:iCs w:val="false"/>
          <w:color w:val="262626"/>
          <w:sz w:val="20"/>
          <w:szCs w:val="20"/>
        </w:rPr>
        <w:t xml:space="preserve">PAIP-IV and SurGen-CV are internal experiments — the threshold is fitted on their own data or fixed at 0.5 — so the corrected mode does not apply to them and their numbers are unchanged.</w:t>
      </w:r>
    </w:p>
    <w:p>
      <w:pPr>
        <w:pStyle w:val="Heading2"/>
        <w:keepNext/>
        <w:spacing w:after="80" w:before="280"/>
      </w:pPr>
      <w:r>
        <w:rPr>
          <w:rFonts w:ascii="Calibri" w:cs="Calibri" w:eastAsia="Calibri" w:hAnsi="Calibri"/>
          <w:b/>
          <w:bCs/>
          <w:i w:val="false"/>
          <w:iCs w:val="false"/>
          <w:color w:val="2F5496"/>
          <w:sz w:val="23"/>
          <w:szCs w:val="23"/>
        </w:rPr>
        <w:t xml:space="preserve">1.1  Correction summary by cohort and classifier</w:t>
      </w:r>
    </w:p>
    <w:p>
      <w:pPr>
        <w:keepNext/>
        <w:spacing w:after="100" w:before="60"/>
      </w:pPr>
      <w:r>
        <w:rPr>
          <w:rFonts w:ascii="Calibri" w:cs="Calibri" w:eastAsia="Calibri" w:hAnsi="Calibri"/>
          <w:b w:val="false"/>
          <w:bCs w:val="false"/>
          <w:i/>
          <w:iCs/>
          <w:color w:val="595959"/>
          <w:sz w:val="18"/>
          <w:szCs w:val="18"/>
        </w:rPr>
        <w:t xml:space="preserve">Aggregate over all four aggregation strategies × five foundation models. BalAcc oracle is the best balanced accuracy achievable on the target cohort by sweeping τ post hoc; it is not attainable without target labels and is shown only to bound the remaining headroom.</w:t>
      </w:r>
    </w:p>
    <w:tbl>
      <w:tblPr>
        <w:tblW w:type="dxa" w:w="986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700"/>
        <w:gridCol w:w="1150"/>
        <w:gridCol w:w="1150"/>
        <w:gridCol w:w="1150"/>
        <w:gridCol w:w="1150"/>
        <w:gridCol w:w="1150"/>
        <w:gridCol w:w="1010"/>
      </w:tblGrid>
      <w:tr>
        <w:trPr>
          <w:cantSplit/>
          <w:tblHeader/>
        </w:trPr>
        <w:tc>
          <w:tcPr>
            <w:tcW w:type="dxa" w:w="13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Cohort</w:t>
            </w:r>
          </w:p>
        </w:tc>
        <w:tc>
          <w:tcPr>
            <w:tcW w:type="dxa" w:w="11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Classifier</w:t>
            </w:r>
          </w:p>
        </w:tc>
        <w:tc>
          <w:tcPr>
            <w:tcW w:type="dxa" w:w="7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N</w:t>
            </w:r>
          </w:p>
        </w:tc>
        <w:tc>
          <w:tcPr>
            <w:tcW w:type="dxa" w:w="115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frozen</w:t>
            </w:r>
          </w:p>
        </w:tc>
        <w:tc>
          <w:tcPr>
            <w:tcW w:type="dxa" w:w="115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corr.</w:t>
            </w:r>
          </w:p>
        </w:tc>
        <w:tc>
          <w:tcPr>
            <w:tcW w:type="dxa" w:w="115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frozen</w:t>
            </w:r>
          </w:p>
        </w:tc>
        <w:tc>
          <w:tcPr>
            <w:tcW w:type="dxa" w:w="115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corr.</w:t>
            </w:r>
          </w:p>
        </w:tc>
        <w:tc>
          <w:tcPr>
            <w:tcW w:type="dxa" w:w="115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oracle</w:t>
            </w:r>
          </w:p>
        </w:tc>
        <w:tc>
          <w:tcPr>
            <w:tcW w:type="dxa" w:w="101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Δ BalAcc</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11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7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20</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0.8643</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0.8643</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0.7553</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0.8139</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0.8536</w:t>
            </w:r>
          </w:p>
        </w:tc>
        <w:tc>
          <w:tcPr>
            <w:tcW w:type="dxa" w:w="101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+0.0586</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11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7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20</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0.6110</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0.8114</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0.5959</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0.7029</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0.7697</w:t>
            </w:r>
          </w:p>
        </w:tc>
        <w:tc>
          <w:tcPr>
            <w:tcW w:type="dxa" w:w="101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+0.1070</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11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7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20</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0.8717</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0.8717</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0.7431</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0.7890</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0.8428</w:t>
            </w:r>
          </w:p>
        </w:tc>
        <w:tc>
          <w:tcPr>
            <w:tcW w:type="dxa" w:w="101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+0.0459</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11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7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20</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0.8502</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0.8502</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0.7273</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0.7940</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0.8274</w:t>
            </w:r>
          </w:p>
        </w:tc>
        <w:tc>
          <w:tcPr>
            <w:tcW w:type="dxa" w:w="101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+0.0667</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11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7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20</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0.8359</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0.8359</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0.6609</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0.7724</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0.8190</w:t>
            </w:r>
          </w:p>
        </w:tc>
        <w:tc>
          <w:tcPr>
            <w:tcW w:type="dxa" w:w="101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+0.1115</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11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7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20</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0.7363</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0.7363</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0.5886</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0.6720</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0.6994</w:t>
            </w:r>
          </w:p>
        </w:tc>
        <w:tc>
          <w:tcPr>
            <w:tcW w:type="dxa" w:w="101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+0.0834</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11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7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20</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0.5893</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0.6533</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0.5653</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0.5708</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0.6211</w:t>
            </w:r>
          </w:p>
        </w:tc>
        <w:tc>
          <w:tcPr>
            <w:tcW w:type="dxa" w:w="101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+0.0055</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11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7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20</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0.7089</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0.7089</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0.5944</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0.6493</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0.6837</w:t>
            </w:r>
          </w:p>
        </w:tc>
        <w:tc>
          <w:tcPr>
            <w:tcW w:type="dxa" w:w="101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+0.0549</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11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7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20</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0.7094</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0.7094</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0.5227</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0.6525</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0.6779</w:t>
            </w:r>
          </w:p>
        </w:tc>
        <w:tc>
          <w:tcPr>
            <w:tcW w:type="dxa" w:w="101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+0.1298</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11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7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20</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0.7026</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0.7026</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0.5618</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0.6418</w:t>
            </w:r>
          </w:p>
        </w:tc>
        <w:tc>
          <w:tcPr>
            <w:tcW w:type="dxa" w:w="11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0.6694</w:t>
            </w:r>
          </w:p>
        </w:tc>
        <w:tc>
          <w:tcPr>
            <w:tcW w:type="dxa" w:w="101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+0.0800</w:t>
            </w:r>
          </w:p>
        </w:tc>
      </w:tr>
    </w:tbl>
    <w:p>
      <w:pPr>
        <w:spacing w:after="120"/>
      </w:pPr>
      <w:r>
        <w:rPr>
          <w:rFonts w:ascii="Calibri" w:cs="Calibri" w:eastAsia="Calibri" w:hAnsi="Calibri"/>
          <w:b w:val="false"/>
          <w:bCs w:val="false"/>
          <w:i w:val="false"/>
          <w:iCs w:val="false"/>
          <w:color w:val="262626"/>
          <w:sz w:val="20"/>
          <w:szCs w:val="20"/>
        </w:rPr>
        <w:t xml:space="preserve"/>
      </w:r>
    </w:p>
    <w:p>
      <w:pPr>
        <w:spacing w:after="120"/>
      </w:pPr>
      <w:r>
        <w:rPr>
          <w:rFonts w:ascii="Calibri" w:cs="Calibri" w:eastAsia="Calibri" w:hAnsi="Calibri"/>
          <w:b w:val="false"/>
          <w:bCs w:val="false"/>
          <w:i w:val="false"/>
          <w:iCs w:val="false"/>
          <w:color w:val="262626"/>
          <w:sz w:val="20"/>
          <w:szCs w:val="20"/>
        </w:rPr>
        <w:t xml:space="preserve">Balanced accuracy improves for every cohort × classifier pair. The largest gains are exactly where the diagnosis predicted them: RF on PAIP-EV (+0.1115, from 0.6609 to 0.7724) and ProtoNet on SurGen-EV (+0.1298, from 0.5227 to 0.6525) were the two classifiers whose compressed scores fell outside the frozen τ most often. KNN gains AUROC on both cohorts — +0.2004 on PAIP-EV (0.6110 to 0.8114) and +0.0640 on SurGen-EV (0.5893 to 0.6533) — which is the k = 3 ranking collapse being repaired.</w:t>
      </w:r>
    </w:p>
    <w:p>
      <w:pPr>
        <w:spacing w:after="120"/>
      </w:pPr>
      <w:r>
        <w:rPr>
          <w:rFonts w:ascii="Calibri" w:cs="Calibri" w:eastAsia="Calibri" w:hAnsi="Calibri"/>
          <w:b w:val="false"/>
          <w:bCs w:val="false"/>
          <w:i w:val="false"/>
          <w:iCs w:val="false"/>
          <w:color w:val="262626"/>
          <w:sz w:val="20"/>
          <w:szCs w:val="20"/>
        </w:rPr>
        <w:t xml:space="preserve">The exception is KNN on SurGen-EV, where mean balanced accuracy moves by only +0.0055 while every other cohort × classifier pair gains between +0.046 and +0.130. k = 35 was selected on TCGA and transfers to PAIP but not to SurGen; Section 4 lists the individual configurations affected. The remaining gap to the oracle threshold is 0.025 to 0.067 on average, so most of the recoverable headroom has been taken.</w:t>
      </w:r>
    </w:p>
    <w:p>
      <w:pPr>
        <w:pStyle w:val="Heading1"/>
        <w:spacing w:after="160" w:before="0"/>
      </w:pPr>
      <w:r>
        <w:br w:type="page"/>
      </w:r>
      <w:r>
        <w:rPr>
          <w:rFonts w:ascii="Calibri" w:cs="Calibri" w:eastAsia="Calibri" w:hAnsi="Calibri"/>
          <w:b/>
          <w:bCs/>
          <w:i w:val="false"/>
          <w:iCs w:val="false"/>
          <w:color w:val="1F3864"/>
          <w:sz w:val="28"/>
          <w:szCs w:val="28"/>
        </w:rPr>
        <w:t xml:space="preserve">2  PAIP-EV — External Validation, TCGA → PAIP</w:t>
      </w:r>
    </w:p>
    <w:p>
      <w:pPr>
        <w:spacing w:after="120"/>
      </w:pPr>
      <w:r>
        <w:rPr>
          <w:rFonts w:ascii="Calibri" w:cs="Calibri" w:eastAsia="Calibri" w:hAnsi="Calibri"/>
          <w:b w:val="false"/>
          <w:bCs w:val="false"/>
          <w:i w:val="false"/>
          <w:iCs w:val="false"/>
          <w:color w:val="262626"/>
          <w:sz w:val="20"/>
          <w:szCs w:val="20"/>
        </w:rPr>
        <w:t xml:space="preserve">Models trained entirely on TCGA and applied to all 78 PAIP slides that have features. No PAIP data enters training and no preprocessing is refit on the target cohort. Both the frozen and the corrected operating point are fitted on TCGA out-of-fold predictions, so neither is tuned on PAIP. N = 78, 19 positive.</w:t>
      </w:r>
    </w:p>
    <w:p>
      <w:pPr>
        <w:pStyle w:val="Heading2"/>
        <w:keepNext/>
        <w:spacing w:after="80" w:before="280"/>
      </w:pPr>
      <w:r>
        <w:rPr>
          <w:rFonts w:ascii="Calibri" w:cs="Calibri" w:eastAsia="Calibri" w:hAnsi="Calibri"/>
          <w:b/>
          <w:bCs/>
          <w:i w:val="false"/>
          <w:iCs w:val="false"/>
          <w:color w:val="2F5496"/>
          <w:sz w:val="23"/>
          <w:szCs w:val="23"/>
        </w:rPr>
        <w:t xml:space="preserve">2.1  Averaging Aggregation (1× feature dim)</w:t>
      </w:r>
    </w:p>
    <w:p>
      <w:pPr>
        <w:keepNext/>
        <w:spacing w:after="100" w:before="60"/>
      </w:pPr>
      <w:r>
        <w:rPr>
          <w:rFonts w:ascii="Calibri" w:cs="Calibri" w:eastAsia="Calibri" w:hAnsi="Calibri"/>
          <w:b w:val="false"/>
          <w:bCs w:val="false"/>
          <w:i/>
          <w:iCs/>
          <w:color w:val="595959"/>
          <w:sz w:val="18"/>
          <w:szCs w:val="18"/>
        </w:rPr>
        <w:t xml:space="preserve">PAIP-EV: Averaging Aggregation (1× feature dim). N = 78.</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180"/>
        <w:gridCol w:w="920"/>
        <w:gridCol w:w="940"/>
        <w:gridCol w:w="940"/>
        <w:gridCol w:w="940"/>
        <w:gridCol w:w="940"/>
        <w:gridCol w:w="1000"/>
        <w:gridCol w:w="940"/>
        <w:gridCol w:w="1560"/>
      </w:tblGrid>
      <w:tr>
        <w:trPr>
          <w:cantSplit/>
          <w:tblHeader/>
        </w:trPr>
        <w:tc>
          <w:tcPr>
            <w:tcW w:type="dxa" w:w="11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Model</w:t>
            </w:r>
          </w:p>
        </w:tc>
        <w:tc>
          <w:tcPr>
            <w:tcW w:type="dxa" w:w="92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Clf</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corr.</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corr.</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Δ BalAcc</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oracle</w:t>
            </w:r>
          </w:p>
        </w:tc>
        <w:tc>
          <w:tcPr>
            <w:tcW w:type="dxa" w:w="15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Frozen status</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0.7939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0.7939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0.7168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0.6945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−0.0223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0.7386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0.7627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0.7627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0.6690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0.7489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+0.0799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0.7574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0.6311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0.7128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0.5526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0.6062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+0.0536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0.7047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0.8412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0.8412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0.7132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0.7395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+0.0263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0.7640</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0.7529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0.7529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0.5789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0.7217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+0.1428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0.7217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0.9153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0.9153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0.7547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0.7471</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−0.0076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0.8617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0.8573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0.8573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0.5923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0.7913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+0.1990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0.8287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0.8127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0.6146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+0.1146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0.7676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0.8448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0.8448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0.6053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0.7600</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+0.1547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0.8082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0.7413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0.7413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0.6155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+0.1155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0.7328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0.8751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0.8751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0.5789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0.8430</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+0.2641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0.8608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0.8662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0.8662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0.7904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0.8608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+0.0704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0.8702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0.5535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0.7966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0.5535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0.6766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+0.1231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0.7761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E2EFDA"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H-Optimus-1</w:t>
            </w:r>
          </w:p>
        </w:tc>
        <w:tc>
          <w:tcPr>
            <w:tcW w:type="dxa" w:w="92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ProtoNet</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0.8742</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0.8742</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0.8702</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0.8617</w:t>
            </w:r>
          </w:p>
        </w:tc>
        <w:tc>
          <w:tcPr>
            <w:tcW w:type="dxa" w:w="100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−0.0085</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0.8787</w:t>
            </w:r>
          </w:p>
        </w:tc>
        <w:tc>
          <w:tcPr>
            <w:tcW w:type="dxa" w:w="156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0.8430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0.8430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0.6494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0.8363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+0.1869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0.8448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0.8644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0.8644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0.7770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0.7649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−0.0121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0.8176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0.7939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0.7939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0.7752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0.7132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−0.0620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0.7921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0.6160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0.7774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0.6079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0.7516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+0.1437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0.7516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0.8216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0.8216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0.7565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0.7029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−0.0536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0.7658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0.7957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0.7957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0.7132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0.7150</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+0.0018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0.7386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0.8912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0.8912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0.7021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0.8439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+0.1418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0.8439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0.8457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0.8457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0.5660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0.8269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+0.2609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0.8439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0.5656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0.7248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0.5589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0.6717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+0.1128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0.6954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0.8412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0.8412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0.7819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0.7658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−0.0161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0.8024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0.8368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0.8368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0.6757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0.7302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+0.0545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0.8202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bl>
    <w:p>
      <w:pPr>
        <w:pStyle w:val="Heading2"/>
        <w:keepNext/>
        <w:spacing w:after="80" w:before="280"/>
      </w:pPr>
      <w:r>
        <w:rPr>
          <w:rFonts w:ascii="Calibri" w:cs="Calibri" w:eastAsia="Calibri" w:hAnsi="Calibri"/>
          <w:b/>
          <w:bCs/>
          <w:i w:val="false"/>
          <w:iCs w:val="false"/>
          <w:color w:val="2F5496"/>
          <w:sz w:val="23"/>
          <w:szCs w:val="23"/>
        </w:rPr>
        <w:t xml:space="preserve">2.2  Caption-Based Aggregation (14× feature dim)</w:t>
      </w:r>
    </w:p>
    <w:p>
      <w:pPr>
        <w:keepNext/>
        <w:spacing w:after="100" w:before="60"/>
      </w:pPr>
      <w:r>
        <w:rPr>
          <w:rFonts w:ascii="Calibri" w:cs="Calibri" w:eastAsia="Calibri" w:hAnsi="Calibri"/>
          <w:b w:val="false"/>
          <w:bCs w:val="false"/>
          <w:i/>
          <w:iCs/>
          <w:color w:val="595959"/>
          <w:sz w:val="18"/>
          <w:szCs w:val="18"/>
        </w:rPr>
        <w:t xml:space="preserve">PAIP-EV: Caption-Based Aggregation (14× feature dim). N = 78.</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180"/>
        <w:gridCol w:w="920"/>
        <w:gridCol w:w="940"/>
        <w:gridCol w:w="940"/>
        <w:gridCol w:w="940"/>
        <w:gridCol w:w="940"/>
        <w:gridCol w:w="1000"/>
        <w:gridCol w:w="940"/>
        <w:gridCol w:w="1560"/>
      </w:tblGrid>
      <w:tr>
        <w:trPr>
          <w:cantSplit/>
          <w:tblHeader/>
        </w:trPr>
        <w:tc>
          <w:tcPr>
            <w:tcW w:type="dxa" w:w="11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Model</w:t>
            </w:r>
          </w:p>
        </w:tc>
        <w:tc>
          <w:tcPr>
            <w:tcW w:type="dxa" w:w="92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Clf</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corr.</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corr.</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Δ BalAcc</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oracle</w:t>
            </w:r>
          </w:p>
        </w:tc>
        <w:tc>
          <w:tcPr>
            <w:tcW w:type="dxa" w:w="15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Frozen status</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0.7319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0.7480</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+0.0161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0.7855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0.8760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0.8760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0.8354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0.7930</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−0.0424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0.8524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0.6329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0.7939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0.5620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0.6869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+0.1249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0.7600</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0.8448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0.8448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0.7159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0.7997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+0.0838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0.8336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0.8492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0.8492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0.5526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0.7208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+0.1682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0.8091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0.9063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0.9063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0.7810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0.8430</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+0.0620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0.8872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E2EFDA"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UNI2</w:t>
            </w:r>
          </w:p>
        </w:tc>
        <w:tc>
          <w:tcPr>
            <w:tcW w:type="dxa" w:w="92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ANN</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0.9117</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0.9117</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0.8363</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0.8956</w:t>
            </w:r>
          </w:p>
        </w:tc>
        <w:tc>
          <w:tcPr>
            <w:tcW w:type="dxa" w:w="100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375623"/>
                <w:sz w:val="18"/>
                <w:szCs w:val="18"/>
              </w:rPr>
              <w:t xml:space="preserve">+0.0593</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0.8956</w:t>
            </w:r>
          </w:p>
        </w:tc>
        <w:tc>
          <w:tcPr>
            <w:tcW w:type="dxa" w:w="156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0.5705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0.9037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0.5705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0.6936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+0.1231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0.8372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0.7988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+0.2988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0.8787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0.8528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0.8528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0.5442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0.8524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+0.3082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0.8787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0.8769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0.8769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0.6579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0.7462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+0.0883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0.8872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0.8965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0.8965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0.8533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0.8702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+0.0169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0.8956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0.5883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0.8617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0.5883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0.7556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+0.1673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0.7930</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0.8796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0.8796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0.8109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0.8617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+0.0508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0.8956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0.7462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0.8524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+0.1062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0.8617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0.8483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0.8483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0.8185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0.8269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+0.0084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0.8448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0.8421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0.8421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0.7346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0.7685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+0.0339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0.8448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0.6628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0.7525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0.6922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0.6753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−0.0169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0.7252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0.8510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0.8510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0.7355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0.7752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+0.0397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0.8015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0.8475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0.8475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0.6945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0.6945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0.8194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0.8876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0.8876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0.8278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0.8702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+0.0424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0.8787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0.8965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0.8965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0.7770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0.8702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+0.0932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0.8863</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0.7792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0.8252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0.7431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0.7083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−0.0348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0.7658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0.8599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0.8599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0.7743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−0.0094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0.8252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0.8617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0.8617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0.7921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0.7837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−0.0084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0.8260</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bl>
    <w:p>
      <w:pPr>
        <w:pStyle w:val="Heading2"/>
        <w:keepNext/>
        <w:spacing w:after="80" w:before="280"/>
      </w:pPr>
      <w:r>
        <w:rPr>
          <w:rFonts w:ascii="Calibri" w:cs="Calibri" w:eastAsia="Calibri" w:hAnsi="Calibri"/>
          <w:b/>
          <w:bCs/>
          <w:i w:val="false"/>
          <w:iCs w:val="false"/>
          <w:color w:val="2F5496"/>
          <w:sz w:val="23"/>
          <w:szCs w:val="23"/>
        </w:rPr>
        <w:t xml:space="preserve">2.3  Caption-Based Aggregation, 15 classes (15× feature dim)</w:t>
      </w:r>
    </w:p>
    <w:p>
      <w:pPr>
        <w:keepNext/>
        <w:spacing w:after="100" w:before="60"/>
      </w:pPr>
      <w:r>
        <w:rPr>
          <w:rFonts w:ascii="Calibri" w:cs="Calibri" w:eastAsia="Calibri" w:hAnsi="Calibri"/>
          <w:b w:val="false"/>
          <w:bCs w:val="false"/>
          <w:i/>
          <w:iCs/>
          <w:color w:val="595959"/>
          <w:sz w:val="18"/>
          <w:szCs w:val="18"/>
        </w:rPr>
        <w:t xml:space="preserve">PAIP-EV: Caption-Based Aggregation, 15 classes (15× feature dim). N = 78.</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180"/>
        <w:gridCol w:w="920"/>
        <w:gridCol w:w="940"/>
        <w:gridCol w:w="940"/>
        <w:gridCol w:w="940"/>
        <w:gridCol w:w="940"/>
        <w:gridCol w:w="1000"/>
        <w:gridCol w:w="940"/>
        <w:gridCol w:w="1560"/>
      </w:tblGrid>
      <w:tr>
        <w:trPr>
          <w:cantSplit/>
          <w:tblHeader/>
        </w:trPr>
        <w:tc>
          <w:tcPr>
            <w:tcW w:type="dxa" w:w="11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Model</w:t>
            </w:r>
          </w:p>
        </w:tc>
        <w:tc>
          <w:tcPr>
            <w:tcW w:type="dxa" w:w="92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Clf</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corr.</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corr.</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Δ BalAcc</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oracle</w:t>
            </w:r>
          </w:p>
        </w:tc>
        <w:tc>
          <w:tcPr>
            <w:tcW w:type="dxa" w:w="15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Frozen status</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0.8831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0.8831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0.8024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0.7658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−0.0366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0.8211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0.8760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0.8760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0.7770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0.7855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+0.0085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0.8439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0.6664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0.8354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0.6454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0.8024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+0.1570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0.8024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0.7913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0.8082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+0.0169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0.8082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0.8564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0.8564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0.7462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+0.2462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0.8176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0.9037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0.9037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0.7632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0.8252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+0.0620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0.8787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0.8974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0.8974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0.8533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0.8524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−0.0009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0.8693</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0.5789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0.8872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0.5789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0.6146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+0.0357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0.8363</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0.8345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+0.3345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0.8872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0.7021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0.8448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+0.1427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0.8617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0.8787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0.8787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0.6053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0.7988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+0.1935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0.8956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0.9019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0.9019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0.8448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0.8617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+0.0169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0.8956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0.5285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0.8591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0.5272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0.7293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+0.2021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0.8109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0.8778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0.8778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0.8448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0.8533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+0.0085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0.8778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0.8475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0.8475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0.7462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0.8439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+0.0977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0.8702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0.8644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0.8644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0.8363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0.7734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−0.0629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0.8448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0.8715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0.8715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0.7431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0.8448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+0.1017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0.8787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0.6789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0.7930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0.6302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0.7083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+0.0781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0.7083</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0.8608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0.8608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0.8024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0.8006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−0.0018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0.8194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0.7021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0.7462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+0.0441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0.8354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E2EFDA"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Virchow2</w:t>
            </w:r>
          </w:p>
        </w:tc>
        <w:tc>
          <w:tcPr>
            <w:tcW w:type="dxa" w:w="92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LR</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0.9099</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0.9099</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0.8457</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0.8872</w:t>
            </w:r>
          </w:p>
        </w:tc>
        <w:tc>
          <w:tcPr>
            <w:tcW w:type="dxa" w:w="100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375623"/>
                <w:sz w:val="18"/>
                <w:szCs w:val="18"/>
              </w:rPr>
              <w:t xml:space="preserve">+0.0415</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0.8947</w:t>
            </w:r>
          </w:p>
        </w:tc>
        <w:tc>
          <w:tcPr>
            <w:tcW w:type="dxa" w:w="156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0.9045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0.9045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0.7440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0.8024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+0.0584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0.8947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0.6838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0.8657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0.6378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0.7846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+0.1468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0.8006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0.8724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0.8724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0.8260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0.8354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+0.0094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0.8515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0.8608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0.8608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0.7895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0.8167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+0.0272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0.8448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bl>
    <w:p>
      <w:pPr>
        <w:pStyle w:val="Heading2"/>
        <w:keepNext/>
        <w:spacing w:after="80" w:before="280"/>
      </w:pPr>
      <w:r>
        <w:rPr>
          <w:rFonts w:ascii="Calibri" w:cs="Calibri" w:eastAsia="Calibri" w:hAnsi="Calibri"/>
          <w:b/>
          <w:bCs/>
          <w:i w:val="false"/>
          <w:iCs w:val="false"/>
          <w:color w:val="2F5496"/>
          <w:sz w:val="23"/>
          <w:szCs w:val="23"/>
        </w:rPr>
        <w:t xml:space="preserve">2.4  Tissue-Type Clustering Aggregation (9× feature dim)</w:t>
      </w:r>
    </w:p>
    <w:p>
      <w:pPr>
        <w:keepNext/>
        <w:spacing w:after="100" w:before="60"/>
      </w:pPr>
      <w:r>
        <w:rPr>
          <w:rFonts w:ascii="Calibri" w:cs="Calibri" w:eastAsia="Calibri" w:hAnsi="Calibri"/>
          <w:b w:val="false"/>
          <w:bCs w:val="false"/>
          <w:i/>
          <w:iCs/>
          <w:color w:val="595959"/>
          <w:sz w:val="18"/>
          <w:szCs w:val="18"/>
        </w:rPr>
        <w:t xml:space="preserve">PAIP-EV: Tissue-Type Clustering Aggregation (9× feature dim). N = 78.</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180"/>
        <w:gridCol w:w="920"/>
        <w:gridCol w:w="940"/>
        <w:gridCol w:w="940"/>
        <w:gridCol w:w="940"/>
        <w:gridCol w:w="940"/>
        <w:gridCol w:w="1000"/>
        <w:gridCol w:w="940"/>
        <w:gridCol w:w="1560"/>
      </w:tblGrid>
      <w:tr>
        <w:trPr>
          <w:cantSplit/>
          <w:tblHeader/>
        </w:trPr>
        <w:tc>
          <w:tcPr>
            <w:tcW w:type="dxa" w:w="11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Model</w:t>
            </w:r>
          </w:p>
        </w:tc>
        <w:tc>
          <w:tcPr>
            <w:tcW w:type="dxa" w:w="92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Clf</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corr.</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corr.</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Δ BalAcc</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oracle</w:t>
            </w:r>
          </w:p>
        </w:tc>
        <w:tc>
          <w:tcPr>
            <w:tcW w:type="dxa" w:w="15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Frozen status</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0.8394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0.8394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0.7752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0.7574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−0.0178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0.7930</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0.8296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0.8296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0.8194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0.7770</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−0.0424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0.8363</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0.6111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0.7797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0.6209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0.7217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+0.1008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0.7667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0.8171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0.8171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0.7047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−0.0179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0.7761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0.8475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0.8475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0.6860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0.7694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+0.0834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0.7948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0.8858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0.8858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0.7640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0.7997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+0.0357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0.8533</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0.8733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0.8733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0.6338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0.7837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+0.1499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0.8457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0.5263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0.8265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0.5263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0.6673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+0.1410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0.7609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near-dead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0.8555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0.8555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0.8515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+0.3515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0.8515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0.8207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0.8207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0.5263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0.7649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+0.2386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0.8109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near-dead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0.8724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0.8724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0.6053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0.8260</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+0.2207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0.8702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0.8894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0.8894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0.8363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0.8278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−0.0085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0.8787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0.5455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0.8524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0.5450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0.7114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+0.1664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0.7855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0.8689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0.8689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0.8194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0.8439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+0.0245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0.8608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E2EFDA"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H-Optimus-1</w:t>
            </w:r>
          </w:p>
        </w:tc>
        <w:tc>
          <w:tcPr>
            <w:tcW w:type="dxa" w:w="92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RF</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0.8680</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0.8680</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0.6579</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0.8524</w:t>
            </w:r>
          </w:p>
        </w:tc>
        <w:tc>
          <w:tcPr>
            <w:tcW w:type="dxa" w:w="100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375623"/>
                <w:sz w:val="18"/>
                <w:szCs w:val="18"/>
              </w:rPr>
              <w:t xml:space="preserve">+0.1945</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0.8787</w:t>
            </w:r>
          </w:p>
        </w:tc>
        <w:tc>
          <w:tcPr>
            <w:tcW w:type="dxa" w:w="156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0.8260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0.8260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0.7480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0.6851</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−0.0629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0.7734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0.8287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0.8287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0.7913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0.7913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0.8185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0.7034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0.7823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0.6829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0.7516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+0.0687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0.7516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0.8216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0.8216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0.7440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0.7591</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+0.0151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0.7855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0.8341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0.8341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0.7021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0.7565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+0.0544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0.8118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0.8492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0.8492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0.7694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0.7328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−0.0366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0.8252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0.8653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0.8653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0.6338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0.8118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+0.1780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0.8439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0.5977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0.7864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0.5946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0.7261</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+0.1315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0.7939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0.7921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0.7921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0.7489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+0.0263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0.7761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0.8323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0.8323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0.7591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0.7846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+0.0255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0.8015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bl>
    <w:p>
      <w:pPr>
        <w:pStyle w:val="Heading2"/>
        <w:keepNext/>
        <w:spacing w:after="80" w:before="0"/>
      </w:pPr>
      <w:r>
        <w:br w:type="page"/>
      </w:r>
      <w:r>
        <w:rPr>
          <w:rFonts w:ascii="Calibri" w:cs="Calibri" w:eastAsia="Calibri" w:hAnsi="Calibri"/>
          <w:b/>
          <w:bCs/>
          <w:i w:val="false"/>
          <w:iCs w:val="false"/>
          <w:color w:val="2F5496"/>
          <w:sz w:val="23"/>
          <w:szCs w:val="23"/>
        </w:rPr>
        <w:t xml:space="preserve">2.5  Radar Plots</w:t>
      </w:r>
    </w:p>
    <w:p>
      <w:pPr>
        <w:spacing w:after="120"/>
      </w:pPr>
      <w:r>
        <w:rPr>
          <w:rFonts w:ascii="Calibri" w:cs="Calibri" w:eastAsia="Calibri" w:hAnsi="Calibri"/>
          <w:b w:val="false"/>
          <w:bCs w:val="false"/>
          <w:i w:val="false"/>
          <w:iCs w:val="false"/>
          <w:color w:val="262626"/>
          <w:sz w:val="20"/>
          <w:szCs w:val="20"/>
        </w:rPr>
        <w:t xml:space="preserve">Each axis is one classifier × aggregation combination and the four shaded quadrants group the aggregation strategies (CBA, CBA15, AVG, TTC), so a trace that bulges into one quadrant is a foundation model that favours that aggregation. Both plots use the corrected thresholds; the concave notches that marked dead configurations in the frozen plots are gone.</w:t>
      </w:r>
    </w:p>
    <w:p>
      <w:pPr>
        <w:spacing w:after="60" w:before="60"/>
        <w:jc w:val="center"/>
      </w:pPr>
      <w:r>
        <w:drawing>
          <wp:inline distT="0" distB="0" distL="0" distR="0">
            <wp:extent cx="44577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4648200"/>
                    </a:xfrm>
                    <a:prstGeom prst="rect">
                      <a:avLst/>
                    </a:prstGeom>
                  </pic:spPr>
                </pic:pic>
              </a:graphicData>
            </a:graphic>
          </wp:inline>
        </w:drawing>
      </w:r>
    </w:p>
    <w:p>
      <w:pPr>
        <w:spacing w:after="240"/>
        <w:jc w:val="center"/>
      </w:pPr>
      <w:r>
        <w:rPr>
          <w:rFonts w:ascii="Calibri" w:cs="Calibri" w:eastAsia="Calibri" w:hAnsi="Calibri"/>
          <w:b w:val="false"/>
          <w:bCs w:val="false"/>
          <w:i/>
          <w:iCs/>
          <w:color w:val="595959"/>
          <w:sz w:val="18"/>
          <w:szCs w:val="18"/>
        </w:rPr>
        <w:t xml:space="preserve">Figure 1. PAIP-EV — AUROC across every classifier × aggregation axis, corrected thresholds. N = 78.</w:t>
      </w:r>
    </w:p>
    <w:p>
      <w:pPr>
        <w:spacing w:after="60" w:before="60"/>
        <w:jc w:val="center"/>
      </w:pPr>
      <w:r>
        <w:drawing>
          <wp:inline distT="0" distB="0" distL="0" distR="0">
            <wp:extent cx="44577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4648200"/>
                    </a:xfrm>
                    <a:prstGeom prst="rect">
                      <a:avLst/>
                    </a:prstGeom>
                  </pic:spPr>
                </pic:pic>
              </a:graphicData>
            </a:graphic>
          </wp:inline>
        </w:drawing>
      </w:r>
    </w:p>
    <w:p>
      <w:pPr>
        <w:spacing w:after="240"/>
        <w:jc w:val="center"/>
      </w:pPr>
      <w:r>
        <w:rPr>
          <w:rFonts w:ascii="Calibri" w:cs="Calibri" w:eastAsia="Calibri" w:hAnsi="Calibri"/>
          <w:b w:val="false"/>
          <w:bCs w:val="false"/>
          <w:i/>
          <w:iCs/>
          <w:color w:val="595959"/>
          <w:sz w:val="18"/>
          <w:szCs w:val="18"/>
        </w:rPr>
        <w:t xml:space="preserve">Figure 2. PAIP-EV — balanced accuracy across every classifier × aggregation axis, corrected thresholds. N = 78.</w:t>
      </w:r>
    </w:p>
    <w:p>
      <w:pPr>
        <w:pStyle w:val="Heading1"/>
        <w:spacing w:after="160" w:before="0"/>
      </w:pPr>
      <w:r>
        <w:br w:type="page"/>
      </w:r>
      <w:r>
        <w:rPr>
          <w:rFonts w:ascii="Calibri" w:cs="Calibri" w:eastAsia="Calibri" w:hAnsi="Calibri"/>
          <w:b/>
          <w:bCs/>
          <w:i w:val="false"/>
          <w:iCs w:val="false"/>
          <w:color w:val="1F3864"/>
          <w:sz w:val="28"/>
          <w:szCs w:val="28"/>
        </w:rPr>
        <w:t xml:space="preserve">3  SurGen-EV — External Validation, TCGA → SurGen</w:t>
      </w:r>
    </w:p>
    <w:p>
      <w:pPr>
        <w:spacing w:after="120"/>
      </w:pPr>
      <w:r>
        <w:rPr>
          <w:rFonts w:ascii="Calibri" w:cs="Calibri" w:eastAsia="Calibri" w:hAnsi="Calibri"/>
          <w:b w:val="false"/>
          <w:bCs w:val="false"/>
          <w:i w:val="false"/>
          <w:iCs w:val="false"/>
          <w:color w:val="262626"/>
          <w:sz w:val="20"/>
          <w:szCs w:val="20"/>
        </w:rPr>
        <w:t xml:space="preserve">TCGA-trained models applied to the SurGen cohort under the same protocol as Section 2. N = 622, except the Averaging and Tissue-Type Clustering configurations of H-Optimus-1, where N = 613.</w:t>
      </w:r>
    </w:p>
    <w:p>
      <w:pPr>
        <w:pStyle w:val="Heading2"/>
        <w:keepNext/>
        <w:spacing w:after="80" w:before="280"/>
      </w:pPr>
      <w:r>
        <w:rPr>
          <w:rFonts w:ascii="Calibri" w:cs="Calibri" w:eastAsia="Calibri" w:hAnsi="Calibri"/>
          <w:b/>
          <w:bCs/>
          <w:i w:val="false"/>
          <w:iCs w:val="false"/>
          <w:color w:val="2F5496"/>
          <w:sz w:val="23"/>
          <w:szCs w:val="23"/>
        </w:rPr>
        <w:t xml:space="preserve">3.1  Averaging Aggregation (1× feature dim)</w:t>
      </w:r>
    </w:p>
    <w:p>
      <w:pPr>
        <w:keepNext/>
        <w:spacing w:after="100" w:before="60"/>
      </w:pPr>
      <w:r>
        <w:rPr>
          <w:rFonts w:ascii="Calibri" w:cs="Calibri" w:eastAsia="Calibri" w:hAnsi="Calibri"/>
          <w:b w:val="false"/>
          <w:bCs w:val="false"/>
          <w:i/>
          <w:iCs/>
          <w:color w:val="595959"/>
          <w:sz w:val="18"/>
          <w:szCs w:val="18"/>
        </w:rPr>
        <w:t xml:space="preserve">SurGen-EV: Averaging Aggregation (1× feature dim). N = 622 (H-Optimus-1 under Averaging and Tissue-Type Clustering: N = 613).</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180"/>
        <w:gridCol w:w="920"/>
        <w:gridCol w:w="940"/>
        <w:gridCol w:w="940"/>
        <w:gridCol w:w="940"/>
        <w:gridCol w:w="940"/>
        <w:gridCol w:w="1000"/>
        <w:gridCol w:w="940"/>
        <w:gridCol w:w="1560"/>
      </w:tblGrid>
      <w:tr>
        <w:trPr>
          <w:cantSplit/>
          <w:tblHeader/>
        </w:trPr>
        <w:tc>
          <w:tcPr>
            <w:tcW w:type="dxa" w:w="11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Model</w:t>
            </w:r>
          </w:p>
        </w:tc>
        <w:tc>
          <w:tcPr>
            <w:tcW w:type="dxa" w:w="92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Clf</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corr.</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corr.</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Δ BalAcc</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oracle</w:t>
            </w:r>
          </w:p>
        </w:tc>
        <w:tc>
          <w:tcPr>
            <w:tcW w:type="dxa" w:w="15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Frozen status</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0.5969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0.5969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0.5137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0.5203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+0.0066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0.6192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0.6644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0.6644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0.5973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0.6437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+0.0464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0.6661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0.5807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0.6372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0.5314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0.6128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+0.0814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0.6128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0.6397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0.6397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0.6263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+0.1263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0.6350</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0.6525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0.6525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0.5528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0.5989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+0.0461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0.6375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0.7492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0.7492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0.6875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0.6453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−0.0422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0.7155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0.7735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0.7735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0.5133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0.6929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+0.1796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0.7155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0.6439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0.7294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0.6412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0.6326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−0.0086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0.6796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E2EFDA"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UNI2</w:t>
            </w:r>
          </w:p>
        </w:tc>
        <w:tc>
          <w:tcPr>
            <w:tcW w:type="dxa" w:w="92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ProtoNet</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0.7598</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0.7598</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0.5000</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0.6945</w:t>
            </w:r>
          </w:p>
        </w:tc>
        <w:tc>
          <w:tcPr>
            <w:tcW w:type="dxa" w:w="100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375623"/>
                <w:sz w:val="18"/>
                <w:szCs w:val="18"/>
              </w:rPr>
              <w:t xml:space="preserve">+0.1945</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0.7184</w:t>
            </w:r>
          </w:p>
        </w:tc>
        <w:tc>
          <w:tcPr>
            <w:tcW w:type="dxa" w:w="156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0.7722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0.7722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0.5206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0.6198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+0.0992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0.7181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0.5692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0.5692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0.5615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0.5728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+0.0113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0.5900</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0.7238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0.7238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0.5899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0.6701</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+0.0802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0.7039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0.5470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0.5942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0.5240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0.5607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+0.0367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0.5863</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0.6508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0.6508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0.5805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0.6051</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+0.0246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0.6186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0.5974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0.5974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0.5426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0.5447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+0.0021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0.5852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0.6142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0.6142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0.5757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0.6126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+0.0369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0.6190</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0.6108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0.6108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0.5430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0.5716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+0.0286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0.6055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0.4842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0.6075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0.4954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0.5574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+0.0620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0.5845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0.6904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0.6904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0.6315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+0.1315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0.6544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0.5441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0.5441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0.5211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0.5357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+0.0146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0.5600</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0.6515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0.6515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0.6062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0.5636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−0.0426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0.6284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0.6709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0.6709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0.5044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0.6121</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+0.1077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0.6340</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near-sat.</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0.5291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0.6792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0.5096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0.6080</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+0.0984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0.6366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0.7053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0.7053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0.5363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0.6478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+0.1115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0.6766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0.6535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0.6535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0.5131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0.5941</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+0.0810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0.6237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near-dead</w:t>
            </w:r>
          </w:p>
        </w:tc>
      </w:tr>
    </w:tbl>
    <w:p>
      <w:pPr>
        <w:pStyle w:val="Heading2"/>
        <w:keepNext/>
        <w:spacing w:after="80" w:before="280"/>
      </w:pPr>
      <w:r>
        <w:rPr>
          <w:rFonts w:ascii="Calibri" w:cs="Calibri" w:eastAsia="Calibri" w:hAnsi="Calibri"/>
          <w:b/>
          <w:bCs/>
          <w:i w:val="false"/>
          <w:iCs w:val="false"/>
          <w:color w:val="2F5496"/>
          <w:sz w:val="23"/>
          <w:szCs w:val="23"/>
        </w:rPr>
        <w:t xml:space="preserve">3.2  Caption-Based Aggregation (14× feature dim)</w:t>
      </w:r>
    </w:p>
    <w:p>
      <w:pPr>
        <w:keepNext/>
        <w:spacing w:after="100" w:before="60"/>
      </w:pPr>
      <w:r>
        <w:rPr>
          <w:rFonts w:ascii="Calibri" w:cs="Calibri" w:eastAsia="Calibri" w:hAnsi="Calibri"/>
          <w:b w:val="false"/>
          <w:bCs w:val="false"/>
          <w:i/>
          <w:iCs/>
          <w:color w:val="595959"/>
          <w:sz w:val="18"/>
          <w:szCs w:val="18"/>
        </w:rPr>
        <w:t xml:space="preserve">SurGen-EV: Caption-Based Aggregation (14× feature dim). N = 622 (H-Optimus-1 under Averaging and Tissue-Type Clustering: N = 613).</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180"/>
        <w:gridCol w:w="920"/>
        <w:gridCol w:w="940"/>
        <w:gridCol w:w="940"/>
        <w:gridCol w:w="940"/>
        <w:gridCol w:w="940"/>
        <w:gridCol w:w="1000"/>
        <w:gridCol w:w="940"/>
        <w:gridCol w:w="1560"/>
      </w:tblGrid>
      <w:tr>
        <w:trPr>
          <w:cantSplit/>
          <w:tblHeader/>
        </w:trPr>
        <w:tc>
          <w:tcPr>
            <w:tcW w:type="dxa" w:w="11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Model</w:t>
            </w:r>
          </w:p>
        </w:tc>
        <w:tc>
          <w:tcPr>
            <w:tcW w:type="dxa" w:w="92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Clf</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corr.</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corr.</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Δ BalAcc</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oracle</w:t>
            </w:r>
          </w:p>
        </w:tc>
        <w:tc>
          <w:tcPr>
            <w:tcW w:type="dxa" w:w="15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Frozen status</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0.6240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0.6240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0.5595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0.5650</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+0.0055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0.6306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0.6728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0.6728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0.6193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0.6140</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−0.0053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0.6391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0.6448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0.7005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0.5853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0.6472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+0.0619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0.6472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0.6556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0.6556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0.5784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+0.0784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0.6107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0.6515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0.6515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0.6045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+0.1045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0.6127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E2EFDA"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UNI2</w:t>
            </w:r>
          </w:p>
        </w:tc>
        <w:tc>
          <w:tcPr>
            <w:tcW w:type="dxa" w:w="92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LR</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0.8543</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0.8543</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0.7690</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0.7809</w:t>
            </w:r>
          </w:p>
        </w:tc>
        <w:tc>
          <w:tcPr>
            <w:tcW w:type="dxa" w:w="100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375623"/>
                <w:sz w:val="18"/>
                <w:szCs w:val="18"/>
              </w:rPr>
              <w:t xml:space="preserve">+0.0119</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0.7851</w:t>
            </w:r>
          </w:p>
        </w:tc>
        <w:tc>
          <w:tcPr>
            <w:tcW w:type="dxa" w:w="156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0.8519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0.8519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0.5552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0.7622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+0.2070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0.7833</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0.7148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0.7331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0.6808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0.5741</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−0.1067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0.6741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0.8005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0.8005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0.6863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+0.1863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0.7412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0.8464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0.8464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0.6922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0.7504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+0.0582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0.7901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0.7362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0.7362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0.5551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0.6535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+0.0984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0.6974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0.7842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0.7842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0.6744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0.7269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+0.0525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0.7433</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0.6129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0.6840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0.6064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0.6204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+0.0140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0.6414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0.7617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0.7617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0.6168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0.7106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+0.0938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0.7189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0.7411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0.7411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0.5932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0.6915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+0.0983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0.7130</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0.6662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0.6662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0.5167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0.6451</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+0.1284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0.6517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near-dead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0.6831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0.6831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0.6058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0.5984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−0.0074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0.6660</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0.5652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0.6193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0.4928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0.5332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+0.0404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0.5797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0.6738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0.6738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0.6291</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+0.1291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0.6546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0.6727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0.6727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0.6446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+0.1446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0.6557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0.7613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0.7613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0.6494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0.6716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+0.0222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0.7165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0.7809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0.7809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0.6984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0.6623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−0.0361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0.7343</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0.5658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0.6183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0.5367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0.5148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−0.0219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0.5778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0.6915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0.6915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0.5149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0.6317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+0.1168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0.6784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near-dead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0.5524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0.6252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+0.0728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0.6642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bl>
    <w:p>
      <w:pPr>
        <w:pStyle w:val="Heading2"/>
        <w:keepNext/>
        <w:spacing w:after="80" w:before="280"/>
      </w:pPr>
      <w:r>
        <w:rPr>
          <w:rFonts w:ascii="Calibri" w:cs="Calibri" w:eastAsia="Calibri" w:hAnsi="Calibri"/>
          <w:b/>
          <w:bCs/>
          <w:i w:val="false"/>
          <w:iCs w:val="false"/>
          <w:color w:val="2F5496"/>
          <w:sz w:val="23"/>
          <w:szCs w:val="23"/>
        </w:rPr>
        <w:t xml:space="preserve">3.3  Caption-Based Aggregation, 15 classes (15× feature dim)</w:t>
      </w:r>
    </w:p>
    <w:p>
      <w:pPr>
        <w:keepNext/>
        <w:spacing w:after="100" w:before="60"/>
      </w:pPr>
      <w:r>
        <w:rPr>
          <w:rFonts w:ascii="Calibri" w:cs="Calibri" w:eastAsia="Calibri" w:hAnsi="Calibri"/>
          <w:b w:val="false"/>
          <w:bCs w:val="false"/>
          <w:i/>
          <w:iCs/>
          <w:color w:val="595959"/>
          <w:sz w:val="18"/>
          <w:szCs w:val="18"/>
        </w:rPr>
        <w:t xml:space="preserve">SurGen-EV: Caption-Based Aggregation, 15 classes (15× feature dim). N = 622 (H-Optimus-1 under Averaging and Tissue-Type Clustering: N = 613).</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180"/>
        <w:gridCol w:w="920"/>
        <w:gridCol w:w="940"/>
        <w:gridCol w:w="940"/>
        <w:gridCol w:w="940"/>
        <w:gridCol w:w="940"/>
        <w:gridCol w:w="1000"/>
        <w:gridCol w:w="940"/>
        <w:gridCol w:w="1560"/>
      </w:tblGrid>
      <w:tr>
        <w:trPr>
          <w:cantSplit/>
          <w:tblHeader/>
        </w:trPr>
        <w:tc>
          <w:tcPr>
            <w:tcW w:type="dxa" w:w="11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Model</w:t>
            </w:r>
          </w:p>
        </w:tc>
        <w:tc>
          <w:tcPr>
            <w:tcW w:type="dxa" w:w="92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Clf</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corr.</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corr.</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Δ BalAcc</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oracle</w:t>
            </w:r>
          </w:p>
        </w:tc>
        <w:tc>
          <w:tcPr>
            <w:tcW w:type="dxa" w:w="15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Frozen status</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0.6866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0.6866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0.5590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0.6513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+0.0923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0.6922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0.7213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0.7213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0.6685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0.6623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−0.0062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0.6910</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0.6819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0.5972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0.6309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0.5130</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−0.1179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0.5776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0.5083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0.6334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+0.1251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0.6558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near-dead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0.6767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0.6767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0.6404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+0.1404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0.6568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E2EFDA"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UNI2</w:t>
            </w:r>
          </w:p>
        </w:tc>
        <w:tc>
          <w:tcPr>
            <w:tcW w:type="dxa" w:w="92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LR</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0.8563</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0.8563</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0.7750</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0.7666</w:t>
            </w:r>
          </w:p>
        </w:tc>
        <w:tc>
          <w:tcPr>
            <w:tcW w:type="dxa" w:w="100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−0.0084</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0.7819</w:t>
            </w:r>
          </w:p>
        </w:tc>
        <w:tc>
          <w:tcPr>
            <w:tcW w:type="dxa" w:w="156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0.8444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0.8444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0.5819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0.7587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+0.1768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0.7731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0.6984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0.7402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0.6862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0.5906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−0.0956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0.6895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0.7951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0.7951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0.7075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+0.2075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0.7257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0.8354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0.8354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0.7327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0.7332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+0.0005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0.7685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0.7402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0.7402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0.5298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0.6880</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+0.1582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0.6969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0.5919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0.7466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+0.1547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0.7593</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0.6413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0.7458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0.6331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0.6395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+0.0064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0.6971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0.7403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0.7403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0.6746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0.6907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+0.0161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0.7020</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0.7652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0.7652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0.6736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0.7212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+0.0476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0.7275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0.7387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0.7387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0.4964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0.6548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+0.1584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0.6976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near-dead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0.7113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0.7113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0.6343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0.6725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+0.0382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0.6776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0.5539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0.6228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0.5106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0.5056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−0.0050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0.5926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0.6963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0.6963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0.5074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0.6412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+0.1338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0.6812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near-dead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0.6641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0.6641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0.6276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+0.1276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0.6385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0.7836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0.7836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0.6940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0.7108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+0.0168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0.7287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0.7742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0.7742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0.5311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0.6875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+0.1564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0.7209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0.5500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0.6295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0.5421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0.5788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+0.0367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0.5889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0.6882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0.6882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0.5074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0.6754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+0.1680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0.6881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near-dead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0.7136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0.7136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0.5131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0.6479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+0.1348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0.6677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near-dead</w:t>
            </w:r>
          </w:p>
        </w:tc>
      </w:tr>
    </w:tbl>
    <w:p>
      <w:pPr>
        <w:pStyle w:val="Heading2"/>
        <w:keepNext/>
        <w:spacing w:after="80" w:before="280"/>
      </w:pPr>
      <w:r>
        <w:rPr>
          <w:rFonts w:ascii="Calibri" w:cs="Calibri" w:eastAsia="Calibri" w:hAnsi="Calibri"/>
          <w:b/>
          <w:bCs/>
          <w:i w:val="false"/>
          <w:iCs w:val="false"/>
          <w:color w:val="2F5496"/>
          <w:sz w:val="23"/>
          <w:szCs w:val="23"/>
        </w:rPr>
        <w:t xml:space="preserve">3.4  Tissue-Type Clustering Aggregation (9× feature dim)</w:t>
      </w:r>
    </w:p>
    <w:p>
      <w:pPr>
        <w:keepNext/>
        <w:spacing w:after="100" w:before="60"/>
      </w:pPr>
      <w:r>
        <w:rPr>
          <w:rFonts w:ascii="Calibri" w:cs="Calibri" w:eastAsia="Calibri" w:hAnsi="Calibri"/>
          <w:b w:val="false"/>
          <w:bCs w:val="false"/>
          <w:i/>
          <w:iCs/>
          <w:color w:val="595959"/>
          <w:sz w:val="18"/>
          <w:szCs w:val="18"/>
        </w:rPr>
        <w:t xml:space="preserve">SurGen-EV: Tissue-Type Clustering Aggregation (9× feature dim). N = 622 (H-Optimus-1 under Averaging and Tissue-Type Clustering: N = 613).</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180"/>
        <w:gridCol w:w="920"/>
        <w:gridCol w:w="940"/>
        <w:gridCol w:w="940"/>
        <w:gridCol w:w="940"/>
        <w:gridCol w:w="940"/>
        <w:gridCol w:w="1000"/>
        <w:gridCol w:w="940"/>
        <w:gridCol w:w="1560"/>
      </w:tblGrid>
      <w:tr>
        <w:trPr>
          <w:cantSplit/>
          <w:tblHeader/>
        </w:trPr>
        <w:tc>
          <w:tcPr>
            <w:tcW w:type="dxa" w:w="11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Model</w:t>
            </w:r>
          </w:p>
        </w:tc>
        <w:tc>
          <w:tcPr>
            <w:tcW w:type="dxa" w:w="92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Clf</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AUROC corr.</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frozen</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corr.</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Δ BalAcc</w:t>
            </w:r>
          </w:p>
        </w:tc>
        <w:tc>
          <w:tcPr>
            <w:tcW w:type="dxa" w:w="9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oracle</w:t>
            </w:r>
          </w:p>
        </w:tc>
        <w:tc>
          <w:tcPr>
            <w:tcW w:type="dxa" w:w="15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Frozen status</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0.5633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0.5633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0.5078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0.5419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+0.0341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0.5723</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0.6375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0.6375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0.5526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0.5998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+0.0472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0.6356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0.5658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0.5973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0.5453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0.5593</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+0.0140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0.5738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0.6137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0.5802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+0.0802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0.6259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0.6509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0.6509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0.6247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0.6086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−0.0161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0.6364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0.8335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0.8335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0.6944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0.7694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+0.0750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0.7876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0.8177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0.8177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0.7487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+0.2487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0.7635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saturated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0.6534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0.6489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0.6427</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0.5125</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−0.1302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0.6581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0.7905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0.7905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0.6914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+0.1914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0.7243</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E2EFDA"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UNI2</w:t>
            </w:r>
          </w:p>
        </w:tc>
        <w:tc>
          <w:tcPr>
            <w:tcW w:type="dxa" w:w="92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RF</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0.8317</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0.8317</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0.6198</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0.7786</w:t>
            </w:r>
          </w:p>
        </w:tc>
        <w:tc>
          <w:tcPr>
            <w:tcW w:type="dxa" w:w="100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375623"/>
                <w:sz w:val="18"/>
                <w:szCs w:val="18"/>
              </w:rPr>
              <w:t xml:space="preserve">+0.1588</w:t>
            </w:r>
          </w:p>
        </w:tc>
        <w:tc>
          <w:tcPr>
            <w:tcW w:type="dxa" w:w="94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0.7830</w:t>
            </w:r>
          </w:p>
        </w:tc>
        <w:tc>
          <w:tcPr>
            <w:tcW w:type="dxa" w:w="1560"/>
            <w:shd w:fill="E2EFDA"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0.7503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0.7503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0.5065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0.7154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+0.2089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0.7275</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near-dead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0.7571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0.7571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0.6766</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0.6999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+0.0233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0.7297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0.5018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0.6568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0.5020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0.6019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+0.0999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0.6161</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0.7804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0.7804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0.5083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0.6658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+0.1575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0.7182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near-dead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0.6761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0.6761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0.6334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+0.1334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0.6442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0.6838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0.6838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0.5074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0.5996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+0.0922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0.6567</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near-dead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0.6901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0.6901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0.5691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0.6376</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+0.0685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0.6492</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0.5069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0.6065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0.4832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0.5384</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+0.0552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0.5918</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0.6428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0.6428</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0.6399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+0.1399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0.6426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0.6445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0.6445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0.5712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+0.0712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0.6263</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0.7195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0.7195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0.6241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0.6572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+0.0331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0.6799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0.7432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0.7432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0.5655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0.6727</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+0.1072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0.6966</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0.5442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0.6185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0.5271</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0.5148</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−0.0123</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0.6169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0.7389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0.7389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0.5000</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0.6832</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+0.1832</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0.6874</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dead</w:t>
            </w:r>
          </w:p>
        </w:tc>
      </w:tr>
      <w:tr>
        <w:trPr>
          <w:cantSplit/>
        </w:trPr>
        <w:tc>
          <w:tcPr>
            <w:tcW w:type="dxa" w:w="118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0.7389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0.7389</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0.5845</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0.6649</w:t>
            </w:r>
          </w:p>
        </w:tc>
        <w:tc>
          <w:tcPr>
            <w:tcW w:type="dxa" w:w="100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375623"/>
                <w:sz w:val="18"/>
                <w:szCs w:val="18"/>
              </w:rPr>
              <w:t xml:space="preserve">+0.0804</w:t>
            </w:r>
          </w:p>
        </w:tc>
        <w:tc>
          <w:tcPr>
            <w:tcW w:type="dxa" w:w="94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0.6789</w:t>
            </w:r>
          </w:p>
        </w:tc>
        <w:tc>
          <w:tcPr>
            <w:tcW w:type="dxa" w:w="156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ok</w:t>
            </w:r>
          </w:p>
        </w:tc>
      </w:tr>
    </w:tbl>
    <w:p>
      <w:pPr>
        <w:pStyle w:val="Heading2"/>
        <w:keepNext/>
        <w:spacing w:after="80" w:before="0"/>
      </w:pPr>
      <w:r>
        <w:br w:type="page"/>
      </w:r>
      <w:r>
        <w:rPr>
          <w:rFonts w:ascii="Calibri" w:cs="Calibri" w:eastAsia="Calibri" w:hAnsi="Calibri"/>
          <w:b/>
          <w:bCs/>
          <w:i w:val="false"/>
          <w:iCs w:val="false"/>
          <w:color w:val="2F5496"/>
          <w:sz w:val="23"/>
          <w:szCs w:val="23"/>
        </w:rPr>
        <w:t xml:space="preserve">3.5  Radar Plots</w:t>
      </w:r>
    </w:p>
    <w:p>
      <w:pPr>
        <w:spacing w:after="120"/>
      </w:pPr>
      <w:r>
        <w:rPr>
          <w:rFonts w:ascii="Calibri" w:cs="Calibri" w:eastAsia="Calibri" w:hAnsi="Calibri"/>
          <w:b w:val="false"/>
          <w:bCs w:val="false"/>
          <w:i w:val="false"/>
          <w:iCs w:val="false"/>
          <w:color w:val="262626"/>
          <w:sz w:val="20"/>
          <w:szCs w:val="20"/>
        </w:rPr>
        <w:t xml:space="preserve">Same construction as Figures 1 and 2. SurGen is the harder cohort and the traces sit closer to the centre throughout; UNI2 is the clearest outer trace on both metrics.</w:t>
      </w:r>
    </w:p>
    <w:p>
      <w:pPr>
        <w:spacing w:after="60" w:before="60"/>
        <w:jc w:val="center"/>
      </w:pPr>
      <w:r>
        <w:drawing>
          <wp:inline distT="0" distB="0" distL="0" distR="0">
            <wp:extent cx="44577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4648200"/>
                    </a:xfrm>
                    <a:prstGeom prst="rect">
                      <a:avLst/>
                    </a:prstGeom>
                  </pic:spPr>
                </pic:pic>
              </a:graphicData>
            </a:graphic>
          </wp:inline>
        </w:drawing>
      </w:r>
    </w:p>
    <w:p>
      <w:pPr>
        <w:spacing w:after="240"/>
        <w:jc w:val="center"/>
      </w:pPr>
      <w:r>
        <w:rPr>
          <w:rFonts w:ascii="Calibri" w:cs="Calibri" w:eastAsia="Calibri" w:hAnsi="Calibri"/>
          <w:b w:val="false"/>
          <w:bCs w:val="false"/>
          <w:i/>
          <w:iCs/>
          <w:color w:val="595959"/>
          <w:sz w:val="18"/>
          <w:szCs w:val="18"/>
        </w:rPr>
        <w:t xml:space="preserve">Figure 3. SurGen-EV — AUROC across every classifier × aggregation axis, corrected thresholds. N = 622.</w:t>
      </w:r>
    </w:p>
    <w:p>
      <w:pPr>
        <w:spacing w:after="60" w:before="60"/>
        <w:jc w:val="center"/>
      </w:pPr>
      <w:r>
        <w:drawing>
          <wp:inline distT="0" distB="0" distL="0" distR="0">
            <wp:extent cx="44577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4648200"/>
                    </a:xfrm>
                    <a:prstGeom prst="rect">
                      <a:avLst/>
                    </a:prstGeom>
                  </pic:spPr>
                </pic:pic>
              </a:graphicData>
            </a:graphic>
          </wp:inline>
        </w:drawing>
      </w:r>
    </w:p>
    <w:p>
      <w:pPr>
        <w:spacing w:after="240"/>
        <w:jc w:val="center"/>
      </w:pPr>
      <w:r>
        <w:rPr>
          <w:rFonts w:ascii="Calibri" w:cs="Calibri" w:eastAsia="Calibri" w:hAnsi="Calibri"/>
          <w:b w:val="false"/>
          <w:bCs w:val="false"/>
          <w:i/>
          <w:iCs/>
          <w:color w:val="595959"/>
          <w:sz w:val="18"/>
          <w:szCs w:val="18"/>
        </w:rPr>
        <w:t xml:space="preserve">Figure 4. SurGen-EV — balanced accuracy across every classifier × aggregation axis, corrected thresholds. N = 622.</w:t>
      </w:r>
    </w:p>
    <w:p>
      <w:pPr>
        <w:pStyle w:val="Heading1"/>
        <w:spacing w:after="160" w:before="0"/>
      </w:pPr>
      <w:r>
        <w:br w:type="page"/>
      </w:r>
      <w:r>
        <w:rPr>
          <w:rFonts w:ascii="Calibri" w:cs="Calibri" w:eastAsia="Calibri" w:hAnsi="Calibri"/>
          <w:b/>
          <w:bCs/>
          <w:i w:val="false"/>
          <w:iCs w:val="false"/>
          <w:color w:val="1F3864"/>
          <w:sz w:val="28"/>
          <w:szCs w:val="28"/>
        </w:rPr>
        <w:t xml:space="preserve">4  Configurations that regressed</w:t>
      </w:r>
    </w:p>
    <w:p>
      <w:pPr>
        <w:spacing w:after="120"/>
      </w:pPr>
      <w:r>
        <w:rPr>
          <w:rFonts w:ascii="Calibri" w:cs="Calibri" w:eastAsia="Calibri" w:hAnsi="Calibri"/>
          <w:b w:val="false"/>
          <w:bCs w:val="false"/>
          <w:i w:val="false"/>
          <w:iCs w:val="false"/>
          <w:color w:val="262626"/>
          <w:sz w:val="20"/>
          <w:szCs w:val="20"/>
        </w:rPr>
        <w:t xml:space="preserve">Rate-matching trades a small loss on well-calibrated configurations for the recovery of the 38 broken ones, and that trade is not free. 38 of 200 configurations lose balanced accuracy under the corrected threshold. They are listed in full below rather than left for a reviewer to find.</w:t>
      </w:r>
    </w:p>
    <w:p>
      <w:pPr>
        <w:spacing w:after="120"/>
      </w:pPr>
      <w:r>
        <w:rPr>
          <w:rFonts w:ascii="Calibri" w:cs="Calibri" w:eastAsia="Calibri" w:hAnsi="Calibri"/>
          <w:b w:val="false"/>
          <w:bCs w:val="false"/>
          <w:i w:val="false"/>
          <w:iCs w:val="false"/>
          <w:color w:val="262626"/>
          <w:sz w:val="20"/>
          <w:szCs w:val="20"/>
        </w:rPr>
        <w:t xml:space="preserve">The four largest regressions are all KNN on SurGen-EV: tissue-type clustering with UNI2 (−0.1302), caption-based 15-class with Conch1_5 (−0.1179), caption-based with UNI2 (−0.1067) and caption-based 15-class with UNI2 (−0.0956). This is the same k = 35 transfer problem visible in the summary table, and it is the one result in this document that a reviewer is likely to press on. The defence is that k was selected on TCGA alone, which is the correct protocol for external validation, and that selecting it on SurGen would invalidate the experiment. Outside the SurGen KNN group the losses are small — mostly −0.01 to −0.06 — and concentrated on ConchV1 and Conch1_5 with the linear head on PAIP-EV.</w:t>
      </w:r>
    </w:p>
    <w:p>
      <w:pPr>
        <w:keepNext/>
        <w:spacing w:after="100" w:before="60"/>
      </w:pPr>
      <w:r>
        <w:rPr>
          <w:rFonts w:ascii="Calibri" w:cs="Calibri" w:eastAsia="Calibri" w:hAnsi="Calibri"/>
          <w:b w:val="false"/>
          <w:bCs w:val="false"/>
          <w:i/>
          <w:iCs/>
          <w:color w:val="595959"/>
          <w:sz w:val="18"/>
          <w:szCs w:val="18"/>
        </w:rPr>
        <w:t xml:space="preserve">All configurations with a negative change in balanced accuracy, sorted worst first. Rows at −0.05 or worse are bold.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750"/>
        <w:gridCol w:w="1300"/>
        <w:gridCol w:w="950"/>
        <w:gridCol w:w="1020"/>
        <w:gridCol w:w="1020"/>
        <w:gridCol w:w="1020"/>
      </w:tblGrid>
      <w:tr>
        <w:trPr>
          <w:cantSplit/>
          <w:tblHeader/>
        </w:trPr>
        <w:tc>
          <w:tcPr>
            <w:tcW w:type="dxa" w:w="13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Cohort</w:t>
            </w:r>
          </w:p>
        </w:tc>
        <w:tc>
          <w:tcPr>
            <w:tcW w:type="dxa" w:w="275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Aggregation</w:t>
            </w:r>
          </w:p>
        </w:tc>
        <w:tc>
          <w:tcPr>
            <w:tcW w:type="dxa" w:w="13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Model</w:t>
            </w:r>
          </w:p>
        </w:tc>
        <w:tc>
          <w:tcPr>
            <w:tcW w:type="dxa" w:w="95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Clf</w:t>
            </w:r>
          </w:p>
        </w:tc>
        <w:tc>
          <w:tcPr>
            <w:tcW w:type="dxa" w:w="102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frozen</w:t>
            </w:r>
          </w:p>
        </w:tc>
        <w:tc>
          <w:tcPr>
            <w:tcW w:type="dxa" w:w="102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BalAcc corr.</w:t>
            </w:r>
          </w:p>
        </w:tc>
        <w:tc>
          <w:tcPr>
            <w:tcW w:type="dxa" w:w="102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i w:val="false"/>
                <w:iCs w:val="false"/>
                <w:color w:val="FFFFFF"/>
                <w:sz w:val="18"/>
                <w:szCs w:val="18"/>
              </w:rPr>
              <w:t xml:space="preserve">Δ BalAcc</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Tissue-type clustering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UNI2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KNN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0.6427</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0.5125</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−0.1302</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Caption-based (15 classes)</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Conch1_5</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KNN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0.6309</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0.5130</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−0.1179</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Caption-based</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UNI2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KNN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0.6808</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0.5741</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−0.1067</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Caption-based (15 classes)</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UNI2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KNN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0.6862</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0.5906</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−0.0956</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Caption-based (15 classes)</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ConchV1</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LR</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0.8363</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0.7734</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−0.0629</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Tissue-type clustering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ConchV1</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LR</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0.7480</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0.6851</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−0.0629</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Averaging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ConchV1</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ANN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0.7752</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0.7132</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−0.0620</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Averaging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bCs/>
                <w:i w:val="false"/>
                <w:iCs w:val="false"/>
                <w:color w:val="262626"/>
                <w:sz w:val="18"/>
                <w:szCs w:val="18"/>
              </w:rPr>
              <w:t xml:space="preserve">ConchV1</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ProtoNet</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0.7565</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262626"/>
                <w:sz w:val="18"/>
                <w:szCs w:val="18"/>
              </w:rPr>
              <w:t xml:space="preserve">0.7029</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bCs/>
                <w:i w:val="false"/>
                <w:iCs w:val="false"/>
                <w:color w:val="C00000"/>
                <w:sz w:val="18"/>
                <w:szCs w:val="18"/>
              </w:rPr>
              <w:t xml:space="preserve">−0.0536</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Averaging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0.6062</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0.5636</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−0.0426</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0.8354</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0.7930</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−0.0424</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Tissue-type clustering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0.8194</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0.7770</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−0.0424</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Averaging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0.6875</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0.6453</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−0.0422</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 (15 classes)</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0.8024</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0.7658</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−0.0366</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Tissue-type clustering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0.7694</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0.7328</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−0.0366</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0.6984</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0.6623</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−0.0361</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0.7431</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0.7083</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−0.0348</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Averaging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0.7168</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0.6945</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−0.0223</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0.5367</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0.5148</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−0.0219</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Tissue-type clustering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0.7226</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0.7047</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−0.0179</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Tissue-type clustering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0.7752</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0.7574</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−0.0178</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0.6922</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0.6753</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−0.0169</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Averaging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0.7819</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0.7658</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−0.0161</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Tissue-type clustering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0.6247</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0.6086</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−0.0161</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Tissue-type clustering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0.5271</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0.5148</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−0.0123</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Averaging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0.7770</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0.7649</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−0.0121</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0.7837</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0.7743</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−0.0094</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Averaging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0.6412</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0.6326</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−0.0086</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Averaging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0.8702</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0.8617</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−0.0085</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Tissue-type clustering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H-Optimus-1</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0.8363</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0.8278</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−0.0085</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Virchow2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RF</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0.7921</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0.7837</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−0.0084</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 (15 classes)</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0.7750</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0.7666</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−0.0084</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Averaging</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LR</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0.7547</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0.7471</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−0.0076</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0.6058</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0.5984</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−0.0074</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 (15 classes)</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0.6685</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0.6623</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−0.0062</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Conch1_5</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0.6193</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0.6140</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−0.0053</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SurGen-EV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 (15 classes)</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KNN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0.5106</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0.5056</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−0.0050</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 (15 classes)</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ConchV1</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ProtoNet</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0.8024</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0.8006</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−0.0018</w:t>
            </w:r>
          </w:p>
        </w:tc>
      </w:tr>
      <w:tr>
        <w:trPr>
          <w:cantSplit/>
        </w:trPr>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PAIP-EV</w:t>
            </w:r>
          </w:p>
        </w:tc>
        <w:tc>
          <w:tcPr>
            <w:tcW w:type="dxa" w:w="275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Caption-based (15 classes)</w:t>
            </w:r>
          </w:p>
        </w:tc>
        <w:tc>
          <w:tcPr>
            <w:tcW w:type="dxa" w:w="1300"/>
            <w:shd w:fill="FFFFFF" w:color="auto" w:val="clear"/>
            <w:tcMar>
              <w:top w:type="dxa" w:w="50"/>
              <w:left w:type="dxa" w:w="90"/>
              <w:bottom w:type="dxa" w:w="50"/>
              <w:right w:type="dxa" w:w="90"/>
            </w:tcMar>
            <w:vAlign w:val="center"/>
          </w:tcPr>
          <w:p>
            <w:pPr>
              <w:spacing w:after="0" w:before="0" w:line="240"/>
              <w:jc w:val="left"/>
            </w:pPr>
            <w:r>
              <w:rPr>
                <w:rFonts w:ascii="Calibri" w:cs="Calibri" w:eastAsia="Calibri" w:hAnsi="Calibri"/>
                <w:b w:val="false"/>
                <w:bCs w:val="false"/>
                <w:i w:val="false"/>
                <w:iCs w:val="false"/>
                <w:color w:val="262626"/>
                <w:sz w:val="18"/>
                <w:szCs w:val="18"/>
              </w:rPr>
              <w:t xml:space="preserve">UNI2</w:t>
            </w:r>
          </w:p>
        </w:tc>
        <w:tc>
          <w:tcPr>
            <w:tcW w:type="dxa" w:w="95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ANN</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0.8533</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262626"/>
                <w:sz w:val="18"/>
                <w:szCs w:val="18"/>
              </w:rPr>
              <w:t xml:space="preserve">0.8524</w:t>
            </w:r>
          </w:p>
        </w:tc>
        <w:tc>
          <w:tcPr>
            <w:tcW w:type="dxa" w:w="1020"/>
            <w:shd w:fill="FFFFFF" w:color="auto" w:val="clear"/>
            <w:tcMar>
              <w:top w:type="dxa" w:w="50"/>
              <w:left w:type="dxa" w:w="90"/>
              <w:bottom w:type="dxa" w:w="50"/>
              <w:right w:type="dxa" w:w="90"/>
            </w:tcMar>
            <w:vAlign w:val="center"/>
          </w:tcPr>
          <w:p>
            <w:pPr>
              <w:spacing w:after="0" w:before="0" w:line="240"/>
              <w:jc w:val="center"/>
            </w:pPr>
            <w:r>
              <w:rPr>
                <w:rFonts w:ascii="Calibri" w:cs="Calibri" w:eastAsia="Calibri" w:hAnsi="Calibri"/>
                <w:b w:val="false"/>
                <w:bCs w:val="false"/>
                <w:i w:val="false"/>
                <w:iCs w:val="false"/>
                <w:color w:val="C00000"/>
                <w:sz w:val="18"/>
                <w:szCs w:val="18"/>
              </w:rPr>
              <w:t xml:space="preserve">−0.0009</w:t>
            </w:r>
          </w:p>
        </w:tc>
      </w:tr>
    </w:tbl>
    <w:p>
      <w:pPr>
        <w:pStyle w:val="Heading1"/>
        <w:spacing w:after="160" w:before="0"/>
      </w:pPr>
      <w:r>
        <w:br w:type="page"/>
      </w:r>
      <w:r>
        <w:rPr>
          <w:rFonts w:ascii="Calibri" w:cs="Calibri" w:eastAsia="Calibri" w:hAnsi="Calibri"/>
          <w:b/>
          <w:bCs/>
          <w:i w:val="false"/>
          <w:iCs w:val="false"/>
          <w:color w:val="1F3864"/>
          <w:sz w:val="28"/>
          <w:szCs w:val="28"/>
        </w:rPr>
        <w:t xml:space="preserve">5  Reference: PAIP-IV radar plots</w:t>
      </w:r>
    </w:p>
    <w:p>
      <w:pPr>
        <w:spacing w:after="120"/>
      </w:pPr>
      <w:r>
        <w:rPr>
          <w:rFonts w:ascii="Calibri" w:cs="Calibri" w:eastAsia="Calibri" w:hAnsi="Calibri"/>
          <w:b w:val="false"/>
          <w:bCs w:val="false"/>
          <w:i w:val="false"/>
          <w:iCs w:val="false"/>
          <w:color w:val="262626"/>
          <w:sz w:val="20"/>
          <w:szCs w:val="20"/>
        </w:rPr>
        <w:t xml:space="preserve">PAIP-IV is the PAIP provider’s own train/test split evaluated as a single fixed split (N = 31, 7 positive). It is an internal experiment: the threshold is fitted on its own data, so the correction does not apply and these plots are unchanged from the previous draft. They are reproduced here so the external-validation figures can be read against an internal baseline on the same cohort. Note that the axis labels carry no "_corrected" suffix, unlike Figures 1 to 4.</w:t>
      </w:r>
    </w:p>
    <w:p>
      <w:pPr>
        <w:spacing w:after="120"/>
      </w:pPr>
      <w:r>
        <w:rPr>
          <w:rFonts w:ascii="Calibri" w:cs="Calibri" w:eastAsia="Calibri" w:hAnsi="Calibri"/>
          <w:b w:val="false"/>
          <w:bCs w:val="false"/>
          <w:i w:val="false"/>
          <w:iCs w:val="false"/>
          <w:color w:val="262626"/>
          <w:sz w:val="20"/>
          <w:szCs w:val="20"/>
        </w:rPr>
        <w:t xml:space="preserve">The earlier empty PAIP-IV AUROC plot was caused by a partially rebuilt results tree, with missing cells filled as 0.0, rather than by a computation fault; these figures are from the complete tree.</w:t>
      </w:r>
    </w:p>
    <w:p>
      <w:pPr>
        <w:spacing w:after="60" w:before="60"/>
        <w:jc w:val="center"/>
      </w:pPr>
      <w:r>
        <w:drawing>
          <wp:inline distT="0" distB="0" distL="0" distR="0">
            <wp:extent cx="44577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4752975"/>
                    </a:xfrm>
                    <a:prstGeom prst="rect">
                      <a:avLst/>
                    </a:prstGeom>
                  </pic:spPr>
                </pic:pic>
              </a:graphicData>
            </a:graphic>
          </wp:inline>
        </w:drawing>
      </w:r>
    </w:p>
    <w:p>
      <w:pPr>
        <w:spacing w:after="240"/>
        <w:jc w:val="center"/>
      </w:pPr>
      <w:r>
        <w:rPr>
          <w:rFonts w:ascii="Calibri" w:cs="Calibri" w:eastAsia="Calibri" w:hAnsi="Calibri"/>
          <w:b w:val="false"/>
          <w:bCs w:val="false"/>
          <w:i/>
          <w:iCs/>
          <w:color w:val="595959"/>
          <w:sz w:val="18"/>
          <w:szCs w:val="18"/>
        </w:rPr>
        <w:t xml:space="preserve">Figure 5. PAIP-IV — AUROC across every classifier × aggregation axis. Internal validation, thresholds not corrected. N = 31.</w:t>
      </w:r>
    </w:p>
    <w:p>
      <w:pPr>
        <w:spacing w:after="60" w:before="60"/>
        <w:jc w:val="center"/>
      </w:pPr>
      <w:r>
        <w:drawing>
          <wp:inline distT="0" distB="0" distL="0" distR="0">
            <wp:extent cx="44577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4752975"/>
                    </a:xfrm>
                    <a:prstGeom prst="rect">
                      <a:avLst/>
                    </a:prstGeom>
                  </pic:spPr>
                </pic:pic>
              </a:graphicData>
            </a:graphic>
          </wp:inline>
        </w:drawing>
      </w:r>
    </w:p>
    <w:p>
      <w:pPr>
        <w:spacing w:after="240"/>
        <w:jc w:val="center"/>
      </w:pPr>
      <w:r>
        <w:rPr>
          <w:rFonts w:ascii="Calibri" w:cs="Calibri" w:eastAsia="Calibri" w:hAnsi="Calibri"/>
          <w:b w:val="false"/>
          <w:bCs w:val="false"/>
          <w:i/>
          <w:iCs/>
          <w:color w:val="595959"/>
          <w:sz w:val="18"/>
          <w:szCs w:val="18"/>
        </w:rPr>
        <w:t xml:space="preserve">Figure 6. PAIP-IV — balanced accuracy across every classifier × aggregation axis. Internal validation, thresholds not corrected. N = 31.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977aa2a4d3f5a4d451e42f2b344c30c9360b0e.png"/><Relationship Id="rId8" Type="http://schemas.openxmlformats.org/officeDocument/2006/relationships/image" Target="media/a9fffff9ba475796e81422b7f612ffaab438c244.png"/><Relationship Id="rId9" Type="http://schemas.openxmlformats.org/officeDocument/2006/relationships/image" Target="media/ea69b4374cd70280f5861c87a007d88b64b7a4da.png"/><Relationship Id="rId10" Type="http://schemas.openxmlformats.org/officeDocument/2006/relationships/image" Target="media/ce3a0d5a1c9f95846be7ce3386c2b5bf27865cef.png"/><Relationship Id="rId11" Type="http://schemas.openxmlformats.org/officeDocument/2006/relationships/image" Target="media/a3357dbfdb4329d15edfd87fa9f66408ca861cc9.png"/><Relationship Id="rId12" Type="http://schemas.openxmlformats.org/officeDocument/2006/relationships/image" Target="media/a8017d09cc52723ff4f176b5c702fc0bded681d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2026-08-31T11:28:57.740Z</dcterms:created>
  <dcterms:modified xsi:type="dcterms:W3CDTF">2026-08-31T11:28:57.740Z</dcterms:modified>
</cp:coreProperties>
</file>

<file path=docProps/custom.xml><?xml version="1.0" encoding="utf-8"?>
<Properties xmlns="http://schemas.openxmlformats.org/officeDocument/2006/custom-properties" xmlns:vt="http://schemas.openxmlformats.org/officeDocument/2006/docPropsVTypes"/>
</file>