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2" w:space="6"/>
        </w:pBdr>
        <w:spacing w:after="60"/>
      </w:pPr>
      <w:r>
        <w:rPr>
          <w:rFonts w:ascii="Calibri" w:cs="Calibri" w:eastAsia="Calibri" w:hAnsi="Calibri"/>
          <w:b/>
          <w:bCs/>
          <w:color w:val="1F3864"/>
          <w:sz w:val="40"/>
          <w:szCs w:val="40"/>
        </w:rPr>
        <w:t xml:space="preserve">Results</w:t>
      </w:r>
    </w:p>
    <w:p>
      <w:pPr>
        <w:spacing w:after="240" w:before="160"/>
      </w:pPr>
      <w:r>
        <w:rPr>
          <w:rFonts w:ascii="Calibri" w:cs="Calibri" w:eastAsia="Calibri" w:hAnsi="Calibri"/>
          <w:i/>
          <w:iCs/>
          <w:color w:val="595959"/>
          <w:sz w:val="18"/>
          <w:szCs w:val="18"/>
        </w:rPr>
        <w:t xml:space="preserve">Every value is read from the provenance-stamped result_*.json files. Latest run: 2026-08-27T09:11:35+00:00. Git commit(s): 48179b3, bbe4c0e, e8cbb89. Best row in each table (by BalAcc) is bold.</w:t>
      </w:r>
    </w:p>
    <w:p>
      <w:pPr>
        <w:pStyle w:val="Heading1"/>
        <w:spacing w:after="160" w:before="0"/>
      </w:pPr>
      <w:r>
        <w:rPr>
          <w:rFonts w:ascii="Calibri" w:cs="Calibri" w:eastAsia="Calibri" w:hAnsi="Calibri"/>
          <w:b/>
          <w:bCs/>
          <w:color w:val="1F3864"/>
          <w:sz w:val="28"/>
          <w:szCs w:val="28"/>
        </w:rPr>
        <w:t xml:space="preserve">4.1 TCGA Validation Results</w:t>
      </w:r>
    </w:p>
    <w:p>
      <w:pPr>
        <w:keepNext w:val="false"/>
        <w:spacing w:after="160" w:line="276"/>
        <w:jc w:val="both"/>
      </w:pPr>
      <w:r>
        <w:rPr>
          <w:rFonts w:ascii="Calibri" w:cs="Calibri" w:eastAsia="Calibri" w:hAnsi="Calibri"/>
          <w:i w:val="false"/>
          <w:iCs w:val="false"/>
          <w:color w:val="262626"/>
          <w:sz w:val="20"/>
          <w:szCs w:val="20"/>
        </w:rPr>
        <w:t xml:space="preserve">Internal 4-fold cross-validation on TCGA (N = 413). For each foundation model the table reports its best aggregation, selected by BalAcc. Confusion matrices are [[TN, FP], [FN, TP]].</w:t>
      </w:r>
    </w:p>
    <w:p>
      <w:pPr>
        <w:pStyle w:val="Heading2"/>
        <w:keepNext/>
        <w:spacing w:after="80" w:before="280"/>
      </w:pPr>
      <w:r>
        <w:rPr>
          <w:rFonts w:ascii="Calibri" w:cs="Calibri" w:eastAsia="Calibri" w:hAnsi="Calibri"/>
          <w:b/>
          <w:bCs/>
          <w:color w:val="2F5496"/>
          <w:sz w:val="23"/>
          <w:szCs w:val="23"/>
        </w:rPr>
        <w:t xml:space="preserve">1. Conch1_5</w:t>
      </w:r>
    </w:p>
    <w:p>
      <w:pPr>
        <w:keepNext/>
        <w:spacing w:after="100" w:before="60"/>
      </w:pPr>
      <w:r>
        <w:rPr>
          <w:rFonts w:ascii="Calibri" w:cs="Calibri" w:eastAsia="Calibri" w:hAnsi="Calibri"/>
          <w:i/>
          <w:iCs/>
          <w:color w:val="595959"/>
          <w:sz w:val="18"/>
          <w:szCs w:val="18"/>
        </w:rPr>
        <w:t xml:space="preserve">TCGA (4-fold CV): Conch1_5 — best aggregation: tissue-type clustering. N = 413.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 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Macro-F1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Linear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86.01%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65.64%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66.95%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81.73%</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[[83,5],[9,6]]</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ANN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78.73%</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72.84%</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66.48%</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83.94%</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[[71,17],[5,10]]</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86.04%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56.11%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56.73%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67.88%</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[[86,2],[13,2]]</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60.85%</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58.37%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51.04%</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68.32%</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[[55,33],[7,8]]</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r_forest</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87.68%</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62.87%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65.87%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82.11%</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[[86,2],[11,4]]</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2. UNI-2h</w:t>
      </w:r>
    </w:p>
    <w:p>
      <w:pPr>
        <w:keepNext/>
        <w:spacing w:after="100" w:before="60"/>
      </w:pPr>
      <w:r>
        <w:rPr>
          <w:rFonts w:ascii="Calibri" w:cs="Calibri" w:eastAsia="Calibri" w:hAnsi="Calibri"/>
          <w:i/>
          <w:iCs/>
          <w:color w:val="595959"/>
          <w:sz w:val="18"/>
          <w:szCs w:val="18"/>
        </w:rPr>
        <w:t xml:space="preserve">TCGA (4-fold CV): UNI-2h — best aggregation: averaging. N = 413.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 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Macro-F1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Linear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90.04%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74.09%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76.20%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86.08%</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[[85,4],[7,8]]</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ANN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83.38%</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78.89%</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72.57%</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86.40%</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[[75,14],[4,11]]</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86.34%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58.80%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61.13%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70.34%</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[[86,2],[12,3]]</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64.15%</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65.77%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55.82%</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72.09%</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[[56,32],[4,10]]</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r_forest</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89.14%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65.47%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68.92%</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83.94%</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[[87,1],[10,5]]</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3. H-Optimus-1</w:t>
      </w:r>
    </w:p>
    <w:p>
      <w:pPr>
        <w:keepNext/>
        <w:spacing w:after="100" w:before="60"/>
      </w:pPr>
      <w:r>
        <w:rPr>
          <w:rFonts w:ascii="Calibri" w:cs="Calibri" w:eastAsia="Calibri" w:hAnsi="Calibri"/>
          <w:i/>
          <w:iCs/>
          <w:color w:val="595959"/>
          <w:sz w:val="18"/>
          <w:szCs w:val="18"/>
        </w:rPr>
        <w:t xml:space="preserve">TCGA (4-fold CV): H-Optimus-1 — best aggregation: caption-based clustering (15). N = 413.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 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Macro-F1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Linear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92.30%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80.04%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82.85%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92.79%</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[[86,2],[6,10]]</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ANN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87.51%</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82.83%</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78.24%</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91.90%</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[[79,10],[4,12]]</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86.79%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60.05%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62.69%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72.51%</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[[86,2],[12,4]]</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81.45%</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75.07%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69.73%</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83.67%</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[[74,14],[5,10]]</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r_forest</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89.48%</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67.73%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72.33%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91.59%</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[[87,2],[10,6]]</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 Conch_V1</w:t>
      </w:r>
    </w:p>
    <w:p>
      <w:pPr>
        <w:keepNext/>
        <w:spacing w:after="100" w:before="60"/>
      </w:pPr>
      <w:r>
        <w:rPr>
          <w:rFonts w:ascii="Calibri" w:cs="Calibri" w:eastAsia="Calibri" w:hAnsi="Calibri"/>
          <w:i/>
          <w:iCs/>
          <w:color w:val="595959"/>
          <w:sz w:val="18"/>
          <w:szCs w:val="18"/>
        </w:rPr>
        <w:t xml:space="preserve">TCGA (4-fold CV): Conch_V1 — best aggregation: tissue-type clustering. N = 413.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 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Macro-F1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Linear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88.04%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69.81%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72.27%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77.58%</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[[84,4],[8,7]]</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ANN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79.14%</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76.05%</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68.31%</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81.06%</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[[70,18],[4,11]]</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85.77%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59.24%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60.74%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70.14%</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[[85,3],[12,4]]</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67.01%</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60.58%</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54.50%</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67.96%</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[[62,27],[7,8]]</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r_forest</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89.20%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65.93%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69.14%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80.89%</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[[87,2],[10,5]]</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5. Virchow2</w:t>
      </w:r>
    </w:p>
    <w:p>
      <w:pPr>
        <w:keepNext/>
        <w:spacing w:after="100" w:before="60"/>
      </w:pPr>
      <w:r>
        <w:rPr>
          <w:rFonts w:ascii="Calibri" w:cs="Calibri" w:eastAsia="Calibri" w:hAnsi="Calibri"/>
          <w:i/>
          <w:iCs/>
          <w:color w:val="595959"/>
          <w:sz w:val="18"/>
          <w:szCs w:val="18"/>
        </w:rPr>
        <w:t xml:space="preserve">TCGA (4-fold CV): Virchow2 — best aggregation: caption-based clustering (15). N = 413.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 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Macro-F1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Linear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89.53%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73.20%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76.36%</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88.08%</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[[85,4],[8,8]]</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ANN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80.10%</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78.95%</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70.08%</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86.96%</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[[71,17],[4,12]]</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85.30%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58.30%</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59.34%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68.58%</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[[85,3],[12,3]]</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69.19%</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64.25%</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57.45%</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69.69%</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[[63,25],[6,8]]</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r_forest</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89.43%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65.38%</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69.67%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87.47%</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[[88,1],[10,5]]</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Summary of Best Results</w:t>
      </w:r>
    </w:p>
    <w:p>
      <w:pPr>
        <w:keepNext/>
        <w:spacing w:after="100" w:before="60"/>
      </w:pPr>
      <w:r>
        <w:rPr>
          <w:rFonts w:ascii="Calibri" w:cs="Calibri" w:eastAsia="Calibri" w:hAnsi="Calibri"/>
          <w:i/>
          <w:iCs/>
          <w:color w:val="595959"/>
          <w:sz w:val="18"/>
          <w:szCs w:val="18"/>
        </w:rPr>
        <w:t xml:space="preserve">TCGA: summary of best results — one row per foundation model × aggregation; the adaptation shown is the classifier with the highest BalAcc for that pair.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1630"/>
        <w:gridCol w:w="1630"/>
      </w:tblGrid>
      <w:tr>
        <w:trPr>
          <w:cantSplit/>
          <w:tblHeader/>
        </w:trPr>
        <w:tc>
          <w:tcPr>
            <w:tcW w:type="dxa" w:w="21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Models</w:t>
            </w:r>
          </w:p>
        </w:tc>
        <w:tc>
          <w:tcPr>
            <w:tcW w:type="dxa" w:w="21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Aggregation</w:t>
            </w:r>
          </w:p>
        </w:tc>
        <w:tc>
          <w:tcPr>
            <w:tcW w:type="dxa" w:w="19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Best Adaptation</w:t>
            </w:r>
          </w:p>
        </w:tc>
        <w:tc>
          <w:tcPr>
            <w:tcW w:type="dxa" w:w="163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Balanced Acc</w:t>
            </w:r>
          </w:p>
        </w:tc>
        <w:tc>
          <w:tcPr>
            <w:tcW w:type="dxa" w:w="163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1.5</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Averaging</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LR</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70.98</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74.36</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UNI-2h</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Averaging</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78.89</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86.40</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H-Optimus-1</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Averaging</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80.04</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88.37</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V1</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Averaging</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71.74</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76.72</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Virchow2</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Averaging</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76.26</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82.85</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1.5</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LR</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72.28</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83.89</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UNI-2h</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78.18</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88.64</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H-Optimus-1</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81.73</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91.31</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V1</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69.74</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81.23</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Virchow2</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76.70</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85.50</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1.5</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Caption-15</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71.90</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80.72</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UNI-2h</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Caption-15</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78.61</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87.86</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H-Optimus-1</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Caption-15</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82.83</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91.90</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V1</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Caption-15</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LR</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69.89</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79.93</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Virchow2</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Caption-15</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78.95</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86.96</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1.5</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Tissue-type</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72.84</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83.94</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UNI-2h</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Tissue-type</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78.37</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88.07</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H-Optimus-1</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Tissue-type</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79.16</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90.45</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Conch V1</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Tissue-type</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76.05</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81.06</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Virchow2</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Tissue-type</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72.36</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83.39</w:t>
            </w:r>
          </w:p>
        </w:tc>
      </w:tr>
      <w:tr>
        <w:trPr>
          <w:cantSplit/>
        </w:trPr>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PRISM</w:t>
            </w:r>
          </w:p>
        </w:tc>
        <w:tc>
          <w:tcPr>
            <w:tcW w:type="dxa" w:w="21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PRISM</w:t>
            </w:r>
          </w:p>
        </w:tc>
        <w:tc>
          <w:tcPr>
            <w:tcW w:type="dxa" w:w="19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79.33</w:t>
            </w:r>
          </w:p>
        </w:tc>
        <w:tc>
          <w:tcPr>
            <w:tcW w:type="dxa" w:w="163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86.85</w:t>
            </w:r>
          </w:p>
        </w:tc>
      </w:tr>
      <w:tr>
        <w:trPr>
          <w:cantSplit/>
        </w:trPr>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Conch with TITAN</w:t>
            </w:r>
          </w:p>
        </w:tc>
        <w:tc>
          <w:tcPr>
            <w:tcW w:type="dxa" w:w="21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TITAN</w:t>
            </w:r>
          </w:p>
        </w:tc>
        <w:tc>
          <w:tcPr>
            <w:tcW w:type="dxa" w:w="19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ANN</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80.29</w:t>
            </w:r>
          </w:p>
        </w:tc>
        <w:tc>
          <w:tcPr>
            <w:tcW w:type="dxa" w:w="163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86.45</w:t>
            </w:r>
          </w:p>
        </w:tc>
      </w:tr>
    </w:tbl>
    <w:p>
      <w:pPr>
        <w:spacing w:after="0"/>
      </w:pPr>
      <w:r>
        <w:rPr>
          <w:sz w:val="12"/>
          <w:szCs w:val="12"/>
        </w:rPr>
        <w:t xml:space="preserve"/>
      </w:r>
    </w:p>
    <w:p>
      <w:pPr>
        <w:pStyle w:val="Heading2"/>
        <w:keepNext/>
        <w:spacing w:after="80" w:before="0"/>
      </w:pPr>
      <w:r>
        <w:br w:type="page"/>
      </w:r>
      <w:r>
        <w:rPr>
          <w:rFonts w:ascii="Calibri" w:cs="Calibri" w:eastAsia="Calibri" w:hAnsi="Calibri"/>
          <w:b/>
          <w:bCs/>
          <w:color w:val="2F5496"/>
          <w:sz w:val="23"/>
          <w:szCs w:val="23"/>
        </w:rPr>
        <w:t xml:space="preserve">Radar Plots</w:t>
      </w:r>
    </w:p>
    <w:p>
      <w:pPr>
        <w:keepNext/>
        <w:spacing w:after="160" w:line="276"/>
        <w:jc w:val="both"/>
      </w:pPr>
      <w:r>
        <w:rPr>
          <w:rFonts w:ascii="Calibri" w:cs="Calibri" w:eastAsia="Calibri" w:hAnsi="Calibri"/>
          <w:i w:val="false"/>
          <w:iCs w:val="false"/>
          <w:color w:val="262626"/>
          <w:sz w:val="20"/>
          <w:szCs w:val="20"/>
        </w:rPr>
        <w:t xml:space="preserve">Each axis is one classifier × aggregation combination. The four shaded quadrants group the aggregation strategies (CBA, CBA15, AVG, TTC) and each coloured trace is one foundation model, so a trace that bulges into one quadrant is a model that favours that aggregation.</w:t>
      </w:r>
    </w:p>
    <w:p>
      <w:pPr>
        <w:keepNext/>
        <w:spacing w:after="80" w:before="120"/>
        <w:jc w:val="center"/>
      </w:pP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TCGA-CV — AUROC across every classifier × aggregation axis. N = 413.</w:t>
      </w:r>
    </w:p>
    <w:p>
      <w:pPr>
        <w:keepNext/>
        <w:spacing w:after="80" w:before="120"/>
        <w:jc w:val="center"/>
      </w:pPr>
      <w:r>
        <w:br w:type="page"/>
      </w: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2. TCGA-CV — balanced accuracy across every classifier × aggregation axis. N = 413.</w:t>
      </w:r>
    </w:p>
    <w:p>
      <w:pPr>
        <w:pStyle w:val="Heading1"/>
        <w:spacing w:after="160" w:before="0"/>
      </w:pPr>
      <w:r>
        <w:br w:type="page"/>
      </w:r>
      <w:r>
        <w:rPr>
          <w:rFonts w:ascii="Calibri" w:cs="Calibri" w:eastAsia="Calibri" w:hAnsi="Calibri"/>
          <w:b/>
          <w:bCs/>
          <w:color w:val="1F3864"/>
          <w:sz w:val="28"/>
          <w:szCs w:val="28"/>
        </w:rPr>
        <w:t xml:space="preserve">4.2 PAIP Validation Results</w:t>
      </w:r>
    </w:p>
    <w:p>
      <w:pPr>
        <w:keepNext w:val="false"/>
        <w:spacing w:after="160" w:line="276"/>
        <w:jc w:val="both"/>
      </w:pPr>
      <w:r>
        <w:rPr>
          <w:rFonts w:ascii="Calibri" w:cs="Calibri" w:eastAsia="Calibri" w:hAnsi="Calibri"/>
          <w:i w:val="false"/>
          <w:iCs w:val="false"/>
          <w:color w:val="262626"/>
          <w:sz w:val="20"/>
          <w:szCs w:val="20"/>
        </w:rPr>
        <w:t xml:space="preserve">After training on TCGA, models were validated on the PAIP cohort across all aggregation strategies. No PAIP data enters training and the decision threshold is fixed on TCGA (Youden's J on pooled out-of-fold TCGA-CV probabilities), so the operating point is never tuned on the target cohort. Confusion matrices are [[TN, FP], [FN, TP]].</w:t>
      </w:r>
    </w:p>
    <w:p>
      <w:pPr>
        <w:pStyle w:val="Heading2"/>
        <w:keepNext/>
        <w:spacing w:after="80" w:before="280"/>
      </w:pPr>
      <w:r>
        <w:rPr>
          <w:rFonts w:ascii="Calibri" w:cs="Calibri" w:eastAsia="Calibri" w:hAnsi="Calibri"/>
          <w:b/>
          <w:bCs/>
          <w:color w:val="2F5496"/>
          <w:sz w:val="23"/>
          <w:szCs w:val="23"/>
        </w:rPr>
        <w:t xml:space="preserve">4.2.1 Averaging Aggregation (1× feature dim)</w:t>
      </w:r>
    </w:p>
    <w:p>
      <w:pPr>
        <w:keepNext/>
        <w:spacing w:after="100" w:before="60"/>
      </w:pPr>
      <w:r>
        <w:rPr>
          <w:rFonts w:ascii="Calibri" w:cs="Calibri" w:eastAsia="Calibri" w:hAnsi="Calibri"/>
          <w:i/>
          <w:iCs/>
          <w:color w:val="595959"/>
          <w:sz w:val="18"/>
          <w:szCs w:val="18"/>
        </w:rPr>
        <w:t xml:space="preserve">PAIP: Averaging Aggregation (1×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0.6795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0.6490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0.7939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[[38,21],[4,15]]</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0.7385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0.7094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0.6822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0.7293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[[45,14],[7,12]]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0.5526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0.5323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0.6311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[[59,0],[17,2]]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0.7821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0.7132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0.7094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0.8412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[[50,9],[8,11]]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0.7974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0.5878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0.5889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0.7395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[[59,0],[16,3]]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0.8718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0.7937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0.9153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[[58,1],[9,10]]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0.3833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0.8037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[[13,46],[1,18]]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0.4307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[[59,0],[19,0]]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0.8077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0.6175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0.8448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[[59,0],[15,4]]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0.4307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0.7042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[[59,0],[19,0]]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0.5789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0.5767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0.8751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[[59,0],[16,3]]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0.7779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0.7701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0.8442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[[51,8],[6,13]]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0.5475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0.5535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[[56,3],[16,3]]</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H-Optimus-1</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ProtoNet</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0.8846</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0.8702</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0.8511</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0.8742</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[[53,6],[3,16]]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0.6601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0.8319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[[57,2],[12,7]]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0.7770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0.7115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0.8644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[[42,17],[3,16]]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0.6897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0.6879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0.6425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0.7711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[[41,18],[6,13]]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0.6079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0.6132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0.6160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[[50,9],[12,7]]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0.8216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[[52,7],[7,12]]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0.7848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[[50,9],[9,10]]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0.8462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0.7388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0.8912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[[58,1],[11,8]]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0.4667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0.6225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0.4479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0.8014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[[19,40],[1,18]]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0.6026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0.5589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0.5388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0.5656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[[38,21],[10,9]]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0.7819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0.8412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[[55,4],[7,12]]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0.8385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0.6827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0.7173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0.8275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[[58,1],[12,7]]</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4.2.2 Caption-Based Aggregation (14× feature dim)</w:t>
      </w:r>
    </w:p>
    <w:p>
      <w:pPr>
        <w:keepNext/>
        <w:spacing w:after="100" w:before="60"/>
      </w:pPr>
      <w:r>
        <w:rPr>
          <w:rFonts w:ascii="Calibri" w:cs="Calibri" w:eastAsia="Calibri" w:hAnsi="Calibri"/>
          <w:i/>
          <w:iCs/>
          <w:color w:val="595959"/>
          <w:sz w:val="18"/>
          <w:szCs w:val="18"/>
        </w:rPr>
        <w:t xml:space="preserve">PAIP: Caption-Based Aggregation (14×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0.8626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[[46,13],[6,13]]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0.8132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0.7880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0.8707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[[50,9],[4,15]]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0.7692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0.6329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[[57,2],[16,3]]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0.7051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0.7159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0.6650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0.8448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[[41,18],[5,14]]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0.7846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0.5650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0.5527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0.8417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[[59,0],[16,3]]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0.7810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0.9063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[[58,1],[8,11]]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0.8282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0.8365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0.9083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[[48,11],[3,16]]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0.7821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0.5665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0.5705</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[[58,1],[16,3]]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0.4307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0.8626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[[59,0],[19,0]]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0.7872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0.5881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0.5917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0.8421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[[58,1],[15,4]]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0.6579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0.6904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0.8769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[[59,0],[13,6]]</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H-Optimus-1</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ANN</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0.8538</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0.8463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0.8182</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0.8955</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[[51,8],[3,16]]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0.5883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0.5951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0.5883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[[57,2],[15,4]]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0.8109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0.7593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0.8796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[[46,13],[3,16]]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0.8487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0.7359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0.7645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0.8648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[[56,3],[9,10]]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0.8333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0.7913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0.8483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[[50,9],[4,15]]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0.6308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0.6103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0.8368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[[33,26],[3,16]]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0.6154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0.6922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0.5985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0.6628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[[32,27],[3,16]]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0.6538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0.7355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0.6366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0.8510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[[34,25],[2,17]]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0.8179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0.7048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0.7246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0.8376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[[55,4],[10,9]]</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0.8278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0.7842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0.8876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[[48,11],[3,16]]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0.8885</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[[41,18],[2,17]]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0.6923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0.6657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0.7792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[[38,21],[3,16]]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0.7837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0.8599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[[49,10],[5,14]]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0.8205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0.7993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0.7749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0.8576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[[50,9],[5,14]]</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4.2.3 Caption-Based Aggregation, 15 classes (15× feature dim)</w:t>
      </w:r>
    </w:p>
    <w:p>
      <w:pPr>
        <w:keepNext/>
        <w:spacing w:after="100" w:before="60"/>
      </w:pPr>
      <w:r>
        <w:rPr>
          <w:rFonts w:ascii="Calibri" w:cs="Calibri" w:eastAsia="Calibri" w:hAnsi="Calibri"/>
          <w:i/>
          <w:iCs/>
          <w:color w:val="595959"/>
          <w:sz w:val="18"/>
          <w:szCs w:val="18"/>
        </w:rPr>
        <w:t xml:space="preserve">PAIP: Caption-Based Aggregation, 15 classes (15×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0.8831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[[45,14],[3,16]]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0.7783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0.7220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0.8599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[[43,16],[3,16]]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0.6795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0.6194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0.6664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[[42,17],[8,11]]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0.8462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0.7913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0.7913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0.8537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[[53,6],[6,13]]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0.7615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0.4519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0.8453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[[59,0],[19,0]]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0.7632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0.8094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[[59,0],[9,10]]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0.8359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0.8309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0.8003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0.8976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0.5789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0.5767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0.5789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[[59,0],[16,3]]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0.4307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0.8626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[[59,0],[19,0]]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0.6812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0.7087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0.8409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[[57,2],[12,7]]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0.8077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0.6175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0.8787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[[59,0],[15,4]]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0.8359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0.8380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0.8009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0.9008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[[49,10],[3,16]]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0.5272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0.5285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[[56,3],[17,2]]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0.8462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0.8448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0.8101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0.8778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[[50,9],[3,16]]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0.8487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0.7323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0.7603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0.8510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[[57,2],[9,10]]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0.8333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0.8363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0.7970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0.8644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[[49,10],[3,16]]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0.6641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0.7351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0.6411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0.8610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[[35,24],[2,17]]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0.6026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0.6302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0.5715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0.6789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[[34,25],[6,13]]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0.8608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[[45,14],[3,16]]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0.8282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0.6652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0.8409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[[58,1],[12,7]]</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Virchow2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LR</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0.8205</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0.8457</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0.7894</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0.9099</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[[47,12],[2,17]]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0.7528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0.6512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0.8928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[[35,24],[2,17]]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0.6410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0.6378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0.5962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0.6838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[[38,21],[7,12]]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0.8718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0.8260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0.8260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0.8724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[[54,5],[5,14]]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0.8821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0.7793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0.8151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0.8589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[[58,1],[8,11]]</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4.2.4 Tissue-Type Clustering Aggregation (9× feature dim)</w:t>
      </w:r>
    </w:p>
    <w:p>
      <w:pPr>
        <w:keepNext/>
        <w:spacing w:after="100" w:before="60"/>
      </w:pPr>
      <w:r>
        <w:rPr>
          <w:rFonts w:ascii="Calibri" w:cs="Calibri" w:eastAsia="Calibri" w:hAnsi="Calibri"/>
          <w:i/>
          <w:iCs/>
          <w:color w:val="595959"/>
          <w:sz w:val="18"/>
          <w:szCs w:val="18"/>
        </w:rPr>
        <w:t xml:space="preserve">PAIP: Tissue-Type Clustering Aggregation (9× feature dim).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0.7752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0.8394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[[48,11],[5,14]]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0.7712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[[44,15],[4,15]]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0.6209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0.5752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0.6111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[[36,23],[7,12]]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0.7226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0.7068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0.8171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[[48,11],[7,12]]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0.6860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0.6973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0.8354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[[53,6],[10,9]]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0.7886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0.8858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[[56,3],[8,11]]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0.6445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0.4822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0.8651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[[21,38],[1,18]]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0.5263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0.4838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0.5263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[[59,0],[18,1]]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0.4307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0.8555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[[59,0],[19,0]]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0.7795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0.5218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0.7852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[[59,0],[17,2]]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0.8077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0.6175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0.8724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[[59,0],[15,4]]</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H-Optimus-1</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ANN</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0.8538</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0.8463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0.8171</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0.8853</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[[51,8],[3,16]]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0.5450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0.5385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0.5455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[[55,4],[16,3]]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0.8194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0.7716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0.8689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[[47,12],[3,16]]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0.8359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0.6632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0.8614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[[59,0],[13,6]]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0.7480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0.8260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[[51,8],[7,12]]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0.8282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0.7794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0.7704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0.8066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[[52,7],[6,13]]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0.6282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0.6829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0.6048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0.7034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[[34,25],[4,15]]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0.6667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0.6479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0.8216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[[35,24],[2,17]]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0.6812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0.8259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[[57,2],[12,7]]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0.7051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0.7694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0.8492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[[38,21],[2,17]]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0.5256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0.5210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0.8596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[[24,35],[2,17]]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0.6026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0.5946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0.5977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[[36,23],[8,11]]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0.7226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0.7068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0.7921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[[48,11],[7,12]]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0.7564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0.7712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0.7186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0.8319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[[44,15],[4,15]]</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4.2.5 TITAN Aggregation (Conch1_5 only)</w:t>
      </w:r>
    </w:p>
    <w:p>
      <w:pPr>
        <w:keepNext/>
        <w:spacing w:after="100" w:before="60"/>
      </w:pPr>
      <w:r>
        <w:rPr>
          <w:rFonts w:ascii="Calibri" w:cs="Calibri" w:eastAsia="Calibri" w:hAnsi="Calibri"/>
          <w:i/>
          <w:iCs/>
          <w:color w:val="595959"/>
          <w:sz w:val="18"/>
          <w:szCs w:val="18"/>
        </w:rPr>
        <w:t xml:space="preserve">PAIP: TITAN Aggregation (Conch1_5 only).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Avg 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0.6795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0.7525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0.6593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0.8171</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[[36,23],[2,17]]</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ANN</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0.7103</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0.7550</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0.6820</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0.8623</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[[39,20],[3,16]]</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0.7821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0.7489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0.7271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0.7560</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[[48,11],[6,13]]</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0.7436</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0.7770</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0.7115</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0.8457</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[[42,17],[3,16]]</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bCs/>
                <w:color w:val="1F3B0F"/>
                <w:sz w:val="18"/>
                <w:szCs w:val="18"/>
              </w:rPr>
              <w:t xml:space="preserve">RF</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bCs/>
                <w:color w:val="1F3B0F"/>
                <w:sz w:val="18"/>
                <w:szCs w:val="18"/>
              </w:rPr>
              <w:t xml:space="preserve">0.8231</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bCs/>
                <w:color w:val="1F3B0F"/>
                <w:sz w:val="18"/>
                <w:szCs w:val="18"/>
              </w:rPr>
              <w:t xml:space="preserve">0.7903</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bCs/>
                <w:color w:val="1F3B0F"/>
                <w:sz w:val="18"/>
                <w:szCs w:val="18"/>
              </w:rPr>
              <w:t xml:space="preserve">0.7732</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bCs/>
                <w:color w:val="1F3B0F"/>
                <w:sz w:val="18"/>
                <w:szCs w:val="18"/>
              </w:rPr>
              <w:t xml:space="preserve">0.8426</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bCs/>
                <w:color w:val="1F3B0F"/>
                <w:sz w:val="18"/>
                <w:szCs w:val="18"/>
              </w:rPr>
              <w:t xml:space="preserve">[[50,9],[5,14]]</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4.2.6 PRISM Aggregation (slide-level embedding)</w:t>
      </w:r>
    </w:p>
    <w:p>
      <w:pPr>
        <w:keepNext/>
        <w:spacing w:after="100" w:before="60"/>
      </w:pPr>
      <w:r>
        <w:rPr>
          <w:rFonts w:ascii="Calibri" w:cs="Calibri" w:eastAsia="Calibri" w:hAnsi="Calibri"/>
          <w:i/>
          <w:iCs/>
          <w:color w:val="595959"/>
          <w:sz w:val="18"/>
          <w:szCs w:val="18"/>
        </w:rPr>
        <w:t xml:space="preserve">PAIP: PRISM Aggregation (slide-level embedding). N = 78.</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Avg 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0.7564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0.7855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0.7232</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0.8439</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[[43,16],[3,16]]</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ANN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0.7821</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0.7953</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0.7487</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0.8535</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[[45,14],[3,16]]</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0.7692</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0.6869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0.6869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0.7029</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[[50,9],[9,10]]</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0.8077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0.7837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0.7592</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0.8216</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[[49,10],[5,14]]</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RF</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0.8333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0.7756</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0.7743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0.8111</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[[52,7],[6,13]]</w:t>
            </w:r>
          </w:p>
        </w:tc>
      </w:tr>
    </w:tbl>
    <w:p>
      <w:pPr>
        <w:spacing w:after="0"/>
      </w:pPr>
      <w:r>
        <w:rPr>
          <w:sz w:val="12"/>
          <w:szCs w:val="12"/>
        </w:rPr>
        <w:t xml:space="preserve"/>
      </w:r>
    </w:p>
    <w:p>
      <w:pPr>
        <w:pStyle w:val="Heading2"/>
        <w:keepNext/>
        <w:spacing w:after="80" w:before="0"/>
      </w:pPr>
      <w:r>
        <w:br w:type="page"/>
      </w:r>
      <w:r>
        <w:rPr>
          <w:rFonts w:ascii="Calibri" w:cs="Calibri" w:eastAsia="Calibri" w:hAnsi="Calibri"/>
          <w:b/>
          <w:bCs/>
          <w:color w:val="2F5496"/>
          <w:sz w:val="23"/>
          <w:szCs w:val="23"/>
        </w:rPr>
        <w:t xml:space="preserve">4.2.7 Radar Plots</w:t>
      </w:r>
    </w:p>
    <w:p>
      <w:pPr>
        <w:keepNext/>
        <w:spacing w:after="160" w:line="276"/>
        <w:jc w:val="both"/>
      </w:pPr>
      <w:r>
        <w:rPr>
          <w:rFonts w:ascii="Calibri" w:cs="Calibri" w:eastAsia="Calibri" w:hAnsi="Calibri"/>
          <w:i w:val="false"/>
          <w:iCs w:val="false"/>
          <w:color w:val="262626"/>
          <w:sz w:val="20"/>
          <w:szCs w:val="20"/>
        </w:rPr>
        <w:t xml:space="preserve">Axes, quadrants and colours follow the convention introduced in 4.1.</w:t>
      </w:r>
    </w:p>
    <w:p>
      <w:pPr>
        <w:keepNext/>
        <w:spacing w:after="80" w:before="120"/>
        <w:jc w:val="center"/>
      </w:pP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3. PAIP-EV — AUROC. N = 78.</w:t>
      </w:r>
    </w:p>
    <w:p>
      <w:pPr>
        <w:keepNext/>
        <w:spacing w:after="80" w:before="120"/>
        <w:jc w:val="center"/>
      </w:pPr>
      <w:r>
        <w:br w:type="page"/>
      </w: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4. PAIP-EV — balanced accuracy. N = 78.</w:t>
      </w:r>
    </w:p>
    <w:p>
      <w:pPr>
        <w:keepNext/>
        <w:spacing w:after="80" w:before="120"/>
        <w:jc w:val="center"/>
      </w:pPr>
      <w:r>
        <w:br w:type="page"/>
      </w: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5. PAIP-IV — AUROC. N = 31. No model traces are drawn in this plot: every AUROC value collapsed to the axis origin when the figure was generated.</w:t>
      </w:r>
    </w:p>
    <w:p>
      <w:pPr>
        <w:keepNext/>
        <w:spacing w:after="80" w:before="120"/>
        <w:jc w:val="center"/>
      </w:pPr>
      <w:r>
        <w:br w:type="page"/>
      </w: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6. PAIP-IV — balanced accuracy. N = 31.</w:t>
      </w:r>
    </w:p>
    <w:p>
      <w:pPr>
        <w:pStyle w:val="Heading1"/>
        <w:spacing w:after="160" w:before="0"/>
      </w:pPr>
      <w:r>
        <w:br w:type="page"/>
      </w:r>
      <w:r>
        <w:rPr>
          <w:rFonts w:ascii="Calibri" w:cs="Calibri" w:eastAsia="Calibri" w:hAnsi="Calibri"/>
          <w:b/>
          <w:bCs/>
          <w:color w:val="1F3864"/>
          <w:sz w:val="28"/>
          <w:szCs w:val="28"/>
        </w:rPr>
        <w:t xml:space="preserve">4.3 SurGen External Test Results</w:t>
      </w:r>
    </w:p>
    <w:p>
      <w:pPr>
        <w:keepNext w:val="false"/>
        <w:spacing w:after="160" w:line="276"/>
        <w:jc w:val="both"/>
      </w:pPr>
      <w:r>
        <w:rPr>
          <w:rFonts w:ascii="Calibri" w:cs="Calibri" w:eastAsia="Calibri" w:hAnsi="Calibri"/>
          <w:i w:val="false"/>
          <w:iCs w:val="false"/>
          <w:color w:val="262626"/>
          <w:sz w:val="20"/>
          <w:szCs w:val="20"/>
        </w:rPr>
        <w:t xml:space="preserve">The SurGen cohort (two surgical sets, SR1482 and SR386, CZI format at 40x; EBI accession S-BIAD1285) serves as a fully external test. All five foundation models are now available. SurGen is markedly imbalanced - 60 MSI-H among 622 slides (9.6%) - which strongly shapes threshold-dependent metrics. Models are TCGA-trained and scored at the TCGA-fixed threshold. Confusion matrices are [[TN, FP], [FN, TP]].</w:t>
      </w:r>
    </w:p>
    <w:p>
      <w:pPr>
        <w:pStyle w:val="Heading2"/>
        <w:keepNext/>
        <w:spacing w:after="80" w:before="280"/>
      </w:pPr>
      <w:r>
        <w:rPr>
          <w:rFonts w:ascii="Calibri" w:cs="Calibri" w:eastAsia="Calibri" w:hAnsi="Calibri"/>
          <w:b/>
          <w:bCs/>
          <w:color w:val="2F5496"/>
          <w:sz w:val="23"/>
          <w:szCs w:val="23"/>
        </w:rPr>
        <w:t xml:space="preserve">4.3.1 Averaging Aggregation (1× feature dim)</w:t>
      </w:r>
    </w:p>
    <w:p>
      <w:pPr>
        <w:keepNext/>
        <w:spacing w:after="100" w:before="60"/>
      </w:pPr>
      <w:r>
        <w:rPr>
          <w:rFonts w:ascii="Calibri" w:cs="Calibri" w:eastAsia="Calibri" w:hAnsi="Calibri"/>
          <w:i/>
          <w:iCs/>
          <w:color w:val="595959"/>
          <w:sz w:val="18"/>
          <w:szCs w:val="18"/>
        </w:rPr>
        <w:t xml:space="preserve">SurGen (external test): Averaging Aggregation (1× feature dim). N = 613/622.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0.2154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0.5137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0.2138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0.5969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[[81,481],[7,53]]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0.4608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0.5587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0.3675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0.6284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[[246,316],[19,41]]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0.8392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0.5314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0.5807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[[513,49],[51,9]]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0.6397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0.8161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0.5558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0.5450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0.6254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[[494,68],[46,14]]</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LR</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0.5563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0.6875</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0.4756</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0.7492</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[[295,267],[9,51]]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0.1280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0.5174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0.1233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0.7421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[[20,542],[0,60]]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0.4727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0.6412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0.4171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0.6439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[[243,319],[9,51]]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0.7598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0.9010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0.5284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0.5301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0.7534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[[556,6],[56,4]]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0.5615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0.5107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0.5692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[[409,144],[37,23]]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0.3520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0.5636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0.3051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0.6483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[[166,387],[10,50]]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0.4763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0.3973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0.5470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[[257,296],[25,35]]</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0.6508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[[301,252],[23,37]]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0.4437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0.5550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0.3830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0.5889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[[230,323],[18,42]]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0.8521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0.5757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0.5757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0.6142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[[516,46],[46,14]]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0.3453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0.5410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0.2954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0.5850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[[168,394],[13,47]]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0.1688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0.4954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0.1688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0.4842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[[51,511],[6,54]]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0.6904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0.4569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0.3659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0.5339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[[249,313],[25,35]]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0.6785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0.6062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0.5165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0.6515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[[391,171],[29,31]]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0.1974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0.5306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0.1850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0.6043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[[66,496],[3,57]]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0.4502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0.5096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0.3794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0.5291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[[245,317],[25,35]]</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0.9019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0.5363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0.5444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0.7053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[[556,6],[55,5]]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0.8942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0.5276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0.5251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0.6173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[[552,10],[56,4]]</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4.3.2 Caption-Based Aggregation (14× feature dim)</w:t>
      </w:r>
    </w:p>
    <w:p>
      <w:pPr>
        <w:keepNext/>
        <w:spacing w:after="100" w:before="60"/>
      </w:pPr>
      <w:r>
        <w:rPr>
          <w:rFonts w:ascii="Calibri" w:cs="Calibri" w:eastAsia="Calibri" w:hAnsi="Calibri"/>
          <w:i/>
          <w:iCs/>
          <w:color w:val="595959"/>
          <w:sz w:val="18"/>
          <w:szCs w:val="18"/>
        </w:rPr>
        <w:t xml:space="preserve">SurGen (external test): Caption-Based Aggregation (14× feature dim). N = 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0.5595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0.5796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0.6240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[[554,8],[52,8]]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0.4128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0.6638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[[267,295],[17,43]]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0.5791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0.6448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[[508,54],[44,16]]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0.6556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0.9042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0.4814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0.6196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LR</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0.7170</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0.7690</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0.5903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0.8543</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[[396,166],[10,50]]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0.3013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0.6029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0.2767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0.8489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[[129,433],[1,59]]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0.5981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0.7148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[[325,237],[13,47]]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0.8005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0.8363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0.6831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0.6355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0.8205</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[[491,71],[30,30]]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0.5551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0.5708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0.7362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[[549,13],[52,8]]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0.5331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0.7770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[[284,278],[13,47]]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0.5981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0.4783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0.6129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[[335,227],[23,37]]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0.8859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0.6168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0.7617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[[534,28],[43,17]]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0.8601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0.7047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[[520,42],[45,15]]</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0.9068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0.5167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0.6662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[[562,0],[58,2]]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0.6891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0.6745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[[403,159],[34,26]]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0.1238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0.4928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0.1207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0.5652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[[20,542],[3,57]]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0.6738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0.6332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0.8103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0.6494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0.7613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[[477,85],[33,27]]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0.7068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0.6993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0.5627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0.7668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[[398,164],[19,41]]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0.3376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0.5367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0.3138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0.5658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[[163,399],[13,47]]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0.5058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0.6915</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[[560,2],[58,2]]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0.8765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0.5640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0.5678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0.6831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[[535,27],[49,11]]</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4.3.3 Caption-Based Aggregation, 15 classes (15× feature dim)</w:t>
      </w:r>
    </w:p>
    <w:p>
      <w:pPr>
        <w:keepNext/>
        <w:spacing w:after="100" w:before="60"/>
      </w:pPr>
      <w:r>
        <w:rPr>
          <w:rFonts w:ascii="Calibri" w:cs="Calibri" w:eastAsia="Calibri" w:hAnsi="Calibri"/>
          <w:i/>
          <w:iCs/>
          <w:color w:val="595959"/>
          <w:sz w:val="18"/>
          <w:szCs w:val="18"/>
        </w:rPr>
        <w:t xml:space="preserve">SurGen (external test): Caption-Based Aggregation, 15 classes (15× feature dim). N = 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0.8891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0.5590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0.5736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0.6866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[[544,18],[51,9]]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0.5734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0.3973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0.7029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[[290,272],[22,38]]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0.5482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0.6309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0.4587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0.6819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[[297,265],[16,44]]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0.9051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0.5083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0.4915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0.6737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[[562,0],[59,1]]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0.6452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LR</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0.8087</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0.7750</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0.6552</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0.8563</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[[459,103],[16,44]]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0.2968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0.2782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0.8399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[[126,436],[1,59]]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0.7154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0.6862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0.6984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[[406,156],[21,39]]</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0.7951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0.6904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0.7185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0.8114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[[384,178],[15,45]]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0.5298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0.7402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[[558,4],[56,4]]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0.3714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0.6060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0.3279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0.8024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[[177,385],[6,54]]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0.6463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0.6331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0.5101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0.6413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[[365,197],[23,37]]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0.8424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0.6746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0.6369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0.7403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[[496,66],[32,28]]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0.8248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0.6202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0.5948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0.7235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[[491,71],[38,22]]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0.8971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0.4729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0.7387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[[558,4],[60,0]]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0.5646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0.6162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0.6880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[[310,252],[19,41]]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0.1559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0.5106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0.1553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0.5539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[[40,522],[3,57]]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0.6963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[[561,1],[59,1]]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0.6232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0.8103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0.6237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0.7836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[[471,91],[27,33]]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0.1945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0.5453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0.1908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0.7534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[[62,500],[1,59]]</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0.5627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0.4434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0.5500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[[319,243],[29,31]]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0.6882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[[561,1],[59,1]]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0.9013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0.5136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0.5034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0.6735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[[559,3],[58,2]]</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4.3.4 Tissue-Type Clustering Aggregation (9× feature dim)</w:t>
      </w:r>
    </w:p>
    <w:p>
      <w:pPr>
        <w:keepNext/>
        <w:spacing w:after="100" w:before="60"/>
      </w:pPr>
      <w:r>
        <w:rPr>
          <w:rFonts w:ascii="Calibri" w:cs="Calibri" w:eastAsia="Calibri" w:hAnsi="Calibri"/>
          <w:i/>
          <w:iCs/>
          <w:color w:val="595959"/>
          <w:sz w:val="18"/>
          <w:szCs w:val="18"/>
        </w:rPr>
        <w:t xml:space="preserve">SurGen (external test): Tissue-Type Clustering Aggregation (9× feature dim). N = 613/622.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0.3983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0.5633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[[271,291],[28,32]]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0.3820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0.5627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0.3189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0.6219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[[190,372],[13,47]]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0.2186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0.2177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0.5658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[[79,483],[3,57]]</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0.6137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0.6090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0.5782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0.6099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[[346,216],[28,32]]</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LR</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0.5016</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0.6944</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0.4441</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0.8335</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[[256,306],[4,56]]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0.1029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0.5036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0.0954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0.7963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[[4,558],[0,60]]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0.4486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0.6427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0.4023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0.6534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[[226,336],[7,53]]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0.7905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0.8752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0.6384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0.7943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[[524,38],[39,21]]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0.5065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0.4896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0.7503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[[551,2],[59,1]]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0.6421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0.6218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0.7340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[[358,195],[24,36]]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0.7716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0.5018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[[463,90],[50,10]]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0.5083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0.4911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0.7804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[[553,0],[59,1]]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0.9018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0.5013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0.4773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0.6373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[[553,0],[60,0]]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0.6838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[[561,1],[59,1]]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0.6715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[[517,45],[46,14]]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0.1334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0.4832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0.1318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0.5069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[[28,534],[5,55]]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0.6428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0.6019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[[561,1],[59,1]]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0.6241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0.5926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0.7195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[[486,76],[37,23]]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0.3190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0.5844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0.2867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0.7281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[[144,418],[5,55]]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0.4952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0.4069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0.5442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[[274,288],[26,34]]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0.7389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[[562,0],[60,0]]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0.8868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0.5741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0.5900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0.6840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[[540,22],[49,11]]</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4.3.5 TITAN Aggregation (Conch1_5 only)</w:t>
      </w:r>
    </w:p>
    <w:p>
      <w:pPr>
        <w:keepNext/>
        <w:spacing w:after="100" w:before="60"/>
      </w:pPr>
      <w:r>
        <w:rPr>
          <w:rFonts w:ascii="Calibri" w:cs="Calibri" w:eastAsia="Calibri" w:hAnsi="Calibri"/>
          <w:i/>
          <w:iCs/>
          <w:color w:val="595959"/>
          <w:sz w:val="18"/>
          <w:szCs w:val="18"/>
        </w:rPr>
        <w:t xml:space="preserve">SurGen (external test): TITAN Aggregation (Conch1_5 only). N = 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Avg 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0.0981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0.4934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0.0904</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0.6843</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[[2,560],[1,59]]</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ANN</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0.1203</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0.5102</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0.1152</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0.6674</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[[15,547],[0,60]]</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KNN</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0.7781</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0.6614</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0.5889</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0.6648</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[[453,109],[29,31]]</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ProtoNet</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0.1720</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0.5418</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0.1717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0.7643</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[[47,515],[0,60]]</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RF</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0.1331</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0.5173</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0.1299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0.7017</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[[23,539],[0,60]]</w:t>
            </w:r>
          </w:p>
        </w:tc>
      </w:tr>
    </w:tbl>
    <w:p>
      <w:pPr>
        <w:spacing w:after="0"/>
      </w:pPr>
      <w:r>
        <w:rPr>
          <w:sz w:val="12"/>
          <w:szCs w:val="12"/>
        </w:rPr>
        <w:t xml:space="preserve"/>
      </w:r>
    </w:p>
    <w:p>
      <w:pPr>
        <w:pStyle w:val="Heading2"/>
        <w:keepNext/>
        <w:spacing w:after="80" w:before="0"/>
      </w:pPr>
      <w:r>
        <w:br w:type="page"/>
      </w:r>
      <w:r>
        <w:rPr>
          <w:rFonts w:ascii="Calibri" w:cs="Calibri" w:eastAsia="Calibri" w:hAnsi="Calibri"/>
          <w:b/>
          <w:bCs/>
          <w:color w:val="2F5496"/>
          <w:sz w:val="23"/>
          <w:szCs w:val="23"/>
        </w:rPr>
        <w:t xml:space="preserve">4.3.6 Radar Plots</w:t>
      </w:r>
    </w:p>
    <w:p>
      <w:pPr>
        <w:keepNext/>
        <w:spacing w:after="160" w:line="276"/>
        <w:jc w:val="both"/>
      </w:pPr>
      <w:r>
        <w:rPr>
          <w:rFonts w:ascii="Calibri" w:cs="Calibri" w:eastAsia="Calibri" w:hAnsi="Calibri"/>
          <w:i w:val="false"/>
          <w:iCs w:val="false"/>
          <w:color w:val="262626"/>
          <w:sz w:val="20"/>
          <w:szCs w:val="20"/>
        </w:rPr>
        <w:t xml:space="preserve">Axes, quadrants and colours follow the convention introduced in 4.1.</w:t>
      </w:r>
    </w:p>
    <w:p>
      <w:pPr>
        <w:keepNext/>
        <w:spacing w:after="80" w:before="120"/>
        <w:jc w:val="center"/>
      </w:pP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7. SurGen-EV — AUROC. N = 622 (AVG and TTC with H-Optimus-1: 613).</w:t>
      </w:r>
    </w:p>
    <w:p>
      <w:pPr>
        <w:keepNext/>
        <w:spacing w:after="80" w:before="120"/>
        <w:jc w:val="center"/>
      </w:pPr>
      <w:r>
        <w:br w:type="page"/>
      </w: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8. SurGen-EV — balanced accuracy. N = 622 (AVG and TTC with H-Optimus-1: 613).</w:t>
      </w:r>
    </w:p>
    <w:p>
      <w:pPr>
        <w:pStyle w:val="Heading1"/>
        <w:spacing w:after="160" w:before="0"/>
      </w:pPr>
      <w:r>
        <w:br w:type="page"/>
      </w:r>
      <w:r>
        <w:rPr>
          <w:rFonts w:ascii="Calibri" w:cs="Calibri" w:eastAsia="Calibri" w:hAnsi="Calibri"/>
          <w:b/>
          <w:bCs/>
          <w:color w:val="1F3864"/>
          <w:sz w:val="28"/>
          <w:szCs w:val="28"/>
        </w:rPr>
        <w:t xml:space="preserve">4.4 SurGen Internal Cross-Validation Results</w:t>
      </w:r>
    </w:p>
    <w:p>
      <w:pPr>
        <w:keepNext w:val="false"/>
        <w:spacing w:after="160" w:line="276"/>
        <w:jc w:val="both"/>
      </w:pPr>
      <w:r>
        <w:rPr>
          <w:rFonts w:ascii="Calibri" w:cs="Calibri" w:eastAsia="Calibri" w:hAnsi="Calibri"/>
          <w:i w:val="false"/>
          <w:iCs w:val="false"/>
          <w:color w:val="262626"/>
          <w:sz w:val="20"/>
          <w:szCs w:val="20"/>
        </w:rPr>
        <w:t xml:space="preserve">Internal 4-fold cross-validation within SurGen, with folds built at case level so no case is split across folds. Each fold serves as test once, the next fold as validation, and the remaining two as training. Reported at a fixed 0.5 threshold. Because prevalence is 9.6%, the majority-class accuracy baseline is 0.9035 - accuracy should not be read as evidence of performance here.</w:t>
      </w:r>
    </w:p>
    <w:p>
      <w:pPr>
        <w:pStyle w:val="Heading2"/>
        <w:keepNext/>
        <w:spacing w:after="80" w:before="280"/>
      </w:pPr>
      <w:r>
        <w:rPr>
          <w:rFonts w:ascii="Calibri" w:cs="Calibri" w:eastAsia="Calibri" w:hAnsi="Calibri"/>
          <w:b/>
          <w:bCs/>
          <w:color w:val="2F5496"/>
          <w:sz w:val="23"/>
          <w:szCs w:val="23"/>
        </w:rPr>
        <w:t xml:space="preserve">4.4.1 Averaging Aggregation (1× feature dim)</w:t>
      </w:r>
    </w:p>
    <w:p>
      <w:pPr>
        <w:keepNext/>
        <w:spacing w:after="100" w:before="60"/>
      </w:pPr>
      <w:r>
        <w:rPr>
          <w:rFonts w:ascii="Calibri" w:cs="Calibri" w:eastAsia="Calibri" w:hAnsi="Calibri"/>
          <w:i/>
          <w:iCs/>
          <w:color w:val="595959"/>
          <w:sz w:val="18"/>
          <w:szCs w:val="18"/>
        </w:rPr>
        <w:t xml:space="preserve">SurGen (internal CV): Averaging Aggregation (1× feature dim). N = 613/622.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0.8829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0.5694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0.5760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0.6850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[[134,6],[12,3]]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0.5721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0.5238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0.6468</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[[108,32],[10,6]]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0.8919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0.5293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0.5892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[[138,3],[14,1]]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0.6262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0.5763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0.4828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0.6574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[[90,51],[7,8]]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0.4961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0.4823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0.7005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[[137,3],[15,0]]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0.6129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0.6160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0.7910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[[133,7],[11,4]]</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ANN</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0.7895</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0.6666</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0.5984</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0.7385</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[[115,26],[7,8]]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0.8860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0.5057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0.4952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0.6046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[[137,3],[14,0]]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0.5222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0.7037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[[98,42],[7,8]]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0.5237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0.5182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0.7892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0.8730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0.6086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0.7495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[[129,9],[10,4]]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0.7650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0.5878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0.5475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0.6597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[[112,26],[10,6]]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0.8891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0.4923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0.5448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[[136,2],[14,0]]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0.6233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0.5822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0.6624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[[88,51],[7,8]]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0.8891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0.4969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0.7223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[[136,2],[14,0]]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0.8666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0.5524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0.5517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0.6669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[[132,8],[12,2]]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0.7479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0.5028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0.4932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0.5790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[[113,27],[12,3]]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0.8858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0.4697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0.5472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[[138,3],[15,0]]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0.6437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0.6804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[[92,48],[7,8]]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0.5112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0.5061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0.6612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[[137,4],[14,1]]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0.6123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0.6011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0.7876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[[131,10],[10,4]]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0.7700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0.5497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0.6356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[[114,26],[10,6]]</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0.5012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0.5459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0.6585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0.6027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0.5069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0.6321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[[94,46],[7,8]]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0.8792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0.4939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0.4797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0.6925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[[136,4],[15,0]]</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4.4.2 Caption-Based Aggregation (14× feature dim)</w:t>
      </w:r>
    </w:p>
    <w:p>
      <w:pPr>
        <w:keepNext/>
        <w:spacing w:after="100" w:before="60"/>
      </w:pPr>
      <w:r>
        <w:rPr>
          <w:rFonts w:ascii="Calibri" w:cs="Calibri" w:eastAsia="Calibri" w:hAnsi="Calibri"/>
          <w:i/>
          <w:iCs/>
          <w:color w:val="595959"/>
          <w:sz w:val="18"/>
          <w:szCs w:val="18"/>
        </w:rPr>
        <w:t xml:space="preserve">SurGen (internal CV): Caption-Based Aggregation (14× feature dim). N = 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0.8859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0.5940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0.6041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0.7258</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[[134,6],[12,4]]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0.7439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0.6722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0.6959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[[107,34],[6,9]]</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0.8881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0.5144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0.5121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0.5817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[[137,3],[14,1]]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0.5994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0.5029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0.6712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[[94,47],[7,8]]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0.5008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0.7583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0.6573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0.6643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[[134,6],[10,6]]</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ANN</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0.8163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0.7182</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0.6389</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0.7741</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[[118,22],[6,9]]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0.5292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0.6425</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[[138,3],[14,1]]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0.6210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0.5291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0.7276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[[100,41],[7,8]]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0.8972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0.5178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0.5130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0.8402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0.8875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0.6366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0.6408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0.7957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[[133,8],[10,5]]</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0.6634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0.5851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0.7256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[[112,28],[7,8]]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0.5734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[[137,4],[14,0]]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0.6369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0.5896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0.4923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0.6977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[[91,50],[7,8]]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0.5025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0.4863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0.7969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0.8648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0.5750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0.5815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0.7349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[[131,9],[12,3]]</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0.7471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0.5915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0.5408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0.6294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[[110,30],[9,6]]</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0.8942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0.4720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0.6082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0.6781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0.6135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0.5205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0.6903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[[97,43],[7,8]]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0.4920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0.4706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0.7507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0.8874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0.6072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0.6149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0.7737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[[134,6],[11,4]]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0.7763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0.6523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0.5835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0.7017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[[113,27],[8,8]]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0.8941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0.4948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0.6271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0.6791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0.6215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0.5229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0.6644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[[97,43],[7,8]]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0.8922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0.5006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0.4846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0.7670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[[138,2],[15,0]]</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4.4.3 Caption-Based Aggregation, 15 classes (15× feature dim)</w:t>
      </w:r>
    </w:p>
    <w:p>
      <w:pPr>
        <w:keepNext/>
        <w:spacing w:after="100" w:before="60"/>
      </w:pPr>
      <w:r>
        <w:rPr>
          <w:rFonts w:ascii="Calibri" w:cs="Calibri" w:eastAsia="Calibri" w:hAnsi="Calibri"/>
          <w:i/>
          <w:iCs/>
          <w:color w:val="595959"/>
          <w:sz w:val="18"/>
          <w:szCs w:val="18"/>
        </w:rPr>
        <w:t xml:space="preserve">SurGen (internal CV): Caption-Based Aggregation, 15 classes (15× feature dim). N = 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0.8780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0.5817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0.5956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0.7236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[[133,7],[12,3]]</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0.7298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0.6354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0.5487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0.6923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[[106,35],[7,8]]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0.8846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0.4970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0.4802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0.5937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[[137,3],[15,0]]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0.6760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0.6514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0.5297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0.6914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[[96,45],[6,9]]</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0.4842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0.7354</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0.9132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0.6583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0.6813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0.8261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[[137,4],[10,5]]</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ANN</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0.8054</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0.7333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0.6358</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0.7772</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[[116,25],[5,10]]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0.8891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0.5069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0.6855</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[[138,3],[14,0]]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0.6967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0.6383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0.5368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0.7206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[[100,41],[6,8]]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0.9017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0.5278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0.5285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0.8533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[[139,1],[14,1]]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0.9038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0.6317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0.6558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0.8066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[[136,4],[10,4]]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0.7755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0.6764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0.5939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0.7330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[[112,28],[7,8]]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0.8860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0.4978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0.4801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0.6123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[[138,3],[15,0]]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0.6338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0.5879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0.4902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0.6923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[[90,50],[7,8]]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0.5098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0.4979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[[139,2],[14,0]]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0.8799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0.6126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0.6239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0.7386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[[132,8],[11,4]]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0.7362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0.6377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0.5579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0.6366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[[107,34],[7,8]]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0.8862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0.5123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0.5028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0.5464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[[137,4],[14,1]]</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0.6992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0.6418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0.5400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0.7193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[[100,40],[6,8]]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0.8890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0.4989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0.4831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0.7282</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0.5972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0.6134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0.8020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[[136,5],[12,4]]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0.8183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0.6601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0.6122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0.7497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[[120,20],[8,7]]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0.8988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0.5273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0.6176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[[139,2],[14,1]]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0.6224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0.5237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0.6646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[[98,43],[7,8]]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0.8954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0.5093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0.4961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0.7760</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[[139,2],[14,0]]</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4.4.4 Tissue-Type Clustering Aggregation (9× feature dim)</w:t>
      </w:r>
    </w:p>
    <w:p>
      <w:pPr>
        <w:keepNext/>
        <w:spacing w:after="100" w:before="60"/>
      </w:pPr>
      <w:r>
        <w:rPr>
          <w:rFonts w:ascii="Calibri" w:cs="Calibri" w:eastAsia="Calibri" w:hAnsi="Calibri"/>
          <w:i/>
          <w:iCs/>
          <w:color w:val="595959"/>
          <w:sz w:val="18"/>
          <w:szCs w:val="18"/>
        </w:rPr>
        <w:t xml:space="preserve">SurGen (internal CV): Tissue-Type Clustering Aggregation (9× feature dim). N = 613/622.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80"/>
        <w:gridCol w:w="1140"/>
        <w:gridCol w:w="1140"/>
        <w:gridCol w:w="1140"/>
        <w:gridCol w:w="2260"/>
      </w:tblGrid>
      <w:tr>
        <w:trPr>
          <w:cantSplit/>
          <w:tblHeader/>
        </w:trPr>
        <w:tc>
          <w:tcPr>
            <w:tcW w:type="dxa" w:w="16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Model</w:t>
            </w:r>
          </w:p>
        </w:tc>
        <w:tc>
          <w:tcPr>
            <w:tcW w:type="dxa" w:w="10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Clf</w:t>
            </w:r>
          </w:p>
        </w:tc>
        <w:tc>
          <w:tcPr>
            <w:tcW w:type="dxa" w:w="108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Bal-Acc</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Mac-F1</w:t>
            </w:r>
          </w:p>
        </w:tc>
        <w:tc>
          <w:tcPr>
            <w:tcW w:type="dxa" w:w="114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AUROC</w:t>
            </w:r>
          </w:p>
        </w:tc>
        <w:tc>
          <w:tcPr>
            <w:tcW w:type="dxa" w:w="22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7"/>
                <w:szCs w:val="17"/>
              </w:rPr>
              <w:t xml:space="preserve">Avg CM</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0.8720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0.5950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0.5997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0.7216</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[[132,9],[11,4]]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0.7237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0.6238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0.5442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0.6484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[[105,36],[8,8]]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0.5186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0.5153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0.5757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[[138,2],[14,1]]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0.6408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0.4922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0.6569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[[92,49],[7,8]]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Conch1_5</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0.8909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0.4930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0.4711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0.7233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0.9005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0.6551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0.7784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[[135,5],[10,5]]</w:t>
            </w:r>
          </w:p>
        </w:tc>
      </w:tr>
      <w:tr>
        <w:trPr>
          <w:cantSplit/>
        </w:trPr>
        <w:tc>
          <w:tcPr>
            <w:tcW w:type="dxa" w:w="16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7"/>
                <w:szCs w:val="17"/>
              </w:rPr>
              <w:t xml:space="preserve">UNI2</w:t>
            </w:r>
          </w:p>
        </w:tc>
        <w:tc>
          <w:tcPr>
            <w:tcW w:type="dxa" w:w="10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ANN</w:t>
            </w:r>
          </w:p>
        </w:tc>
        <w:tc>
          <w:tcPr>
            <w:tcW w:type="dxa" w:w="108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0.7988</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0.7090</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0.6223</w:t>
            </w:r>
          </w:p>
        </w:tc>
        <w:tc>
          <w:tcPr>
            <w:tcW w:type="dxa" w:w="114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0.7484</w:t>
            </w:r>
          </w:p>
        </w:tc>
        <w:tc>
          <w:tcPr>
            <w:tcW w:type="dxa" w:w="22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7"/>
                <w:szCs w:val="17"/>
              </w:rPr>
              <w:t xml:space="preserve">[[115,25],[6,9]]</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0.8941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0.5470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0.5567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0.6043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[[137,3],[13,2]]</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0.6581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0.5939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0.5033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0.7059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[[94,46],[7,8]]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UNI2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0.8972</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0.4867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0.7983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[[139,1],[15,0]]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0.5620</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0.5726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0.7165</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[[133,6],[12,2]]</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0.7858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0.5840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0.5564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0.6694</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[[116,23],[10,5]]</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0.8955</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0.4724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0.5503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[[137,1],[15,0]]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0.6381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0.5830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0.4920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0.6633</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[[90,48],[7,8]]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H-Optimus-1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0.8972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0.4973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0.4729</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0.7647</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[[138,1],[15,0]]</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0.8605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0.5949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0.5974</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0.7251</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[[130,11],[11,4]]</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0.7341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0.5547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0.5164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0.6133</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[[109,31],[10,5]]</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0.8815</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0.4947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0.4798</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0.6396</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[[137,4],[15,0]]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0.6613</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0.6026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0.5081</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0.6692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[[95,46],[7,8]]</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ConchV1</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0.8909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0.4999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0.4836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0.7347</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[[138,2],[15,0]]</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LR</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0.8968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0.6262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0.6382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0.7532</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[[135,6],[10,4]]</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ANN</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0.7481</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0.6277</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0.5580</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0.6959</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[[109,32],[8,7]]</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KNN</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0.8972</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0.5264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0.5287</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0.6079</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[[138,2],[14,1]]</w:t>
            </w:r>
          </w:p>
        </w:tc>
      </w:tr>
      <w:tr>
        <w:trPr>
          <w:cantSplit/>
        </w:trPr>
        <w:tc>
          <w:tcPr>
            <w:tcW w:type="dxa" w:w="16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ProtoNet</w:t>
            </w:r>
          </w:p>
        </w:tc>
        <w:tc>
          <w:tcPr>
            <w:tcW w:type="dxa" w:w="108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0.6889</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0.6036</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0.5213</w:t>
            </w:r>
          </w:p>
        </w:tc>
        <w:tc>
          <w:tcPr>
            <w:tcW w:type="dxa" w:w="114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0.6420</w:t>
            </w:r>
          </w:p>
        </w:tc>
        <w:tc>
          <w:tcPr>
            <w:tcW w:type="dxa" w:w="22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7"/>
                <w:szCs w:val="17"/>
              </w:rPr>
              <w:t xml:space="preserve">[[100,41],[8,8]]</w:t>
            </w:r>
          </w:p>
        </w:tc>
      </w:tr>
      <w:tr>
        <w:trPr>
          <w:cantSplit/>
        </w:trPr>
        <w:tc>
          <w:tcPr>
            <w:tcW w:type="dxa" w:w="16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7"/>
                <w:szCs w:val="17"/>
              </w:rPr>
              <w:t xml:space="preserve">Virchow2</w:t>
            </w:r>
          </w:p>
        </w:tc>
        <w:tc>
          <w:tcPr>
            <w:tcW w:type="dxa" w:w="10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RF</w:t>
            </w:r>
          </w:p>
        </w:tc>
        <w:tc>
          <w:tcPr>
            <w:tcW w:type="dxa" w:w="108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0.8938</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0.5016</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0.4844</w:t>
            </w:r>
          </w:p>
        </w:tc>
        <w:tc>
          <w:tcPr>
            <w:tcW w:type="dxa" w:w="114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0.7301</w:t>
            </w:r>
          </w:p>
        </w:tc>
        <w:tc>
          <w:tcPr>
            <w:tcW w:type="dxa" w:w="22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7"/>
                <w:szCs w:val="17"/>
              </w:rPr>
              <w:t xml:space="preserve">[[139,2],[15,0]]</w:t>
            </w:r>
          </w:p>
        </w:tc>
      </w:tr>
    </w:tbl>
    <w:p>
      <w:pPr>
        <w:spacing w:after="0"/>
      </w:pPr>
      <w:r>
        <w:rPr>
          <w:sz w:val="12"/>
          <w:szCs w:val="12"/>
        </w:rPr>
        <w:t xml:space="preserve"/>
      </w:r>
    </w:p>
    <w:p>
      <w:pPr>
        <w:pStyle w:val="Heading2"/>
        <w:keepNext/>
        <w:spacing w:after="80" w:before="280"/>
      </w:pPr>
      <w:r>
        <w:rPr>
          <w:rFonts w:ascii="Calibri" w:cs="Calibri" w:eastAsia="Calibri" w:hAnsi="Calibri"/>
          <w:b/>
          <w:bCs/>
          <w:color w:val="2F5496"/>
          <w:sz w:val="23"/>
          <w:szCs w:val="23"/>
        </w:rPr>
        <w:t xml:space="preserve">4.4.5 TITAN Aggregation (Conch1_5 only)</w:t>
      </w:r>
    </w:p>
    <w:p>
      <w:pPr>
        <w:keepNext/>
        <w:spacing w:after="100" w:before="60"/>
      </w:pPr>
      <w:r>
        <w:rPr>
          <w:rFonts w:ascii="Calibri" w:cs="Calibri" w:eastAsia="Calibri" w:hAnsi="Calibri"/>
          <w:i/>
          <w:iCs/>
          <w:color w:val="595959"/>
          <w:sz w:val="18"/>
          <w:szCs w:val="18"/>
        </w:rPr>
        <w:t xml:space="preserve">SurGen (internal CV): TITAN Aggregation (Conch1_5 only). N = 622.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400"/>
        <w:gridCol w:w="2060"/>
      </w:tblGrid>
      <w:tr>
        <w:trPr>
          <w:cantSplit/>
          <w:tblHeader/>
        </w:trPr>
        <w:tc>
          <w:tcPr>
            <w:tcW w:type="dxa" w:w="17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Classifier</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Bal-Acc</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Mac-F1</w:t>
            </w:r>
          </w:p>
        </w:tc>
        <w:tc>
          <w:tcPr>
            <w:tcW w:type="dxa" w:w="140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AUROC</w:t>
            </w:r>
          </w:p>
        </w:tc>
        <w:tc>
          <w:tcPr>
            <w:tcW w:type="dxa" w:w="2060"/>
            <w:tcBorders>
              <w:top w:val="single" w:color="1F3864" w:sz="4"/>
              <w:left w:val="single" w:color="FFFFFF" w:sz="6"/>
              <w:bottom w:val="single" w:color="1F3864" w:sz="4"/>
              <w:right w:val="single" w:color="FFFFFF" w:sz="6"/>
            </w:tcBorders>
            <w:shd w:fill="1F3864"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FFFFFF"/>
                <w:sz w:val="18"/>
                <w:szCs w:val="18"/>
              </w:rPr>
              <w:t xml:space="preserve">Avg CM</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LR</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0.8697</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0.6128</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0.6129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0.7555</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[[131,10],[10,4]]</w:t>
            </w:r>
          </w:p>
        </w:tc>
      </w:tr>
      <w:tr>
        <w:trPr>
          <w:cantSplit/>
        </w:trPr>
        <w:tc>
          <w:tcPr>
            <w:tcW w:type="dxa" w:w="17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ANN</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0.8052</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0.6694</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0.6087</w:t>
            </w:r>
          </w:p>
        </w:tc>
        <w:tc>
          <w:tcPr>
            <w:tcW w:type="dxa" w:w="140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0.7220</w:t>
            </w:r>
          </w:p>
        </w:tc>
        <w:tc>
          <w:tcPr>
            <w:tcW w:type="dxa" w:w="2060"/>
            <w:tcBorders>
              <w:top w:val="single" w:color="C9D4E5" w:sz="4"/>
              <w:left w:val="single" w:color="C9D4E5" w:sz="4"/>
              <w:bottom w:val="single" w:color="C9D4E5" w:sz="4"/>
              <w:right w:val="single" w:color="C9D4E5" w:sz="4"/>
            </w:tcBorders>
            <w:shd w:fill="EDF2F9"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[[118,23],[8,8]]</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val="false"/>
                <w:bCs w:val="false"/>
                <w:color w:val="333333"/>
                <w:sz w:val="18"/>
                <w:szCs w:val="18"/>
              </w:rPr>
              <w:t xml:space="preserve">KNN</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0.8859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0.5425</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0.5516</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0.6074</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val="false"/>
                <w:bCs w:val="false"/>
                <w:color w:val="333333"/>
                <w:sz w:val="18"/>
                <w:szCs w:val="18"/>
              </w:rPr>
              <w:t xml:space="preserve">[[136,4],[13,2]]</w:t>
            </w:r>
          </w:p>
        </w:tc>
      </w:tr>
      <w:tr>
        <w:trPr>
          <w:cantSplit/>
        </w:trPr>
        <w:tc>
          <w:tcPr>
            <w:tcW w:type="dxa" w:w="17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left"/>
            </w:pPr>
            <w:r>
              <w:rPr>
                <w:rFonts w:ascii="Calibri" w:cs="Calibri" w:eastAsia="Calibri" w:hAnsi="Calibri"/>
                <w:b/>
                <w:bCs/>
                <w:color w:val="1F3B0F"/>
                <w:sz w:val="18"/>
                <w:szCs w:val="18"/>
              </w:rPr>
              <w:t xml:space="preserve">ProtoNet</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0.7440</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0.6735</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0.5792</w:t>
            </w:r>
          </w:p>
        </w:tc>
        <w:tc>
          <w:tcPr>
            <w:tcW w:type="dxa" w:w="140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0.7554</w:t>
            </w:r>
          </w:p>
        </w:tc>
        <w:tc>
          <w:tcPr>
            <w:tcW w:type="dxa" w:w="2060"/>
            <w:tcBorders>
              <w:top w:val="single" w:color="C9D4E5" w:sz="4"/>
              <w:left w:val="single" w:color="C9D4E5" w:sz="4"/>
              <w:bottom w:val="single" w:color="C9D4E5" w:sz="4"/>
              <w:right w:val="single" w:color="C9D4E5" w:sz="4"/>
            </w:tcBorders>
            <w:shd w:fill="E2EFDA" w:color="auto" w:val="clear"/>
            <w:tcMar>
              <w:top w:type="dxa" w:w="50"/>
              <w:left w:type="dxa" w:w="90"/>
              <w:bottom w:type="dxa" w:w="50"/>
              <w:right w:type="dxa" w:w="90"/>
            </w:tcMar>
            <w:vAlign w:val="center"/>
          </w:tcPr>
          <w:p>
            <w:pPr>
              <w:keepNext/>
              <w:spacing w:after="0" w:before="0" w:line="240"/>
              <w:jc w:val="center"/>
            </w:pPr>
            <w:r>
              <w:rPr>
                <w:rFonts w:ascii="Calibri" w:cs="Calibri" w:eastAsia="Calibri" w:hAnsi="Calibri"/>
                <w:b/>
                <w:bCs/>
                <w:color w:val="1F3B0F"/>
                <w:sz w:val="18"/>
                <w:szCs w:val="18"/>
              </w:rPr>
              <w:t xml:space="preserve">[[107,34],[6,9]]</w:t>
            </w:r>
          </w:p>
        </w:tc>
      </w:tr>
      <w:tr>
        <w:trPr>
          <w:cantSplit/>
        </w:trPr>
        <w:tc>
          <w:tcPr>
            <w:tcW w:type="dxa" w:w="17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left"/>
            </w:pPr>
            <w:r>
              <w:rPr>
                <w:rFonts w:ascii="Calibri" w:cs="Calibri" w:eastAsia="Calibri" w:hAnsi="Calibri"/>
                <w:b w:val="false"/>
                <w:bCs w:val="false"/>
                <w:color w:val="333333"/>
                <w:sz w:val="18"/>
                <w:szCs w:val="18"/>
              </w:rPr>
              <w:t xml:space="preserve">RF</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0.8799</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0.5316</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0.5382</w:t>
            </w:r>
          </w:p>
        </w:tc>
        <w:tc>
          <w:tcPr>
            <w:tcW w:type="dxa" w:w="140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0.8009</w:t>
            </w:r>
          </w:p>
        </w:tc>
        <w:tc>
          <w:tcPr>
            <w:tcW w:type="dxa" w:w="2060"/>
            <w:tcBorders>
              <w:top w:val="single" w:color="C9D4E5" w:sz="4"/>
              <w:left w:val="single" w:color="C9D4E5" w:sz="4"/>
              <w:bottom w:val="single" w:color="C9D4E5" w:sz="4"/>
              <w:right w:val="single" w:color="C9D4E5" w:sz="4"/>
            </w:tcBorders>
            <w:shd w:fill="FFFFFF" w:color="auto" w:val="clear"/>
            <w:tcMar>
              <w:top w:type="dxa" w:w="50"/>
              <w:left w:type="dxa" w:w="90"/>
              <w:bottom w:type="dxa" w:w="50"/>
              <w:right w:type="dxa" w:w="90"/>
            </w:tcMar>
            <w:vAlign w:val="center"/>
          </w:tcPr>
          <w:p>
            <w:pPr>
              <w:keepNext w:val="false"/>
              <w:spacing w:after="0" w:before="0" w:line="240"/>
              <w:jc w:val="center"/>
            </w:pPr>
            <w:r>
              <w:rPr>
                <w:rFonts w:ascii="Calibri" w:cs="Calibri" w:eastAsia="Calibri" w:hAnsi="Calibri"/>
                <w:b w:val="false"/>
                <w:bCs w:val="false"/>
                <w:color w:val="333333"/>
                <w:sz w:val="18"/>
                <w:szCs w:val="18"/>
              </w:rPr>
              <w:t xml:space="preserve">[[135,5],[14,2]]</w:t>
            </w:r>
          </w:p>
        </w:tc>
      </w:tr>
    </w:tbl>
    <w:p>
      <w:pPr>
        <w:spacing w:after="0"/>
      </w:pPr>
      <w:r>
        <w:rPr>
          <w:sz w:val="12"/>
          <w:szCs w:val="12"/>
        </w:rPr>
        <w:t xml:space="preserve"/>
      </w:r>
    </w:p>
    <w:p>
      <w:pPr>
        <w:pStyle w:val="Heading2"/>
        <w:keepNext/>
        <w:spacing w:after="80" w:before="0"/>
      </w:pPr>
      <w:r>
        <w:br w:type="page"/>
      </w:r>
      <w:r>
        <w:rPr>
          <w:rFonts w:ascii="Calibri" w:cs="Calibri" w:eastAsia="Calibri" w:hAnsi="Calibri"/>
          <w:b/>
          <w:bCs/>
          <w:color w:val="2F5496"/>
          <w:sz w:val="23"/>
          <w:szCs w:val="23"/>
        </w:rPr>
        <w:t xml:space="preserve">4.4.6 Radar Plots</w:t>
      </w:r>
    </w:p>
    <w:p>
      <w:pPr>
        <w:keepNext/>
        <w:spacing w:after="160" w:line="276"/>
        <w:jc w:val="both"/>
      </w:pPr>
      <w:r>
        <w:rPr>
          <w:rFonts w:ascii="Calibri" w:cs="Calibri" w:eastAsia="Calibri" w:hAnsi="Calibri"/>
          <w:i w:val="false"/>
          <w:iCs w:val="false"/>
          <w:color w:val="262626"/>
          <w:sz w:val="20"/>
          <w:szCs w:val="20"/>
        </w:rPr>
        <w:t xml:space="preserve">Axes, quadrants and colours follow the convention introduced in 4.1.</w:t>
      </w:r>
    </w:p>
    <w:p>
      <w:pPr>
        <w:keepNext/>
        <w:spacing w:after="80" w:before="120"/>
        <w:jc w:val="center"/>
      </w:pP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9. SurGen-CV — AUROC. N = 622 (AVG and TTC with H-Optimus-1: 613).</w:t>
      </w:r>
    </w:p>
    <w:p>
      <w:pPr>
        <w:keepNext/>
        <w:spacing w:after="80" w:before="120"/>
        <w:jc w:val="center"/>
      </w:pPr>
      <w:r>
        <w:br w:type="page"/>
      </w:r>
      <w:r>
        <w:drawing>
          <wp:inline distT="0" distB="0" distL="0" distR="0">
            <wp:extent cx="59436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76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10. SurGen-CV — balanced accuracy. N = 622 (AVG and TTC with H-Optimus-1: 613).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e01c3d55318e99ce5436ea078e1989803be989.png"/><Relationship Id="rId8" Type="http://schemas.openxmlformats.org/officeDocument/2006/relationships/image" Target="media/cc65d1f5eada93572e61dd1dcef07e5304c610f5.png"/><Relationship Id="rId9" Type="http://schemas.openxmlformats.org/officeDocument/2006/relationships/image" Target="media/5e6ba3c0f046daa49c42bc96b1b02aabdb622de2.png"/><Relationship Id="rId10" Type="http://schemas.openxmlformats.org/officeDocument/2006/relationships/image" Target="media/c5b6578a8d6ecffb741496dd1c1a2e1f056e3251.png"/><Relationship Id="rId11" Type="http://schemas.openxmlformats.org/officeDocument/2006/relationships/image" Target="media/4c13849603f6759592dbe0fa67627c69f7bd5e8c.png"/><Relationship Id="rId12" Type="http://schemas.openxmlformats.org/officeDocument/2006/relationships/image" Target="media/295d3735ee1e3bb0619c6de14af10d3d86ac5208.png"/><Relationship Id="rId13" Type="http://schemas.openxmlformats.org/officeDocument/2006/relationships/image" Target="media/34dcb18d18ac6d31cd459c5e15c7c8eb44ae91ee.png"/><Relationship Id="rId14" Type="http://schemas.openxmlformats.org/officeDocument/2006/relationships/image" Target="media/2dfe3fbb530d103c79ff1efbd6e741dcc698cbeb.png"/><Relationship Id="rId15" Type="http://schemas.openxmlformats.org/officeDocument/2006/relationships/image" Target="media/a39db6b070dbd5925f52da01413e2bcd20c5a371.png"/><Relationship Id="rId16" Type="http://schemas.openxmlformats.org/officeDocument/2006/relationships/image" Target="media/735e9f657d2483dc4e993655275ca47e81d5b8e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2026-08-27T10:41:16.835Z</dcterms:created>
  <dcterms:modified xsi:type="dcterms:W3CDTF">2026-08-27T10:41:16.835Z</dcterms:modified>
</cp:coreProperties>
</file>

<file path=docProps/custom.xml><?xml version="1.0" encoding="utf-8"?>
<Properties xmlns="http://schemas.openxmlformats.org/officeDocument/2006/custom-properties" xmlns:vt="http://schemas.openxmlformats.org/officeDocument/2006/docPropsVTypes"/>
</file>