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sz w:val="34"/>
        </w:rPr>
        <w:t>ANN Hyperparameter Configurations</w:t>
      </w:r>
    </w:p>
    <w:p>
      <w:pPr>
        <w:spacing w:after="160"/>
      </w:pPr>
      <w:r>
        <w:rPr>
          <w:i w:val="0"/>
          <w:sz w:val="21"/>
        </w:rPr>
        <w:t>What the ANN was configured with in each PAIP-IV experiment, and where each value came from. Everything here is read from the run records - the saved checkpoint configs and result stamps - not transcribed.</w:t>
      </w:r>
    </w:p>
    <w:p>
      <w:pPr>
        <w:spacing w:before="280" w:after="120"/>
      </w:pPr>
      <w:r>
        <w:rPr>
          <w:b/>
          <w:sz w:val="28"/>
        </w:rPr>
        <w:t>Architecture and regularisation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Experiment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Layers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h1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h2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max_iter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Dropout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Patience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1 · Original (legacy)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searched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searched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searched -&gt; 500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 · TCGA-CV hyperparameters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from TCGA-CV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from TCGA-CV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3 · ann_old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4 · ann_edited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1000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0.7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How each configuration was obtained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Experiment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Grid points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Selected 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Trains 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Held back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Source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 · Original (legacy)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 PAIP slides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38 of 47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PAIP search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2 · TCGA-CV hyperparameters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nothing - pinned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 (early stop only)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TCGA-CV folds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3 · ann_old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nothing - pinned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collaborator script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4 · ann_edited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nothing - pinned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collaborator script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Fixed in code, identical everywhere</w:t>
      </w:r>
    </w:p>
    <w:p>
      <w:pPr>
        <w:spacing w:after="160"/>
      </w:pPr>
      <w:r>
        <w:rPr>
          <w:i w:val="0"/>
          <w:sz w:val="21"/>
        </w:rPr>
        <w:t>These never varied. They are literals in eval_patch_features/ann.py and reach no output file, which is why the harvesting script reads them by introspecting the classifier rather than transcribing them.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Where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Optimiser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Adam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ann.py fit()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lr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1e-4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constructor default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weight_decay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1e-4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constructor default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LR schedule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ReduceLROnPlateau(factor=0.3, patience=5)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ann.py fit()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Loss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CrossEntropyLoss on raw logits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ann.py __init__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Batching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full-batch, one Adam step per epoch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ann.py fit()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Softmax in graph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no - applied only in predict_proba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Task 1.3 correction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Seed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42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iv_runner.py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Per-combination widths under experiment 2</w:t>
      </w:r>
    </w:p>
    <w:p>
      <w:pPr>
        <w:spacing w:after="160"/>
      </w:pPr>
      <w:r>
        <w:rPr>
          <w:i w:val="0"/>
          <w:sz w:val="21"/>
        </w:rPr>
        <w:t>Experiment 2 pins the configuration per (aggregation x encoder) from the TCGA-CV majority vote, so it is the only experiment where the architecture varies across combinations. Eight distinct configurations; max_iter is 500 in every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h1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h2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max_iter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input dim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768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1536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1536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10752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7168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21504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21504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35840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11520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7680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23040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23040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38400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TITAN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768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6912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4608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13824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13824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23040</w:t>
            </w:r>
          </w:p>
        </w:tc>
      </w:tr>
    </w:tbl>
    <w:p/>
    <w:p>
      <w:pPr>
        <w:spacing w:after="160"/>
      </w:pPr>
      <w:r>
        <w:rPr>
          <w:i w:val="0"/>
          <w:sz w:val="21"/>
        </w:rPr>
        <w:t>Input dimension spans 512 to 38,400 because aggregation is flattened: Averaging gives 1xD, Tissue_Type_Clustering 9xD, Caption_based_15 15xD. The same hidden width therefore means a 1:1 mapping for one combination and a 300:1 bottleneck for another. Measured across the 22 combinations, network size has no relationship with performance (r = +0.042 between log-parameters and balanced accuracy), so this is a presentational inconsistency rather than a performance one.</w:t>
      </w:r>
    </w:p>
    <w:p>
      <w:pPr>
        <w:spacing w:before="280" w:after="120"/>
      </w:pPr>
      <w:r>
        <w:rPr>
          <w:b/>
          <w:sz w:val="28"/>
        </w:rPr>
        <w:t>Experiment 5 changed none of this</w:t>
      </w:r>
    </w:p>
    <w:p>
      <w:pPr>
        <w:spacing w:after="160"/>
      </w:pPr>
      <w:r>
        <w:rPr>
          <w:i w:val="0"/>
          <w:sz w:val="21"/>
        </w:rPr>
        <w:t>The threshold experiment reused experiment 2's configuration verbatim and altered only the decision rule. No ANN hyperparameter differs between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