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595959"/>
          <w:sz w:val="20"/>
          <w:szCs w:val="20"/>
        </w:rPr>
        <w:t xml:space="preserve">PROJECT REVIEW</w:t>
      </w:r>
    </w:p>
    <w:p>
      <w:pPr>
        <w:spacing w:after="60" w:before="100"/>
      </w:pPr>
      <w:r>
        <w:rPr>
          <w:rFonts w:ascii="Calibri" w:cs="Calibri" w:eastAsia="Calibri" w:hAnsi="Calibri"/>
          <w:b/>
          <w:bCs/>
          <w:color w:val="1F4E79"/>
          <w:sz w:val="44"/>
          <w:szCs w:val="44"/>
        </w:rPr>
        <w:t xml:space="preserve">Deep-Learning Prediction of Microsatellite Instability</w:t>
      </w:r>
    </w:p>
    <w:p>
      <w:pPr>
        <w:spacing w:after="260"/>
      </w:pPr>
      <w:r>
        <w:rPr>
          <w:rFonts w:ascii="Calibri" w:cs="Calibri" w:eastAsia="Calibri" w:hAnsi="Calibri"/>
          <w:b/>
          <w:bCs/>
          <w:color w:val="1F4E79"/>
          <w:sz w:val="44"/>
          <w:szCs w:val="44"/>
        </w:rPr>
        <w:t xml:space="preserve">from H&amp;E Whole-Slide Images in Colorectal Cancer</w:t>
      </w:r>
    </w:p>
    <w:p>
      <w:pPr>
        <w:pBdr>
          <w:bottom w:val="single" w:color="1F4E79" w:sz="12" w:space="6"/>
        </w:pBdr>
        <w:spacing w:after="300"/>
      </w:pPr>
      <w:r>
        <w:t xml:space="preserve"/>
      </w:r>
    </w:p>
    <w:p>
      <w:pPr>
        <w:spacing w:after="120" w:before="0" w:line="276"/>
      </w:pPr>
      <w:r>
        <w:rPr>
          <w:rFonts w:ascii="Calibri" w:cs="Calibri" w:eastAsia="Calibri" w:hAnsi="Calibri"/>
          <w:color w:val="595959"/>
          <w:sz w:val="24"/>
          <w:szCs w:val="24"/>
        </w:rPr>
        <w:t xml:space="preserve">Understanding document and structural verification of the KSA_project2 working directory</w:t>
      </w:r>
    </w:p>
    <w:p>
      <w:pPr>
        <w:spacing w:after="40" w:before="0" w:line="276"/>
      </w:pPr>
      <w:r>
        <w:rPr>
          <w:rFonts w:ascii="Calibri" w:cs="Calibri" w:eastAsia="Calibri" w:hAnsi="Calibri"/>
          <w:color w:val="595959"/>
          <w:sz w:val="21"/>
          <w:szCs w:val="21"/>
        </w:rPr>
        <w:t xml:space="preserve">Prepared for: maamir</w:t>
      </w:r>
    </w:p>
    <w:p>
      <w:pPr>
        <w:spacing w:after="40" w:before="0" w:line="276"/>
      </w:pPr>
      <w:r>
        <w:rPr>
          <w:rFonts w:ascii="Calibri" w:cs="Calibri" w:eastAsia="Calibri" w:hAnsi="Calibri"/>
          <w:color w:val="595959"/>
          <w:sz w:val="21"/>
          <w:szCs w:val="21"/>
        </w:rPr>
        <w:t xml:space="preserve">Date: 4 August 2026</w:t>
      </w:r>
    </w:p>
    <w:p>
      <w:pPr>
        <w:spacing w:after="120" w:before="0" w:line="276"/>
      </w:pPr>
      <w:r>
        <w:rPr>
          <w:rFonts w:ascii="Calibri" w:cs="Calibri" w:eastAsia="Calibri" w:hAnsi="Calibri"/>
          <w:color w:val="595959"/>
          <w:sz w:val="21"/>
          <w:szCs w:val="21"/>
        </w:rPr>
        <w:t xml:space="preserve">Scope: codebase, three WSI cohorts, tissue-classifier assets, and all result folders</w:t>
      </w:r>
    </w:p>
    <w:p>
      <w:pPr>
        <w:spacing w:before="500"/>
      </w:pPr>
      <w:r>
        <w:br w:type="page"/>
      </w:r>
    </w:p>
    <w:p>
      <w:pPr>
        <w:pStyle w:val="Heading1"/>
        <w:spacing w:after="160" w:before="360"/>
      </w:pPr>
      <w:r>
        <w:rPr>
          <w:rFonts w:ascii="Calibri" w:cs="Calibri" w:eastAsia="Calibri" w:hAnsi="Calibri"/>
          <w:b/>
          <w:bCs/>
          <w:color w:val="1F4E79"/>
          <w:sz w:val="30"/>
          <w:szCs w:val="30"/>
        </w:rPr>
        <w:t xml:space="preserve">1.  How to read this document</w:t>
      </w:r>
    </w:p>
    <w:p>
      <w:pPr>
        <w:spacing w:after="120" w:before="0" w:line="276"/>
      </w:pPr>
      <w:r>
        <w:rPr>
          <w:rFonts w:ascii="Calibri" w:cs="Calibri" w:eastAsia="Calibri" w:hAnsi="Calibri"/>
          <w:sz w:val="21"/>
          <w:szCs w:val="21"/>
        </w:rPr>
        <w:t xml:space="preserve">You asked me to work out what this project is from the code and data alone, so you can judge whether I have understood it before relying on me to verify anything. That is what Sections 2 to 7 do. Sections 8 to 10 report what I checked and what I found.</w:t>
      </w:r>
    </w:p>
    <w:p>
      <w:pPr>
        <w:spacing w:after="120" w:before="0" w:line="276"/>
      </w:pPr>
      <w:r>
        <w:rPr>
          <w:rFonts w:ascii="Calibri" w:cs="Calibri" w:eastAsia="Calibri" w:hAnsi="Calibri"/>
          <w:sz w:val="21"/>
          <w:szCs w:val="21"/>
        </w:rPr>
        <w:t xml:space="preserve">Everything stated as fact was read directly from files in the directory. Where I inferred something the code does not state outright, it is marked as an inference. Where I could not determine something, it is listed as an open question in Section 11 rather than guessed at.</w:t>
      </w:r>
    </w:p>
    <w:tbl>
      <w:tblPr>
        <w:tblW w:type="dxa" w:w="9360"/>
        <w:tblBorders>
          <w:top w:val="single" w:color="595959" w:sz="2"/>
          <w:left w:val="single" w:color="595959" w:sz="18"/>
          <w:bottom w:val="single" w:color="595959" w:sz="2"/>
          <w:right w:val="single" w:color="595959" w:sz="2"/>
          <w:insideH w:val="none"/>
          <w:insideV w:val="none"/>
        </w:tblBorders>
      </w:tblPr>
      <w:tblGrid>
        <w:gridCol w:w="9360"/>
      </w:tblGrid>
      <w:tr>
        <w:tc>
          <w:tcPr>
            <w:tcW w:type="dxa" w:w="9360"/>
            <w:shd w:fill="FAFAFA" w:color="auto" w:val="clear"/>
            <w:tcMar>
              <w:top w:type="dxa" w:w="130"/>
              <w:left w:type="dxa" w:w="170"/>
              <w:bottom w:type="dxa" w:w="130"/>
              <w:right w:type="dxa" w:w="150"/>
            </w:tcMar>
          </w:tcPr>
          <w:p>
            <w:pPr>
              <w:spacing w:after="60"/>
            </w:pPr>
            <w:r>
              <w:rPr>
                <w:rFonts w:ascii="Calibri" w:cs="Calibri" w:eastAsia="Calibri" w:hAnsi="Calibri"/>
                <w:b/>
                <w:bCs/>
                <w:color w:val="595959"/>
                <w:sz w:val="21"/>
                <w:szCs w:val="21"/>
              </w:rPr>
              <w:t xml:space="preserve">Verification boundary</w:t>
            </w:r>
          </w:p>
          <w:p>
            <w:pPr>
              <w:spacing w:after="60" w:line="270"/>
            </w:pPr>
            <w:r>
              <w:rPr>
                <w:rFonts w:ascii="Calibri" w:cs="Calibri" w:eastAsia="Calibri" w:hAnsi="Calibri"/>
                <w:sz w:val="20"/>
                <w:szCs w:val="20"/>
              </w:rPr>
              <w:t xml:space="preserve">I did not re-run training, re-extract features, or open the whole-slide images. Counts, tensor shapes, label distributions and fold memberships were computed directly from the files on disk. Claims about model behaviour come from reading the code, not from executing it.</w:t>
            </w:r>
          </w:p>
        </w:tc>
      </w:tr>
    </w:tbl>
    <w:p>
      <w:pPr>
        <w:pStyle w:val="Heading1"/>
        <w:spacing w:after="160" w:before="360"/>
      </w:pPr>
      <w:r>
        <w:rPr>
          <w:rFonts w:ascii="Calibri" w:cs="Calibri" w:eastAsia="Calibri" w:hAnsi="Calibri"/>
          <w:b/>
          <w:bCs/>
          <w:color w:val="1F4E79"/>
          <w:sz w:val="30"/>
          <w:szCs w:val="30"/>
        </w:rPr>
        <w:t xml:space="preserve">2.  What the project is</w:t>
      </w:r>
    </w:p>
    <w:p>
      <w:pPr>
        <w:spacing w:after="120" w:before="0" w:line="276"/>
      </w:pPr>
      <w:r>
        <w:rPr>
          <w:rFonts w:ascii="Calibri" w:cs="Calibri" w:eastAsia="Calibri" w:hAnsi="Calibri"/>
          <w:sz w:val="21"/>
          <w:szCs w:val="21"/>
        </w:rPr>
        <w:t xml:space="preserve">In one sentence: the project predicts a molecular property of a colorectal tumour, microsatellite instability status, directly from a routine H&amp;E-stained histology slide, using pathology foundation models as feature extractors, and it systematically compares different ways of compressing thousands of image patches into a single slide-level representation.</w:t>
      </w:r>
    </w:p>
    <w:p>
      <w:pPr>
        <w:pStyle w:val="Heading2"/>
        <w:spacing w:after="120" w:before="260"/>
      </w:pPr>
      <w:r>
        <w:rPr>
          <w:rFonts w:ascii="Calibri" w:cs="Calibri" w:eastAsia="Calibri" w:hAnsi="Calibri"/>
          <w:b/>
          <w:bCs/>
          <w:color w:val="1F4E79"/>
          <w:sz w:val="24"/>
          <w:szCs w:val="24"/>
        </w:rPr>
        <w:t xml:space="preserve">2.1  The clinical problem</w:t>
      </w:r>
    </w:p>
    <w:p>
      <w:pPr>
        <w:spacing w:after="120" w:before="0" w:line="276"/>
      </w:pPr>
      <w:r>
        <w:rPr>
          <w:rFonts w:ascii="Calibri" w:cs="Calibri" w:eastAsia="Calibri" w:hAnsi="Calibri"/>
          <w:sz w:val="21"/>
          <w:szCs w:val="21"/>
        </w:rPr>
        <w:t xml:space="preserve">Microsatellite instability-high (MSI-H) colorectal cancer is a distinct molecular subtype. It matters clinically because MSI-H tumours respond to immune checkpoint inhibitors and carry different prognostic and hereditary implications. Determining MSI status normally requires immunohistochemistry or PCR/NGS-based testing, which costs money and time and is not performed universally.</w:t>
      </w:r>
    </w:p>
    <w:p>
      <w:pPr>
        <w:spacing w:after="120" w:before="0" w:line="276"/>
      </w:pPr>
      <w:r>
        <w:rPr>
          <w:rFonts w:ascii="Calibri" w:cs="Calibri" w:eastAsia="Calibri" w:hAnsi="Calibri"/>
          <w:sz w:val="21"/>
          <w:szCs w:val="21"/>
        </w:rPr>
        <w:t xml:space="preserve">The premise of this project, and of the published literature it builds on, is that MSI-H tumours have morphological correlates visible on a standard H&amp;E slide: tumour-infiltrating lymphocytes, mucinous and signet-ring differentiation, poor differentiation, a Crohn-like lymphoid reaction. If a model can read those cues, MSI status could be pre-screened from a slide that has already been produced for diagnosis, at no additional cost.</w:t>
      </w:r>
    </w:p>
    <w:p>
      <w:pPr>
        <w:pStyle w:val="Heading2"/>
        <w:spacing w:after="120" w:before="260"/>
      </w:pPr>
      <w:r>
        <w:rPr>
          <w:rFonts w:ascii="Calibri" w:cs="Calibri" w:eastAsia="Calibri" w:hAnsi="Calibri"/>
          <w:b/>
          <w:bCs/>
          <w:color w:val="1F4E79"/>
          <w:sz w:val="24"/>
          <w:szCs w:val="24"/>
        </w:rPr>
        <w:t xml:space="preserve">2.2  The computational problem</w:t>
      </w:r>
    </w:p>
    <w:p>
      <w:pPr>
        <w:spacing w:after="120" w:before="0" w:line="276"/>
      </w:pPr>
      <w:r>
        <w:rPr>
          <w:rFonts w:ascii="Calibri" w:cs="Calibri" w:eastAsia="Calibri" w:hAnsi="Calibri"/>
          <w:sz w:val="21"/>
          <w:szCs w:val="21"/>
        </w:rPr>
        <w:t xml:space="preserve">A whole-slide image is enormous, often over 100,000 by 100,000 pixels, and cannot be fed to a neural network directly. The standard solution is to tile the slide into small patches, embed each patch with a pretrained encoder, then pool the patch embeddings into one slide-level vector for classification. The label is known only at slide level, not patch level, which makes this a weakly supervised problem.</w:t>
      </w:r>
    </w:p>
    <w:p>
      <w:pPr>
        <w:spacing w:after="120" w:before="0" w:line="276"/>
      </w:pPr>
      <w:r>
        <w:rPr>
          <w:rFonts w:ascii="Calibri" w:cs="Calibri" w:eastAsia="Calibri" w:hAnsi="Calibri"/>
          <w:sz w:val="21"/>
          <w:szCs w:val="21"/>
        </w:rPr>
        <w:t xml:space="preserve">In this project's data, a single TCGA slide yields roughly 3,500 usable patches. So the central question the work is built around is:</w:t>
      </w:r>
    </w:p>
    <w:tbl>
      <w:tblPr>
        <w:tblW w:type="dxa" w:w="9360"/>
        <w:tblBorders>
          <w:top w:val="single" w:color="1F4E79" w:sz="2"/>
          <w:left w:val="single" w:color="1F4E79" w:sz="18"/>
          <w:bottom w:val="single" w:color="1F4E79" w:sz="2"/>
          <w:right w:val="single" w:color="1F4E79" w:sz="2"/>
          <w:insideH w:val="none"/>
          <w:insideV w:val="none"/>
        </w:tblBorders>
      </w:tblPr>
      <w:tblGrid>
        <w:gridCol w:w="9360"/>
      </w:tblGrid>
      <w:tr>
        <w:tc>
          <w:tcPr>
            <w:tcW w:type="dxa" w:w="9360"/>
            <w:shd w:fill="FAFAFA" w:color="auto" w:val="clear"/>
            <w:tcMar>
              <w:top w:type="dxa" w:w="130"/>
              <w:left w:type="dxa" w:w="170"/>
              <w:bottom w:type="dxa" w:w="130"/>
              <w:right w:type="dxa" w:w="150"/>
            </w:tcMar>
          </w:tcPr>
          <w:p>
            <w:pPr>
              <w:spacing w:after="60"/>
            </w:pPr>
            <w:r>
              <w:rPr>
                <w:rFonts w:ascii="Calibri" w:cs="Calibri" w:eastAsia="Calibri" w:hAnsi="Calibri"/>
                <w:b/>
                <w:bCs/>
                <w:color w:val="1F4E79"/>
                <w:sz w:val="21"/>
                <w:szCs w:val="21"/>
              </w:rPr>
              <w:t xml:space="preserve">The research question this project is actually asking</w:t>
            </w:r>
          </w:p>
          <w:p>
            <w:pPr>
              <w:spacing w:after="60" w:line="270"/>
            </w:pPr>
            <w:r>
              <w:rPr>
                <w:rFonts w:ascii="Calibri" w:cs="Calibri" w:eastAsia="Calibri" w:hAnsi="Calibri"/>
                <w:sz w:val="20"/>
                <w:szCs w:val="20"/>
              </w:rPr>
              <w:t xml:space="preserve">Given a bag of roughly 3,500 patch embeddings per slide, what is the best way to pool them into one slide-level representation for MSI prediction, and does the answer depend on which foundation model produced the embeddings?</w:t>
            </w:r>
          </w:p>
          <w:p>
            <w:pPr>
              <w:spacing w:after="60" w:line="270"/>
            </w:pPr>
            <w:r>
              <w:rPr>
                <w:rFonts w:ascii="Calibri" w:cs="Calibri" w:eastAsia="Calibri" w:hAnsi="Calibri"/>
                <w:sz w:val="20"/>
                <w:szCs w:val="20"/>
              </w:rPr>
              <w:t xml:space="preserve">The project answers this by building six different aggregation strategies, running each across five foundation models and five classifiers, and comparing them on three independent patient cohorts.</w:t>
            </w:r>
          </w:p>
        </w:tc>
      </w:tr>
    </w:tbl>
    <w:p>
      <w:pPr>
        <w:pStyle w:val="Heading2"/>
        <w:spacing w:after="120" w:before="260"/>
      </w:pPr>
      <w:r>
        <w:rPr>
          <w:rFonts w:ascii="Calibri" w:cs="Calibri" w:eastAsia="Calibri" w:hAnsi="Calibri"/>
          <w:b/>
          <w:bCs/>
          <w:color w:val="1F4E79"/>
          <w:sz w:val="24"/>
          <w:szCs w:val="24"/>
        </w:rPr>
        <w:t xml:space="preserve">2.3  What distinguishes this work</w:t>
      </w:r>
    </w:p>
    <w:p>
      <w:pPr>
        <w:spacing w:after="120" w:before="0" w:line="276"/>
      </w:pPr>
      <w:r>
        <w:rPr>
          <w:rFonts w:ascii="Calibri" w:cs="Calibri" w:eastAsia="Calibri" w:hAnsi="Calibri"/>
          <w:sz w:val="21"/>
          <w:szCs w:val="21"/>
        </w:rPr>
        <w:t xml:space="preserve">Most published MSI-from-H&amp;E work fixes one aggregation method, usually attention-based multiple-instance learning, and varies the encoder. This project inverts that: it holds the downstream classifier family fixed and treats aggregation as the experimental variable, including two semantically-guided approaches that group patches by what tissue they contain before pooling. That is the novel axis. (Inference: the code does not state a thesis, but the experimental design admits no other reading.)</w:t>
      </w:r>
    </w:p>
    <w:p>
      <w:r>
        <w:br w:type="page"/>
      </w:r>
    </w:p>
    <w:p>
      <w:pPr>
        <w:pStyle w:val="Heading1"/>
        <w:spacing w:after="160" w:before="360"/>
      </w:pPr>
      <w:r>
        <w:rPr>
          <w:rFonts w:ascii="Calibri" w:cs="Calibri" w:eastAsia="Calibri" w:hAnsi="Calibri"/>
          <w:b/>
          <w:bCs/>
          <w:color w:val="1F4E79"/>
          <w:sz w:val="30"/>
          <w:szCs w:val="30"/>
        </w:rPr>
        <w:t xml:space="preserve">3.  Data assets, verified</w:t>
      </w:r>
    </w:p>
    <w:p>
      <w:pPr>
        <w:spacing w:after="120" w:before="0" w:line="276"/>
      </w:pPr>
      <w:r>
        <w:rPr>
          <w:rFonts w:ascii="Calibri" w:cs="Calibri" w:eastAsia="Calibri" w:hAnsi="Calibri"/>
          <w:sz w:val="21"/>
          <w:szCs w:val="21"/>
        </w:rPr>
        <w:t xml:space="preserve">Four datasets are in play. The three WSI cohorts provide slides and MSI labels; CRC100K is a public patch-level dataset used only to train the tissue classifier that two of the aggregation methods depend on.</w:t>
      </w:r>
    </w:p>
    <w:p>
      <w:pPr>
        <w:pStyle w:val="Heading2"/>
        <w:spacing w:after="120" w:before="260"/>
      </w:pPr>
      <w:r>
        <w:rPr>
          <w:rFonts w:ascii="Calibri" w:cs="Calibri" w:eastAsia="Calibri" w:hAnsi="Calibri"/>
          <w:b/>
          <w:bCs/>
          <w:color w:val="1F4E79"/>
          <w:sz w:val="24"/>
          <w:szCs w:val="24"/>
        </w:rPr>
        <w:t xml:space="preserve">3.1  Cohort summary</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1500"/>
        <w:gridCol w:w="1150"/>
        <w:gridCol w:w="1150"/>
        <w:gridCol w:w="1250"/>
        <w:gridCol w:w="1200"/>
        <w:gridCol w:w="3110"/>
      </w:tblGrid>
      <w:tr>
        <w:trPr>
          <w:tblHeader/>
        </w:trPr>
        <w:tc>
          <w:tcPr>
            <w:tcW w:type="dxa" w:w="15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Cohort</w:t>
            </w:r>
          </w:p>
        </w:tc>
        <w:tc>
          <w:tcPr>
            <w:tcW w:type="dxa" w:w="115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Slides labelled</w:t>
            </w:r>
          </w:p>
        </w:tc>
        <w:tc>
          <w:tcPr>
            <w:tcW w:type="dxa" w:w="115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MSI-H</w:t>
            </w:r>
          </w:p>
        </w:tc>
        <w:tc>
          <w:tcPr>
            <w:tcW w:type="dxa" w:w="125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non-MSI-H</w:t>
            </w:r>
          </w:p>
        </w:tc>
        <w:tc>
          <w:tcPr>
            <w:tcW w:type="dxa" w:w="1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Usable*</w:t>
            </w:r>
          </w:p>
        </w:tc>
        <w:tc>
          <w:tcPr>
            <w:tcW w:type="dxa" w:w="311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Role in the study</w:t>
            </w:r>
          </w:p>
        </w:tc>
      </w:tr>
      <w:tr>
        <w:tc>
          <w:tcPr>
            <w:tcW w:type="dxa" w:w="1500"/>
            <w:tcMar>
              <w:top w:type="dxa" w:w="70"/>
              <w:left w:type="dxa" w:w="110"/>
              <w:bottom w:type="dxa" w:w="70"/>
              <w:right w:type="dxa" w:w="110"/>
            </w:tcMar>
          </w:tcPr>
          <w:p>
            <w:pPr>
              <w:spacing w:after="0" w:line="250"/>
            </w:pPr>
            <w:r>
              <w:rPr>
                <w:rFonts w:ascii="Calibri" w:cs="Calibri" w:eastAsia="Calibri" w:hAnsi="Calibri"/>
                <w:sz w:val="19"/>
                <w:szCs w:val="19"/>
              </w:rPr>
              <w:t xml:space="preserve">TCGA-CRC</w:t>
            </w:r>
          </w:p>
        </w:tc>
        <w:tc>
          <w:tcPr>
            <w:tcW w:type="dxa" w:w="1150"/>
            <w:tcMar>
              <w:top w:type="dxa" w:w="70"/>
              <w:left w:type="dxa" w:w="110"/>
              <w:bottom w:type="dxa" w:w="70"/>
              <w:right w:type="dxa" w:w="110"/>
            </w:tcMar>
          </w:tcPr>
          <w:p>
            <w:pPr>
              <w:spacing w:after="0" w:line="250"/>
            </w:pPr>
            <w:r>
              <w:rPr>
                <w:rFonts w:ascii="Calibri" w:cs="Calibri" w:eastAsia="Calibri" w:hAnsi="Calibri"/>
                <w:sz w:val="19"/>
                <w:szCs w:val="19"/>
              </w:rPr>
              <w:t xml:space="preserve">416</w:t>
            </w:r>
          </w:p>
        </w:tc>
        <w:tc>
          <w:tcPr>
            <w:tcW w:type="dxa" w:w="1150"/>
            <w:tcMar>
              <w:top w:type="dxa" w:w="70"/>
              <w:left w:type="dxa" w:w="110"/>
              <w:bottom w:type="dxa" w:w="70"/>
              <w:right w:type="dxa" w:w="110"/>
            </w:tcMar>
          </w:tcPr>
          <w:p>
            <w:pPr>
              <w:spacing w:after="0" w:line="250"/>
            </w:pPr>
            <w:r>
              <w:rPr>
                <w:rFonts w:ascii="Calibri" w:cs="Calibri" w:eastAsia="Calibri" w:hAnsi="Calibri"/>
                <w:sz w:val="19"/>
                <w:szCs w:val="19"/>
              </w:rPr>
              <w:t xml:space="preserve">61 (14.7%)</w:t>
            </w:r>
          </w:p>
        </w:tc>
        <w:tc>
          <w:tcPr>
            <w:tcW w:type="dxa" w:w="1250"/>
            <w:tcMar>
              <w:top w:type="dxa" w:w="70"/>
              <w:left w:type="dxa" w:w="110"/>
              <w:bottom w:type="dxa" w:w="70"/>
              <w:right w:type="dxa" w:w="110"/>
            </w:tcMar>
          </w:tcPr>
          <w:p>
            <w:pPr>
              <w:spacing w:after="0" w:line="250"/>
            </w:pPr>
            <w:r>
              <w:rPr>
                <w:rFonts w:ascii="Calibri" w:cs="Calibri" w:eastAsia="Calibri" w:hAnsi="Calibri"/>
                <w:sz w:val="19"/>
                <w:szCs w:val="19"/>
              </w:rPr>
              <w:t xml:space="preserve">355</w:t>
            </w:r>
          </w:p>
        </w:tc>
        <w:tc>
          <w:tcPr>
            <w:tcW w:type="dxa" w:w="1200"/>
            <w:tcMar>
              <w:top w:type="dxa" w:w="70"/>
              <w:left w:type="dxa" w:w="110"/>
              <w:bottom w:type="dxa" w:w="70"/>
              <w:right w:type="dxa" w:w="110"/>
            </w:tcMar>
          </w:tcPr>
          <w:p>
            <w:pPr>
              <w:spacing w:after="0" w:line="250"/>
            </w:pPr>
            <w:r>
              <w:rPr>
                <w:rFonts w:ascii="Calibri" w:cs="Calibri" w:eastAsia="Calibri" w:hAnsi="Calibri"/>
                <w:b/>
                <w:bCs/>
                <w:sz w:val="19"/>
                <w:szCs w:val="19"/>
              </w:rPr>
              <w:t xml:space="preserve">413</w:t>
            </w:r>
          </w:p>
        </w:tc>
        <w:tc>
          <w:tcPr>
            <w:tcW w:type="dxa" w:w="3110"/>
            <w:tcMar>
              <w:top w:type="dxa" w:w="70"/>
              <w:left w:type="dxa" w:w="110"/>
              <w:bottom w:type="dxa" w:w="70"/>
              <w:right w:type="dxa" w:w="110"/>
            </w:tcMar>
          </w:tcPr>
          <w:p>
            <w:pPr>
              <w:spacing w:after="0" w:line="250"/>
            </w:pPr>
            <w:r>
              <w:rPr>
                <w:rFonts w:ascii="Calibri" w:cs="Calibri" w:eastAsia="Calibri" w:hAnsi="Calibri"/>
                <w:sz w:val="19"/>
                <w:szCs w:val="19"/>
              </w:rPr>
              <w:t xml:space="preserve">Primary training cohort; 4-fold cross-validation</w:t>
            </w:r>
          </w:p>
        </w:tc>
      </w:tr>
      <w:tr>
        <w:tc>
          <w:tcPr>
            <w:tcW w:type="dxa" w:w="15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PAIP</w:t>
            </w:r>
          </w:p>
        </w:tc>
        <w:tc>
          <w:tcPr>
            <w:tcW w:type="dxa" w:w="11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78</w:t>
            </w:r>
          </w:p>
        </w:tc>
        <w:tc>
          <w:tcPr>
            <w:tcW w:type="dxa" w:w="11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19 (24.4%)</w:t>
            </w:r>
          </w:p>
        </w:tc>
        <w:tc>
          <w:tcPr>
            <w:tcW w:type="dxa" w:w="12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59</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73</w:t>
            </w:r>
          </w:p>
        </w:tc>
        <w:tc>
          <w:tcPr>
            <w:tcW w:type="dxa" w:w="311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External validation, held out entirely from training</w:t>
            </w:r>
          </w:p>
        </w:tc>
      </w:tr>
      <w:tr>
        <w:tc>
          <w:tcPr>
            <w:tcW w:type="dxa" w:w="1500"/>
            <w:tcMar>
              <w:top w:type="dxa" w:w="70"/>
              <w:left w:type="dxa" w:w="110"/>
              <w:bottom w:type="dxa" w:w="70"/>
              <w:right w:type="dxa" w:w="110"/>
            </w:tcMar>
          </w:tcPr>
          <w:p>
            <w:pPr>
              <w:spacing w:after="0" w:line="250"/>
            </w:pPr>
            <w:r>
              <w:rPr>
                <w:rFonts w:ascii="Calibri" w:cs="Calibri" w:eastAsia="Calibri" w:hAnsi="Calibri"/>
                <w:sz w:val="19"/>
                <w:szCs w:val="19"/>
              </w:rPr>
              <w:t xml:space="preserve">SurGen</w:t>
            </w:r>
          </w:p>
        </w:tc>
        <w:tc>
          <w:tcPr>
            <w:tcW w:type="dxa" w:w="1150"/>
            <w:tcMar>
              <w:top w:type="dxa" w:w="70"/>
              <w:left w:type="dxa" w:w="110"/>
              <w:bottom w:type="dxa" w:w="70"/>
              <w:right w:type="dxa" w:w="110"/>
            </w:tcMar>
          </w:tcPr>
          <w:p>
            <w:pPr>
              <w:spacing w:after="0" w:line="250"/>
            </w:pPr>
            <w:r>
              <w:rPr>
                <w:rFonts w:ascii="Calibri" w:cs="Calibri" w:eastAsia="Calibri" w:hAnsi="Calibri"/>
                <w:sz w:val="19"/>
                <w:szCs w:val="19"/>
              </w:rPr>
              <w:t xml:space="preserve">624</w:t>
            </w:r>
          </w:p>
        </w:tc>
        <w:tc>
          <w:tcPr>
            <w:tcW w:type="dxa" w:w="1150"/>
            <w:tcMar>
              <w:top w:type="dxa" w:w="70"/>
              <w:left w:type="dxa" w:w="110"/>
              <w:bottom w:type="dxa" w:w="70"/>
              <w:right w:type="dxa" w:w="110"/>
            </w:tcMar>
          </w:tcPr>
          <w:p>
            <w:pPr>
              <w:spacing w:after="0" w:line="250"/>
            </w:pPr>
            <w:r>
              <w:rPr>
                <w:rFonts w:ascii="Calibri" w:cs="Calibri" w:eastAsia="Calibri" w:hAnsi="Calibri"/>
                <w:sz w:val="19"/>
                <w:szCs w:val="19"/>
              </w:rPr>
              <w:t xml:space="preserve">60 (9.6%)</w:t>
            </w:r>
          </w:p>
        </w:tc>
        <w:tc>
          <w:tcPr>
            <w:tcW w:type="dxa" w:w="1250"/>
            <w:tcMar>
              <w:top w:type="dxa" w:w="70"/>
              <w:left w:type="dxa" w:w="110"/>
              <w:bottom w:type="dxa" w:w="70"/>
              <w:right w:type="dxa" w:w="110"/>
            </w:tcMar>
          </w:tcPr>
          <w:p>
            <w:pPr>
              <w:spacing w:after="0" w:line="250"/>
            </w:pPr>
            <w:r>
              <w:rPr>
                <w:rFonts w:ascii="Calibri" w:cs="Calibri" w:eastAsia="Calibri" w:hAnsi="Calibri"/>
                <w:sz w:val="19"/>
                <w:szCs w:val="19"/>
              </w:rPr>
              <w:t xml:space="preserve">564</w:t>
            </w:r>
          </w:p>
        </w:tc>
        <w:tc>
          <w:tcPr>
            <w:tcW w:type="dxa" w:w="1200"/>
            <w:tcMar>
              <w:top w:type="dxa" w:w="70"/>
              <w:left w:type="dxa" w:w="110"/>
              <w:bottom w:type="dxa" w:w="70"/>
              <w:right w:type="dxa" w:w="110"/>
            </w:tcMar>
          </w:tcPr>
          <w:p>
            <w:pPr>
              <w:spacing w:after="0" w:line="250"/>
            </w:pPr>
            <w:r>
              <w:rPr>
                <w:rFonts w:ascii="Calibri" w:cs="Calibri" w:eastAsia="Calibri" w:hAnsi="Calibri"/>
                <w:b/>
                <w:bCs/>
                <w:sz w:val="19"/>
                <w:szCs w:val="19"/>
              </w:rPr>
              <w:t xml:space="preserve">624</w:t>
            </w:r>
          </w:p>
        </w:tc>
        <w:tc>
          <w:tcPr>
            <w:tcW w:type="dxa" w:w="3110"/>
            <w:tcMar>
              <w:top w:type="dxa" w:w="70"/>
              <w:left w:type="dxa" w:w="110"/>
              <w:bottom w:type="dxa" w:w="70"/>
              <w:right w:type="dxa" w:w="110"/>
            </w:tcMar>
          </w:tcPr>
          <w:p>
            <w:pPr>
              <w:spacing w:after="0" w:line="250"/>
            </w:pPr>
            <w:r>
              <w:rPr>
                <w:rFonts w:ascii="Calibri" w:cs="Calibri" w:eastAsia="Calibri" w:hAnsi="Calibri"/>
                <w:sz w:val="19"/>
                <w:szCs w:val="19"/>
              </w:rPr>
              <w:t xml:space="preserve">Second cohort; internal cross-validation only</w:t>
            </w:r>
          </w:p>
        </w:tc>
      </w:tr>
      <w:tr>
        <w:tc>
          <w:tcPr>
            <w:tcW w:type="dxa" w:w="15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CRC100K</w:t>
            </w:r>
          </w:p>
        </w:tc>
        <w:tc>
          <w:tcPr>
            <w:tcW w:type="dxa" w:w="11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~100,000 patches</w:t>
            </w:r>
          </w:p>
        </w:tc>
        <w:tc>
          <w:tcPr>
            <w:tcW w:type="dxa" w:w="11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n/a</w:t>
            </w:r>
          </w:p>
        </w:tc>
        <w:tc>
          <w:tcPr>
            <w:tcW w:type="dxa" w:w="12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n/a</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n/a</w:t>
            </w:r>
          </w:p>
        </w:tc>
        <w:tc>
          <w:tcPr>
            <w:tcW w:type="dxa" w:w="311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Trains the 9-class tissue classifier</w:t>
            </w:r>
          </w:p>
        </w:tc>
      </w:tr>
    </w:tbl>
    <w:p>
      <w:pPr>
        <w:spacing w:after="120" w:before="80" w:line="276"/>
      </w:pPr>
      <w:r>
        <w:rPr>
          <w:rFonts w:ascii="Calibri" w:cs="Calibri" w:eastAsia="Calibri" w:hAnsi="Calibri"/>
          <w:i/>
          <w:iCs/>
          <w:color w:val="595959"/>
          <w:sz w:val="18"/>
          <w:szCs w:val="18"/>
        </w:rPr>
        <w:t xml:space="preserve">* Usable = slides that have both a label and an aggregated feature file present on disk. The gap between labelled and usable is explained in Issue 5.</w:t>
      </w:r>
    </w:p>
    <w:p>
      <w:pPr>
        <w:pStyle w:val="Heading2"/>
        <w:spacing w:after="120" w:before="260"/>
      </w:pPr>
      <w:r>
        <w:rPr>
          <w:rFonts w:ascii="Calibri" w:cs="Calibri" w:eastAsia="Calibri" w:hAnsi="Calibri"/>
          <w:b/>
          <w:bCs/>
          <w:color w:val="1F4E79"/>
          <w:sz w:val="24"/>
          <w:szCs w:val="24"/>
        </w:rPr>
        <w:t xml:space="preserve">3.2  TCGA-CRC, the primary cohort</w:t>
      </w:r>
    </w:p>
    <w:p>
      <w:pPr>
        <w:pStyle w:val="ListParagraph"/>
        <w:numPr>
          <w:ilvl w:val="0"/>
          <w:numId w:val="2"/>
        </w:numPr>
        <w:spacing w:after="70" w:line="276"/>
      </w:pPr>
      <w:r>
        <w:rPr>
          <w:rFonts w:ascii="Calibri" w:cs="Calibri" w:eastAsia="Calibri" w:hAnsi="Calibri"/>
          <w:sz w:val="21"/>
          <w:szCs w:val="21"/>
        </w:rPr>
        <w:t xml:space="preserve">Fold definition: kfolds_IDARS_fixed.csv, 416 slides across 4 folds of 103 / 98 / 112 / 103.</w:t>
      </w:r>
    </w:p>
    <w:p>
      <w:pPr>
        <w:pStyle w:val="ListParagraph"/>
        <w:numPr>
          <w:ilvl w:val="0"/>
          <w:numId w:val="2"/>
        </w:numPr>
        <w:spacing w:after="70" w:line="276"/>
      </w:pPr>
      <w:r>
        <w:rPr>
          <w:rFonts w:ascii="Calibri" w:cs="Calibri" w:eastAsia="Calibri" w:hAnsi="Calibri"/>
          <w:color w:val="1E6B3A"/>
          <w:sz w:val="21"/>
          <w:szCs w:val="21"/>
        </w:rPr>
        <w:t xml:space="preserve">One slide per patient. All 416 slide IDs, WSI IDs and Case IDs are unique, and no patient appears in more than one fold. Verified directly.</w:t>
      </w:r>
    </w:p>
    <w:p>
      <w:pPr>
        <w:pStyle w:val="ListParagraph"/>
        <w:numPr>
          <w:ilvl w:val="0"/>
          <w:numId w:val="2"/>
        </w:numPr>
        <w:spacing w:after="70" w:line="276"/>
      </w:pPr>
      <w:r>
        <w:rPr>
          <w:rFonts w:ascii="Calibri" w:cs="Calibri" w:eastAsia="Calibri" w:hAnsi="Calibri"/>
          <w:sz w:val="21"/>
          <w:szCs w:val="21"/>
        </w:rPr>
        <w:t xml:space="preserve">Class balance is preserved across folds: MSI-H counts per fold are 15 / 13 / 20 / 13.</w:t>
      </w:r>
    </w:p>
    <w:p>
      <w:pPr>
        <w:pStyle w:val="ListParagraph"/>
        <w:numPr>
          <w:ilvl w:val="0"/>
          <w:numId w:val="2"/>
        </w:numPr>
        <w:spacing w:after="70" w:line="276"/>
      </w:pPr>
      <w:r>
        <w:rPr>
          <w:rFonts w:ascii="Calibri" w:cs="Calibri" w:eastAsia="Calibri" w:hAnsi="Calibri"/>
          <w:sz w:val="21"/>
          <w:szCs w:val="21"/>
        </w:rPr>
        <w:t xml:space="preserve">Patch inventory: 1,459,999 patches across 417 slides, a mean of about 3,501 per slide, catalogued in 417 per-slide metadata CSVs with patch coordinates and RGB channel statistics.</w:t>
      </w:r>
    </w:p>
    <w:p>
      <w:pPr>
        <w:pStyle w:val="ListParagraph"/>
        <w:numPr>
          <w:ilvl w:val="0"/>
          <w:numId w:val="2"/>
        </w:numPr>
        <w:spacing w:after="70" w:line="276"/>
      </w:pPr>
      <w:r>
        <w:rPr>
          <w:rFonts w:ascii="Calibri" w:cs="Calibri" w:eastAsia="Calibri" w:hAnsi="Calibri"/>
          <w:sz w:val="21"/>
          <w:szCs w:val="21"/>
        </w:rPr>
        <w:t xml:space="preserve">Four additional label files exist for other molecular targets, BRAF with 54 mutants, KRAS with 184, TP53 with 268 and CIMP with four categories, all sharing the identical fold assignment. None of these tasks is currently being run.</w:t>
      </w:r>
    </w:p>
    <w:p>
      <w:pPr>
        <w:pStyle w:val="Heading2"/>
        <w:spacing w:after="120" w:before="260"/>
      </w:pPr>
      <w:r>
        <w:rPr>
          <w:rFonts w:ascii="Calibri" w:cs="Calibri" w:eastAsia="Calibri" w:hAnsi="Calibri"/>
          <w:b/>
          <w:bCs/>
          <w:color w:val="1F4E79"/>
          <w:sz w:val="24"/>
          <w:szCs w:val="24"/>
        </w:rPr>
        <w:t xml:space="preserve">3.3  PAIP, the external validation cohort</w:t>
      </w:r>
    </w:p>
    <w:p>
      <w:pPr>
        <w:spacing w:after="120" w:before="0" w:line="276"/>
      </w:pPr>
      <w:r>
        <w:rPr>
          <w:rFonts w:ascii="Calibri" w:cs="Calibri" w:eastAsia="Calibri" w:hAnsi="Calibri"/>
          <w:sz w:val="21"/>
          <w:szCs w:val="21"/>
        </w:rPr>
        <w:t xml:space="preserve">This is the only genuinely held-out evaluation in the project. Models trained on TCGA are applied to PAIP with no PAIP data seen during training. Each of the four TCGA fold-models is run over the entire PAIP set, so Fold1 to Fold4 in the external-validation results means four independently trained models scored on the same slides, not four different test splits.</w:t>
      </w:r>
    </w:p>
    <w:p>
      <w:pPr>
        <w:spacing w:after="120" w:before="0" w:line="276"/>
      </w:pPr>
      <w:r>
        <w:rPr>
          <w:rFonts w:ascii="Calibri" w:cs="Calibri" w:eastAsia="Calibri" w:hAnsi="Calibri"/>
          <w:sz w:val="21"/>
          <w:szCs w:val="21"/>
        </w:rPr>
        <w:t xml:space="preserve">Note on the filename: paip_kfolds_71.csv contains 78 rows and no fold column at all. Despite the name it is a plain label table, not a fold definition. 73 of the 78 slides have features on disk and are the ones actually evaluated, confirmed independently by the confusion matrices, which sum to 73 (56 non-MSI-H plus 17 MSI-H).</w:t>
      </w:r>
    </w:p>
    <w:p>
      <w:pPr>
        <w:pStyle w:val="Heading2"/>
        <w:spacing w:after="120" w:before="260"/>
      </w:pPr>
      <w:r>
        <w:rPr>
          <w:rFonts w:ascii="Calibri" w:cs="Calibri" w:eastAsia="Calibri" w:hAnsi="Calibri"/>
          <w:b/>
          <w:bCs/>
          <w:color w:val="1F4E79"/>
          <w:sz w:val="24"/>
          <w:szCs w:val="24"/>
        </w:rPr>
        <w:t xml:space="preserve">3.4  SurGen, the second cohort</w:t>
      </w:r>
    </w:p>
    <w:p>
      <w:pPr>
        <w:pStyle w:val="ListParagraph"/>
        <w:numPr>
          <w:ilvl w:val="0"/>
          <w:numId w:val="2"/>
        </w:numPr>
        <w:spacing w:after="70" w:line="276"/>
      </w:pPr>
      <w:r>
        <w:rPr>
          <w:rFonts w:ascii="Calibri" w:cs="Calibri" w:eastAsia="Calibri" w:hAnsi="Calibri"/>
          <w:sz w:val="21"/>
          <w:szCs w:val="21"/>
        </w:rPr>
        <w:t xml:space="preserve">1,020 slides in the label file, of which 396 carry label minus one (unknown) and are correctly excluded from all folds.</w:t>
      </w:r>
    </w:p>
    <w:p>
      <w:pPr>
        <w:pStyle w:val="ListParagraph"/>
        <w:numPr>
          <w:ilvl w:val="0"/>
          <w:numId w:val="2"/>
        </w:numPr>
        <w:spacing w:after="70" w:line="276"/>
      </w:pPr>
      <w:r>
        <w:rPr>
          <w:rFonts w:ascii="Calibri" w:cs="Calibri" w:eastAsia="Calibri" w:hAnsi="Calibri"/>
          <w:sz w:val="21"/>
          <w:szCs w:val="21"/>
        </w:rPr>
        <w:t xml:space="preserve">624 slides remain, with a markedly harder class balance than TCGA: 60 MSI-H against 564 non-MSI-H, or 9.6 percent.</w:t>
      </w:r>
    </w:p>
    <w:p>
      <w:pPr>
        <w:pStyle w:val="ListParagraph"/>
        <w:numPr>
          <w:ilvl w:val="0"/>
          <w:numId w:val="2"/>
        </w:numPr>
        <w:spacing w:after="70" w:line="276"/>
      </w:pPr>
      <w:r>
        <w:rPr>
          <w:rFonts w:ascii="Calibri" w:cs="Calibri" w:eastAsia="Calibri" w:hAnsi="Calibri"/>
          <w:b/>
          <w:bCs/>
          <w:color w:val="9C2A2A"/>
          <w:sz w:val="21"/>
          <w:szCs w:val="21"/>
        </w:rPr>
        <w:t xml:space="preserve">Those 624 slides come from 554 distinct cases. 70 cases contribute two slides each. </w:t>
      </w:r>
      <w:r>
        <w:rPr>
          <w:rFonts w:ascii="Calibri" w:cs="Calibri" w:eastAsia="Calibri" w:hAnsi="Calibri"/>
          <w:color w:val="9C2A2A"/>
          <w:sz w:val="21"/>
          <w:szCs w:val="21"/>
        </w:rPr>
        <w:t xml:space="preserve">This is the source of Issue 2, the most significant methodological finding in this review.</w:t>
      </w:r>
    </w:p>
    <w:p>
      <w:pPr>
        <w:pStyle w:val="ListParagraph"/>
        <w:numPr>
          <w:ilvl w:val="0"/>
          <w:numId w:val="2"/>
        </w:numPr>
        <w:spacing w:after="70" w:line="276"/>
      </w:pPr>
      <w:r>
        <w:rPr>
          <w:rFonts w:ascii="Calibri" w:cs="Calibri" w:eastAsia="Calibri" w:hAnsi="Calibri"/>
          <w:sz w:val="21"/>
          <w:szCs w:val="21"/>
        </w:rPr>
        <w:t xml:space="preserve">No case has conflicting labels between its two slides, so the labelling is internally consistent.</w:t>
      </w:r>
    </w:p>
    <w:p>
      <w:pPr>
        <w:pStyle w:val="ListParagraph"/>
        <w:numPr>
          <w:ilvl w:val="0"/>
          <w:numId w:val="2"/>
        </w:numPr>
        <w:spacing w:after="70" w:line="276"/>
      </w:pPr>
      <w:r>
        <w:rPr>
          <w:rFonts w:ascii="Calibri" w:cs="Calibri" w:eastAsia="Calibri" w:hAnsi="Calibri"/>
          <w:sz w:val="21"/>
          <w:szCs w:val="21"/>
        </w:rPr>
        <w:t xml:space="preserve">Folds are built at runtime, stratified by label, with seed 42, rather than read from a pre-built CSV as TCGA's are.</w:t>
      </w:r>
    </w:p>
    <w:p>
      <w:pPr>
        <w:pStyle w:val="Heading2"/>
        <w:spacing w:after="120" w:before="260"/>
      </w:pPr>
      <w:r>
        <w:rPr>
          <w:rFonts w:ascii="Calibri" w:cs="Calibri" w:eastAsia="Calibri" w:hAnsi="Calibri"/>
          <w:b/>
          <w:bCs/>
          <w:color w:val="1F4E79"/>
          <w:sz w:val="24"/>
          <w:szCs w:val="24"/>
        </w:rPr>
        <w:t xml:space="preserve">3.5  CRC100K, the tissue-classifier training set</w:t>
      </w:r>
    </w:p>
    <w:p>
      <w:pPr>
        <w:spacing w:after="120" w:before="0" w:line="276"/>
      </w:pPr>
      <w:r>
        <w:rPr>
          <w:rFonts w:ascii="Calibri" w:cs="Calibri" w:eastAsia="Calibri" w:hAnsi="Calibri"/>
          <w:sz w:val="21"/>
          <w:szCs w:val="21"/>
        </w:rPr>
        <w:t xml:space="preserve">Trained on NCT-CRC-HE-100K-NONORM and evaluated on the separate CRC-VAL-HE-7K set, which is the correct protocol because the validation set comes from different patients than the training set. Nine tissue classes: adipose, background, debris, lymphocyte, mucin, smooth muscle, normal mucosa, stroma, tumour.</w:t>
      </w:r>
    </w:p>
    <w:p>
      <w:pPr>
        <w:spacing w:after="120" w:before="0" w:line="276"/>
      </w:pPr>
      <w:r>
        <w:rPr>
          <w:rFonts w:ascii="Calibri" w:cs="Calibri" w:eastAsia="Calibri" w:hAnsi="Calibri"/>
          <w:sz w:val="21"/>
          <w:szCs w:val="21"/>
        </w:rPr>
        <w:t xml:space="preserve">Nine trained classifier checkpoints exist, covering ConchV1, Conch1.5, UNI2 at both native and upscaled resolution, Virchow2, H-Optimus and two ResNet-18 baselines, each with a saved best-hyperparameter JSON.</w:t>
      </w:r>
    </w:p>
    <w:p>
      <w:r>
        <w:br w:type="page"/>
      </w:r>
    </w:p>
    <w:p>
      <w:pPr>
        <w:pStyle w:val="Heading1"/>
        <w:spacing w:after="160" w:before="360"/>
      </w:pPr>
      <w:r>
        <w:rPr>
          <w:rFonts w:ascii="Calibri" w:cs="Calibri" w:eastAsia="Calibri" w:hAnsi="Calibri"/>
          <w:b/>
          <w:bCs/>
          <w:color w:val="1F4E79"/>
          <w:sz w:val="30"/>
          <w:szCs w:val="30"/>
        </w:rPr>
        <w:t xml:space="preserve">4.  The pipeline, stage by stage</w:t>
      </w:r>
    </w:p>
    <w:p>
      <w:pPr>
        <w:spacing w:after="120" w:before="0" w:line="276"/>
      </w:pPr>
      <w:r>
        <w:rPr>
          <w:rFonts w:ascii="Calibri" w:cs="Calibri" w:eastAsia="Calibri" w:hAnsi="Calibri"/>
          <w:sz w:val="21"/>
          <w:szCs w:val="21"/>
        </w:rPr>
        <w:t xml:space="preserve">Six stages run from raw slide to reported metric. Each maps onto one top-level folder in the repository.</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700"/>
        <w:gridCol w:w="2100"/>
        <w:gridCol w:w="3200"/>
        <w:gridCol w:w="3360"/>
      </w:tblGrid>
      <w:tr>
        <w:trPr>
          <w:tblHeader/>
        </w:trPr>
        <w:tc>
          <w:tcPr>
            <w:tcW w:type="dxa" w:w="7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c>
          <w:tcPr>
            <w:tcW w:type="dxa" w:w="21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Stage / folder</w:t>
            </w:r>
          </w:p>
        </w:tc>
        <w:tc>
          <w:tcPr>
            <w:tcW w:type="dxa" w:w="3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What happens</w:t>
            </w:r>
          </w:p>
        </w:tc>
        <w:tc>
          <w:tcPr>
            <w:tcW w:type="dxa" w:w="33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Output</w:t>
            </w:r>
          </w:p>
        </w:tc>
      </w:tr>
      <w:tr>
        <w:tc>
          <w:tcPr>
            <w:tcW w:type="dxa" w:w="700"/>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2100"/>
            <w:tcMar>
              <w:top w:type="dxa" w:w="70"/>
              <w:left w:type="dxa" w:w="110"/>
              <w:bottom w:type="dxa" w:w="70"/>
              <w:right w:type="dxa" w:w="110"/>
            </w:tcMar>
          </w:tcPr>
          <w:p>
            <w:pPr>
              <w:spacing w:after="0" w:line="250"/>
            </w:pPr>
            <w:r>
              <w:rPr>
                <w:rFonts w:ascii="Calibri" w:cs="Calibri" w:eastAsia="Calibri" w:hAnsi="Calibri"/>
                <w:sz w:val="19"/>
                <w:szCs w:val="19"/>
              </w:rPr>
              <w:t xml:space="preserve">data_preprocessing</w:t>
            </w:r>
          </w:p>
        </w:tc>
        <w:tc>
          <w:tcPr>
            <w:tcW w:type="dxa" w:w="3200"/>
            <w:tcMar>
              <w:top w:type="dxa" w:w="70"/>
              <w:left w:type="dxa" w:w="110"/>
              <w:bottom w:type="dxa" w:w="70"/>
              <w:right w:type="dxa" w:w="110"/>
            </w:tcMar>
          </w:tcPr>
          <w:p>
            <w:pPr>
              <w:spacing w:after="0" w:line="250"/>
            </w:pPr>
            <w:r>
              <w:rPr>
                <w:rFonts w:ascii="Calibri" w:cs="Calibri" w:eastAsia="Calibri" w:hAnsi="Calibri"/>
                <w:sz w:val="19"/>
                <w:szCs w:val="19"/>
              </w:rPr>
              <w:t xml:space="preserve">CLAM toolbox segments tissue and tiles each slide into patches with recorded coordinates</w:t>
            </w:r>
          </w:p>
        </w:tc>
        <w:tc>
          <w:tcPr>
            <w:tcW w:type="dxa" w:w="3360"/>
            <w:tcMar>
              <w:top w:type="dxa" w:w="70"/>
              <w:left w:type="dxa" w:w="110"/>
              <w:bottom w:type="dxa" w:w="70"/>
              <w:right w:type="dxa" w:w="110"/>
            </w:tcMar>
          </w:tcPr>
          <w:p>
            <w:pPr>
              <w:spacing w:after="0" w:line="250"/>
            </w:pPr>
            <w:r>
              <w:rPr>
                <w:rFonts w:ascii="Calibri" w:cs="Calibri" w:eastAsia="Calibri" w:hAnsi="Calibri"/>
                <w:sz w:val="19"/>
                <w:szCs w:val="19"/>
              </w:rPr>
              <w:t xml:space="preserve">Patch images plus per-slide metadata CSV</w:t>
            </w:r>
          </w:p>
        </w:tc>
      </w:tr>
      <w:tr>
        <w:tc>
          <w:tcPr>
            <w:tcW w:type="dxa" w:w="7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w:t>
            </w:r>
          </w:p>
        </w:tc>
        <w:tc>
          <w:tcPr>
            <w:tcW w:type="dxa" w:w="21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data_cleaning</w:t>
            </w:r>
          </w:p>
        </w:tc>
        <w:tc>
          <w:tcPr>
            <w:tcW w:type="dxa" w:w="3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SVM models trained on RGB channel statistics filter out background and white or blank patches</w:t>
            </w:r>
          </w:p>
        </w:tc>
        <w:tc>
          <w:tcPr>
            <w:tcW w:type="dxa" w:w="33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Cleaned patch lists</w:t>
            </w:r>
          </w:p>
        </w:tc>
      </w:tr>
      <w:tr>
        <w:tc>
          <w:tcPr>
            <w:tcW w:type="dxa" w:w="700"/>
            <w:tcMar>
              <w:top w:type="dxa" w:w="70"/>
              <w:left w:type="dxa" w:w="110"/>
              <w:bottom w:type="dxa" w:w="70"/>
              <w:right w:type="dxa" w:w="110"/>
            </w:tcMar>
          </w:tcPr>
          <w:p>
            <w:pPr>
              <w:spacing w:after="0" w:line="250"/>
            </w:pPr>
            <w:r>
              <w:rPr>
                <w:rFonts w:ascii="Calibri" w:cs="Calibri" w:eastAsia="Calibri" w:hAnsi="Calibri"/>
                <w:sz w:val="19"/>
                <w:szCs w:val="19"/>
              </w:rPr>
              <w:t xml:space="preserve">3</w:t>
            </w:r>
          </w:p>
        </w:tc>
        <w:tc>
          <w:tcPr>
            <w:tcW w:type="dxa" w:w="2100"/>
            <w:tcMar>
              <w:top w:type="dxa" w:w="70"/>
              <w:left w:type="dxa" w:w="110"/>
              <w:bottom w:type="dxa" w:w="70"/>
              <w:right w:type="dxa" w:w="110"/>
            </w:tcMar>
          </w:tcPr>
          <w:p>
            <w:pPr>
              <w:spacing w:after="0" w:line="250"/>
            </w:pPr>
            <w:r>
              <w:rPr>
                <w:rFonts w:ascii="Calibri" w:cs="Calibri" w:eastAsia="Calibri" w:hAnsi="Calibri"/>
                <w:sz w:val="19"/>
                <w:szCs w:val="19"/>
              </w:rPr>
              <w:t xml:space="preserve">feature_extraction</w:t>
            </w:r>
          </w:p>
        </w:tc>
        <w:tc>
          <w:tcPr>
            <w:tcW w:type="dxa" w:w="3200"/>
            <w:tcMar>
              <w:top w:type="dxa" w:w="70"/>
              <w:left w:type="dxa" w:w="110"/>
              <w:bottom w:type="dxa" w:w="70"/>
              <w:right w:type="dxa" w:w="110"/>
            </w:tcMar>
          </w:tcPr>
          <w:p>
            <w:pPr>
              <w:spacing w:after="0" w:line="250"/>
            </w:pPr>
            <w:r>
              <w:rPr>
                <w:rFonts w:ascii="Calibri" w:cs="Calibri" w:eastAsia="Calibri" w:hAnsi="Calibri"/>
                <w:sz w:val="19"/>
                <w:szCs w:val="19"/>
              </w:rPr>
              <w:t xml:space="preserve">Each patch is embedded by a pathology foundation model using five-crop augmentation</w:t>
            </w:r>
          </w:p>
        </w:tc>
        <w:tc>
          <w:tcPr>
            <w:tcW w:type="dxa" w:w="3360"/>
            <w:tcMar>
              <w:top w:type="dxa" w:w="70"/>
              <w:left w:type="dxa" w:w="110"/>
              <w:bottom w:type="dxa" w:w="70"/>
              <w:right w:type="dxa" w:w="110"/>
            </w:tcMar>
          </w:tcPr>
          <w:p>
            <w:pPr>
              <w:spacing w:after="0" w:line="250"/>
            </w:pPr>
            <w:r>
              <w:rPr>
                <w:rFonts w:ascii="Calibri" w:cs="Calibri" w:eastAsia="Calibri" w:hAnsi="Calibri"/>
                <w:sz w:val="19"/>
                <w:szCs w:val="19"/>
              </w:rPr>
              <w:t xml:space="preserve">One .pt embedding per patch</w:t>
            </w:r>
          </w:p>
        </w:tc>
      </w:tr>
      <w:tr>
        <w:tc>
          <w:tcPr>
            <w:tcW w:type="dxa" w:w="7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w:t>
            </w:r>
          </w:p>
        </w:tc>
        <w:tc>
          <w:tcPr>
            <w:tcW w:type="dxa" w:w="21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TissueClassifier_CRC100K</w:t>
            </w:r>
          </w:p>
        </w:tc>
        <w:tc>
          <w:tcPr>
            <w:tcW w:type="dxa" w:w="3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An ANN head is trained on CRC100K to assign each patch one of 9 tissue types</w:t>
            </w:r>
          </w:p>
        </w:tc>
        <w:tc>
          <w:tcPr>
            <w:tcW w:type="dxa" w:w="33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Tissue classifier checkpoints</w:t>
            </w:r>
          </w:p>
        </w:tc>
      </w:tr>
      <w:tr>
        <w:tc>
          <w:tcPr>
            <w:tcW w:type="dxa" w:w="700"/>
            <w:tcMar>
              <w:top w:type="dxa" w:w="70"/>
              <w:left w:type="dxa" w:w="110"/>
              <w:bottom w:type="dxa" w:w="70"/>
              <w:right w:type="dxa" w:w="110"/>
            </w:tcMar>
          </w:tcPr>
          <w:p>
            <w:pPr>
              <w:spacing w:after="0" w:line="250"/>
            </w:pPr>
            <w:r>
              <w:rPr>
                <w:rFonts w:ascii="Calibri" w:cs="Calibri" w:eastAsia="Calibri" w:hAnsi="Calibri"/>
                <w:sz w:val="19"/>
                <w:szCs w:val="19"/>
              </w:rPr>
              <w:t xml:space="preserve">5</w:t>
            </w:r>
          </w:p>
        </w:tc>
        <w:tc>
          <w:tcPr>
            <w:tcW w:type="dxa" w:w="2100"/>
            <w:tcMar>
              <w:top w:type="dxa" w:w="70"/>
              <w:left w:type="dxa" w:w="110"/>
              <w:bottom w:type="dxa" w:w="70"/>
              <w:right w:type="dxa" w:w="110"/>
            </w:tcMar>
          </w:tcPr>
          <w:p>
            <w:pPr>
              <w:spacing w:after="0" w:line="250"/>
            </w:pPr>
            <w:r>
              <w:rPr>
                <w:rFonts w:ascii="Calibri" w:cs="Calibri" w:eastAsia="Calibri" w:hAnsi="Calibri"/>
                <w:sz w:val="19"/>
                <w:szCs w:val="19"/>
              </w:rPr>
              <w:t xml:space="preserve">slide_aggregation</w:t>
            </w:r>
          </w:p>
        </w:tc>
        <w:tc>
          <w:tcPr>
            <w:tcW w:type="dxa" w:w="3200"/>
            <w:tcMar>
              <w:top w:type="dxa" w:w="70"/>
              <w:left w:type="dxa" w:w="110"/>
              <w:bottom w:type="dxa" w:w="70"/>
              <w:right w:type="dxa" w:w="110"/>
            </w:tcMar>
          </w:tcPr>
          <w:p>
            <w:pPr>
              <w:spacing w:after="0" w:line="250"/>
            </w:pPr>
            <w:r>
              <w:rPr>
                <w:rFonts w:ascii="Calibri" w:cs="Calibri" w:eastAsia="Calibri" w:hAnsi="Calibri"/>
                <w:sz w:val="19"/>
                <w:szCs w:val="19"/>
              </w:rPr>
              <w:t xml:space="preserve">Patch embeddings are pooled into one slide-level tensor by six competing strategies</w:t>
            </w:r>
          </w:p>
        </w:tc>
        <w:tc>
          <w:tcPr>
            <w:tcW w:type="dxa" w:w="3360"/>
            <w:tcMar>
              <w:top w:type="dxa" w:w="70"/>
              <w:left w:type="dxa" w:w="110"/>
              <w:bottom w:type="dxa" w:w="70"/>
              <w:right w:type="dxa" w:w="110"/>
            </w:tcMar>
          </w:tcPr>
          <w:p>
            <w:pPr>
              <w:spacing w:after="0" w:line="250"/>
            </w:pPr>
            <w:r>
              <w:rPr>
                <w:rFonts w:ascii="Calibri" w:cs="Calibri" w:eastAsia="Calibri" w:hAnsi="Calibri"/>
                <w:sz w:val="19"/>
                <w:szCs w:val="19"/>
              </w:rPr>
              <w:t xml:space="preserve">One .pt per slide, per method, per model</w:t>
            </w:r>
          </w:p>
        </w:tc>
      </w:tr>
      <w:tr>
        <w:tc>
          <w:tcPr>
            <w:tcW w:type="dxa" w:w="7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w:t>
            </w:r>
          </w:p>
        </w:tc>
        <w:tc>
          <w:tcPr>
            <w:tcW w:type="dxa" w:w="21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slide_classification</w:t>
            </w:r>
          </w:p>
        </w:tc>
        <w:tc>
          <w:tcPr>
            <w:tcW w:type="dxa" w:w="3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Five classifiers are cross-validated on the slide tensors; results written to Excel</w:t>
            </w:r>
          </w:p>
        </w:tc>
        <w:tc>
          <w:tcPr>
            <w:tcW w:type="dxa" w:w="33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Metrics plus saved model checkpoints</w:t>
            </w:r>
          </w:p>
        </w:tc>
      </w:tr>
    </w:tbl>
    <w:p>
      <w:pPr>
        <w:pStyle w:val="Heading2"/>
        <w:spacing w:after="120" w:before="260"/>
      </w:pPr>
      <w:r>
        <w:rPr>
          <w:rFonts w:ascii="Calibri" w:cs="Calibri" w:eastAsia="Calibri" w:hAnsi="Calibri"/>
          <w:b/>
          <w:bCs/>
          <w:color w:val="1F4E79"/>
          <w:sz w:val="24"/>
          <w:szCs w:val="24"/>
        </w:rPr>
        <w:t xml:space="preserve">4.1  Foundation models compared</w:t>
      </w:r>
    </w:p>
    <w:p>
      <w:pPr>
        <w:spacing w:after="120" w:before="0" w:line="276"/>
      </w:pPr>
      <w:r>
        <w:rPr>
          <w:rFonts w:ascii="Calibri" w:cs="Calibri" w:eastAsia="Calibri" w:hAnsi="Calibri"/>
          <w:sz w:val="21"/>
          <w:szCs w:val="21"/>
        </w:rPr>
        <w:t xml:space="preserve">Five patch encoders are used as interchangeable feature extractors, plus two slide-level encoders used as end-to-end baselines.</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2600"/>
        <w:gridCol w:w="1600"/>
        <w:gridCol w:w="5160"/>
      </w:tblGrid>
      <w:tr>
        <w:trPr>
          <w:tblHeader/>
        </w:trPr>
        <w:tc>
          <w:tcPr>
            <w:tcW w:type="dxa" w:w="2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Model</w:t>
            </w:r>
          </w:p>
        </w:tc>
        <w:tc>
          <w:tcPr>
            <w:tcW w:type="dxa" w:w="1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Embedding dim</w:t>
            </w:r>
          </w:p>
        </w:tc>
        <w:tc>
          <w:tcPr>
            <w:tcW w:type="dxa" w:w="51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Notes</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H-Optimus-1</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1536</w:t>
            </w:r>
          </w:p>
        </w:tc>
        <w:tc>
          <w:tcPr>
            <w:tcW w:type="dxa" w:w="5160"/>
            <w:tcMar>
              <w:top w:type="dxa" w:w="70"/>
              <w:left w:type="dxa" w:w="110"/>
              <w:bottom w:type="dxa" w:w="70"/>
              <w:right w:type="dxa" w:w="110"/>
            </w:tcMar>
          </w:tcPr>
          <w:p>
            <w:pPr>
              <w:spacing w:after="0" w:line="250"/>
            </w:pPr>
            <w:r>
              <w:rPr>
                <w:rFonts w:ascii="Calibri" w:cs="Calibri" w:eastAsia="Calibri" w:hAnsi="Calibri"/>
                <w:sz w:val="19"/>
                <w:szCs w:val="19"/>
              </w:rPr>
              <w:t xml:space="preserve">Most consistently used across every experiment</w:t>
            </w:r>
          </w:p>
        </w:tc>
      </w:tr>
      <w:tr>
        <w:tc>
          <w:tcPr>
            <w:tcW w:type="dxa" w:w="2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UNI2 (UNI2-h)</w:t>
            </w:r>
          </w:p>
        </w:tc>
        <w:tc>
          <w:tcPr>
            <w:tcW w:type="dxa" w:w="1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1536</w:t>
            </w:r>
          </w:p>
        </w:tc>
        <w:tc>
          <w:tcPr>
            <w:tcW w:type="dxa" w:w="5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Full coverage on TCGA and PAIP</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CONCH v1.5</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768</w:t>
            </w:r>
          </w:p>
        </w:tc>
        <w:tc>
          <w:tcPr>
            <w:tcW w:type="dxa" w:w="5160"/>
            <w:tcMar>
              <w:top w:type="dxa" w:w="70"/>
              <w:left w:type="dxa" w:w="110"/>
              <w:bottom w:type="dxa" w:w="70"/>
              <w:right w:type="dxa" w:w="110"/>
            </w:tcMar>
          </w:tcPr>
          <w:p>
            <w:pPr>
              <w:spacing w:after="0" w:line="250"/>
            </w:pPr>
            <w:r>
              <w:rPr>
                <w:rFonts w:ascii="Calibri" w:cs="Calibri" w:eastAsia="Calibri" w:hAnsi="Calibri"/>
                <w:sz w:val="19"/>
                <w:szCs w:val="19"/>
              </w:rPr>
              <w:t xml:space="preserve">Also supplies the text encoder for caption-based aggregation</w:t>
            </w:r>
          </w:p>
        </w:tc>
      </w:tr>
      <w:tr>
        <w:tc>
          <w:tcPr>
            <w:tcW w:type="dxa" w:w="2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Virchow2</w:t>
            </w:r>
          </w:p>
        </w:tc>
        <w:tc>
          <w:tcPr>
            <w:tcW w:type="dxa" w:w="1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2560</w:t>
            </w:r>
          </w:p>
        </w:tc>
        <w:tc>
          <w:tcPr>
            <w:tcW w:type="dxa" w:w="5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Largest embedding; full coverage on TCGA and PAIP</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CONCH v1</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512</w:t>
            </w:r>
          </w:p>
        </w:tc>
        <w:tc>
          <w:tcPr>
            <w:tcW w:type="dxa" w:w="5160"/>
            <w:tcMar>
              <w:top w:type="dxa" w:w="70"/>
              <w:left w:type="dxa" w:w="110"/>
              <w:bottom w:type="dxa" w:w="70"/>
              <w:right w:type="dxa" w:w="110"/>
            </w:tcMar>
          </w:tcPr>
          <w:p>
            <w:pPr>
              <w:spacing w:after="0" w:line="250"/>
            </w:pPr>
            <w:r>
              <w:rPr>
                <w:rFonts w:ascii="Calibri" w:cs="Calibri" w:eastAsia="Calibri" w:hAnsi="Calibri"/>
                <w:sz w:val="19"/>
                <w:szCs w:val="19"/>
              </w:rPr>
              <w:t xml:space="preserve">Smallest embedding</w:t>
            </w:r>
          </w:p>
        </w:tc>
      </w:tr>
      <w:tr>
        <w:tc>
          <w:tcPr>
            <w:tcW w:type="dxa" w:w="2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TITAN</w:t>
            </w:r>
          </w:p>
        </w:tc>
        <w:tc>
          <w:tcPr>
            <w:tcW w:type="dxa" w:w="1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768 (slide)</w:t>
            </w:r>
          </w:p>
        </w:tc>
        <w:tc>
          <w:tcPr>
            <w:tcW w:type="dxa" w:w="5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Slide-level encoder baseline, built on CONCH 1.5 patches</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PRISM</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1280 (slide)</w:t>
            </w:r>
          </w:p>
        </w:tc>
        <w:tc>
          <w:tcPr>
            <w:tcW w:type="dxa" w:w="5160"/>
            <w:tcMar>
              <w:top w:type="dxa" w:w="70"/>
              <w:left w:type="dxa" w:w="110"/>
              <w:bottom w:type="dxa" w:w="70"/>
              <w:right w:type="dxa" w:w="110"/>
            </w:tcMar>
          </w:tcPr>
          <w:p>
            <w:pPr>
              <w:spacing w:after="0" w:line="250"/>
            </w:pPr>
            <w:r>
              <w:rPr>
                <w:rFonts w:ascii="Calibri" w:cs="Calibri" w:eastAsia="Calibri" w:hAnsi="Calibri"/>
                <w:sz w:val="19"/>
                <w:szCs w:val="19"/>
              </w:rPr>
              <w:t xml:space="preserve">Slide-level encoder baseline, no patch aggregation step</w:t>
            </w:r>
          </w:p>
        </w:tc>
      </w:tr>
    </w:tbl>
    <w:p>
      <w:r>
        <w:br w:type="page"/>
      </w:r>
    </w:p>
    <w:p>
      <w:pPr>
        <w:pStyle w:val="Heading1"/>
        <w:spacing w:after="160" w:before="360"/>
      </w:pPr>
      <w:r>
        <w:rPr>
          <w:rFonts w:ascii="Calibri" w:cs="Calibri" w:eastAsia="Calibri" w:hAnsi="Calibri"/>
          <w:b/>
          <w:bCs/>
          <w:color w:val="1F4E79"/>
          <w:sz w:val="30"/>
          <w:szCs w:val="30"/>
        </w:rPr>
        <w:t xml:space="preserve">5.  The six aggregation strategies</w:t>
      </w:r>
    </w:p>
    <w:p>
      <w:pPr>
        <w:spacing w:after="120" w:before="0" w:line="276"/>
      </w:pPr>
      <w:r>
        <w:rPr>
          <w:rFonts w:ascii="Calibri" w:cs="Calibri" w:eastAsia="Calibri" w:hAnsi="Calibri"/>
          <w:sz w:val="21"/>
          <w:szCs w:val="21"/>
        </w:rPr>
        <w:t xml:space="preserve">This is the heart of the project. Every strategy turns a variable-length bag of patch embeddings into a fixed-size slide tensor, but they differ in how much semantic structure they preserve. I verified the output shape of each one by reading sample tensors directly off disk.</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2450"/>
        <w:gridCol w:w="1250"/>
        <w:gridCol w:w="1500"/>
        <w:gridCol w:w="4160"/>
      </w:tblGrid>
      <w:tr>
        <w:trPr>
          <w:tblHeader/>
        </w:trPr>
        <w:tc>
          <w:tcPr>
            <w:tcW w:type="dxa" w:w="245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Strategy</w:t>
            </w:r>
          </w:p>
        </w:tc>
        <w:tc>
          <w:tcPr>
            <w:tcW w:type="dxa" w:w="125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Rows</w:t>
            </w:r>
          </w:p>
        </w:tc>
        <w:tc>
          <w:tcPr>
            <w:tcW w:type="dxa" w:w="15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Verified shape*</w:t>
            </w:r>
          </w:p>
        </w:tc>
        <w:tc>
          <w:tcPr>
            <w:tcW w:type="dxa" w:w="41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How it works</w:t>
            </w:r>
          </w:p>
        </w:tc>
      </w:tr>
      <w:tr>
        <w:tc>
          <w:tcPr>
            <w:tcW w:type="dxa" w:w="2450"/>
            <w:tcMar>
              <w:top w:type="dxa" w:w="70"/>
              <w:left w:type="dxa" w:w="110"/>
              <w:bottom w:type="dxa" w:w="70"/>
              <w:right w:type="dxa" w:w="110"/>
            </w:tcMar>
          </w:tcPr>
          <w:p>
            <w:pPr>
              <w:spacing w:after="0" w:line="250"/>
            </w:pPr>
            <w:r>
              <w:rPr>
                <w:rFonts w:ascii="Calibri" w:cs="Calibri" w:eastAsia="Calibri" w:hAnsi="Calibri"/>
                <w:sz w:val="19"/>
                <w:szCs w:val="19"/>
              </w:rPr>
              <w:t xml:space="preserve">Averaging</w:t>
            </w:r>
          </w:p>
        </w:tc>
        <w:tc>
          <w:tcPr>
            <w:tcW w:type="dxa" w:w="1250"/>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1500"/>
            <w:tcMar>
              <w:top w:type="dxa" w:w="70"/>
              <w:left w:type="dxa" w:w="110"/>
              <w:bottom w:type="dxa" w:w="70"/>
              <w:right w:type="dxa" w:w="110"/>
            </w:tcMar>
          </w:tcPr>
          <w:p>
            <w:pPr>
              <w:spacing w:after="0" w:line="250"/>
            </w:pPr>
            <w:r>
              <w:rPr>
                <w:rFonts w:ascii="Calibri" w:cs="Calibri" w:eastAsia="Calibri" w:hAnsi="Calibri"/>
                <w:sz w:val="19"/>
                <w:szCs w:val="19"/>
              </w:rPr>
              <w:t xml:space="preserve">(1, 1536)</w:t>
            </w:r>
          </w:p>
        </w:tc>
        <w:tc>
          <w:tcPr>
            <w:tcW w:type="dxa" w:w="4160"/>
            <w:tcMar>
              <w:top w:type="dxa" w:w="70"/>
              <w:left w:type="dxa" w:w="110"/>
              <w:bottom w:type="dxa" w:w="70"/>
              <w:right w:type="dxa" w:w="110"/>
            </w:tcMar>
          </w:tcPr>
          <w:p>
            <w:pPr>
              <w:spacing w:after="0" w:line="250"/>
            </w:pPr>
            <w:r>
              <w:rPr>
                <w:rFonts w:ascii="Calibri" w:cs="Calibri" w:eastAsia="Calibri" w:hAnsi="Calibri"/>
                <w:sz w:val="19"/>
                <w:szCs w:val="19"/>
              </w:rPr>
              <w:t xml:space="preserve">Simple mean of every patch embedding in the slide. The baseline.</w:t>
            </w:r>
          </w:p>
        </w:tc>
      </w:tr>
      <w:tr>
        <w:tc>
          <w:tcPr>
            <w:tcW w:type="dxa" w:w="24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Tissue_Type_Clustering</w:t>
            </w:r>
          </w:p>
        </w:tc>
        <w:tc>
          <w:tcPr>
            <w:tcW w:type="dxa" w:w="12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9</w:t>
            </w:r>
          </w:p>
        </w:tc>
        <w:tc>
          <w:tcPr>
            <w:tcW w:type="dxa" w:w="15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(9, 1536)</w:t>
            </w:r>
          </w:p>
        </w:tc>
        <w:tc>
          <w:tcPr>
            <w:tcW w:type="dxa" w:w="4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Patches are assigned a tissue type by the CRC100K classifier, then averaged within each type and stacked</w:t>
            </w:r>
          </w:p>
        </w:tc>
      </w:tr>
      <w:tr>
        <w:tc>
          <w:tcPr>
            <w:tcW w:type="dxa" w:w="2450"/>
            <w:tcMar>
              <w:top w:type="dxa" w:w="70"/>
              <w:left w:type="dxa" w:w="110"/>
              <w:bottom w:type="dxa" w:w="70"/>
              <w:right w:type="dxa" w:w="110"/>
            </w:tcMar>
          </w:tcPr>
          <w:p>
            <w:pPr>
              <w:spacing w:after="0" w:line="250"/>
            </w:pPr>
            <w:r>
              <w:rPr>
                <w:rFonts w:ascii="Calibri" w:cs="Calibri" w:eastAsia="Calibri" w:hAnsi="Calibri"/>
                <w:sz w:val="19"/>
                <w:szCs w:val="19"/>
              </w:rPr>
              <w:t xml:space="preserve">Caption_based_aggregation</w:t>
            </w:r>
          </w:p>
        </w:tc>
        <w:tc>
          <w:tcPr>
            <w:tcW w:type="dxa" w:w="1250"/>
            <w:tcMar>
              <w:top w:type="dxa" w:w="70"/>
              <w:left w:type="dxa" w:w="110"/>
              <w:bottom w:type="dxa" w:w="70"/>
              <w:right w:type="dxa" w:w="110"/>
            </w:tcMar>
          </w:tcPr>
          <w:p>
            <w:pPr>
              <w:spacing w:after="0" w:line="250"/>
            </w:pPr>
            <w:r>
              <w:rPr>
                <w:rFonts w:ascii="Calibri" w:cs="Calibri" w:eastAsia="Calibri" w:hAnsi="Calibri"/>
                <w:sz w:val="19"/>
                <w:szCs w:val="19"/>
              </w:rPr>
              <w:t xml:space="preserve">14</w:t>
            </w:r>
          </w:p>
        </w:tc>
        <w:tc>
          <w:tcPr>
            <w:tcW w:type="dxa" w:w="1500"/>
            <w:tcMar>
              <w:top w:type="dxa" w:w="70"/>
              <w:left w:type="dxa" w:w="110"/>
              <w:bottom w:type="dxa" w:w="70"/>
              <w:right w:type="dxa" w:w="110"/>
            </w:tcMar>
          </w:tcPr>
          <w:p>
            <w:pPr>
              <w:spacing w:after="0" w:line="250"/>
            </w:pPr>
            <w:r>
              <w:rPr>
                <w:rFonts w:ascii="Calibri" w:cs="Calibri" w:eastAsia="Calibri" w:hAnsi="Calibri"/>
                <w:sz w:val="19"/>
                <w:szCs w:val="19"/>
              </w:rPr>
              <w:t xml:space="preserve">(14, 768)</w:t>
            </w:r>
          </w:p>
        </w:tc>
        <w:tc>
          <w:tcPr>
            <w:tcW w:type="dxa" w:w="4160"/>
            <w:tcMar>
              <w:top w:type="dxa" w:w="70"/>
              <w:left w:type="dxa" w:w="110"/>
              <w:bottom w:type="dxa" w:w="70"/>
              <w:right w:type="dxa" w:w="110"/>
            </w:tcMar>
          </w:tcPr>
          <w:p>
            <w:pPr>
              <w:spacing w:after="0" w:line="250"/>
            </w:pPr>
            <w:r>
              <w:rPr>
                <w:rFonts w:ascii="Calibri" w:cs="Calibri" w:eastAsia="Calibri" w:hAnsi="Calibri"/>
                <w:sz w:val="19"/>
                <w:szCs w:val="19"/>
              </w:rPr>
              <w:t xml:space="preserve">Patches are zero-shot classified into 14 morphology groups using CONCH's text encoder, then averaged per group</w:t>
            </w:r>
          </w:p>
        </w:tc>
      </w:tr>
      <w:tr>
        <w:tc>
          <w:tcPr>
            <w:tcW w:type="dxa" w:w="24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Caption_based_agg_15_classes</w:t>
            </w:r>
          </w:p>
        </w:tc>
        <w:tc>
          <w:tcPr>
            <w:tcW w:type="dxa" w:w="12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15</w:t>
            </w:r>
          </w:p>
        </w:tc>
        <w:tc>
          <w:tcPr>
            <w:tcW w:type="dxa" w:w="15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(15, 2560)</w:t>
            </w:r>
          </w:p>
        </w:tc>
        <w:tc>
          <w:tcPr>
            <w:tcW w:type="dxa" w:w="4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As above with a fifteenth group added</w:t>
            </w:r>
          </w:p>
        </w:tc>
      </w:tr>
      <w:tr>
        <w:tc>
          <w:tcPr>
            <w:tcW w:type="dxa" w:w="2450"/>
            <w:tcMar>
              <w:top w:type="dxa" w:w="70"/>
              <w:left w:type="dxa" w:w="110"/>
              <w:bottom w:type="dxa" w:w="70"/>
              <w:right w:type="dxa" w:w="110"/>
            </w:tcMar>
          </w:tcPr>
          <w:p>
            <w:pPr>
              <w:spacing w:after="0" w:line="250"/>
            </w:pPr>
            <w:r>
              <w:rPr>
                <w:rFonts w:ascii="Calibri" w:cs="Calibri" w:eastAsia="Calibri" w:hAnsi="Calibri"/>
                <w:sz w:val="19"/>
                <w:szCs w:val="19"/>
              </w:rPr>
              <w:t xml:space="preserve">TITAN</w:t>
            </w:r>
          </w:p>
        </w:tc>
        <w:tc>
          <w:tcPr>
            <w:tcW w:type="dxa" w:w="1250"/>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1500"/>
            <w:tcMar>
              <w:top w:type="dxa" w:w="70"/>
              <w:left w:type="dxa" w:w="110"/>
              <w:bottom w:type="dxa" w:w="70"/>
              <w:right w:type="dxa" w:w="110"/>
            </w:tcMar>
          </w:tcPr>
          <w:p>
            <w:pPr>
              <w:spacing w:after="0" w:line="250"/>
            </w:pPr>
            <w:r>
              <w:rPr>
                <w:rFonts w:ascii="Calibri" w:cs="Calibri" w:eastAsia="Calibri" w:hAnsi="Calibri"/>
                <w:sz w:val="19"/>
                <w:szCs w:val="19"/>
              </w:rPr>
              <w:t xml:space="preserve">(1, 768)</w:t>
            </w:r>
          </w:p>
        </w:tc>
        <w:tc>
          <w:tcPr>
            <w:tcW w:type="dxa" w:w="4160"/>
            <w:tcMar>
              <w:top w:type="dxa" w:w="70"/>
              <w:left w:type="dxa" w:w="110"/>
              <w:bottom w:type="dxa" w:w="70"/>
              <w:right w:type="dxa" w:w="110"/>
            </w:tcMar>
          </w:tcPr>
          <w:p>
            <w:pPr>
              <w:spacing w:after="0" w:line="250"/>
            </w:pPr>
            <w:r>
              <w:rPr>
                <w:rFonts w:ascii="Calibri" w:cs="Calibri" w:eastAsia="Calibri" w:hAnsi="Calibri"/>
                <w:sz w:val="19"/>
                <w:szCs w:val="19"/>
              </w:rPr>
              <w:t xml:space="preserve">Slide encoder produces the representation end-to-end</w:t>
            </w:r>
          </w:p>
        </w:tc>
      </w:tr>
      <w:tr>
        <w:tc>
          <w:tcPr>
            <w:tcW w:type="dxa" w:w="24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PRISM</w:t>
            </w:r>
          </w:p>
        </w:tc>
        <w:tc>
          <w:tcPr>
            <w:tcW w:type="dxa" w:w="125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15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(1, 1280)</w:t>
            </w:r>
          </w:p>
        </w:tc>
        <w:tc>
          <w:tcPr>
            <w:tcW w:type="dxa" w:w="4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Slide encoder produces the representation end-to-end</w:t>
            </w:r>
          </w:p>
        </w:tc>
      </w:tr>
    </w:tbl>
    <w:p>
      <w:pPr>
        <w:spacing w:after="120" w:before="80" w:line="276"/>
      </w:pPr>
      <w:r>
        <w:rPr>
          <w:rFonts w:ascii="Calibri" w:cs="Calibri" w:eastAsia="Calibri" w:hAnsi="Calibri"/>
          <w:i/>
          <w:iCs/>
          <w:color w:val="595959"/>
          <w:sz w:val="18"/>
          <w:szCs w:val="18"/>
        </w:rPr>
        <w:t xml:space="preserve">* Shapes shown for the specific model I sampled; the row count is the invariant, the column count follows the encoder. All sampled tensors were float32, contained zero NaNs, and had value ranges consistent with normalised embeddings.</w:t>
      </w:r>
    </w:p>
    <w:p>
      <w:pPr>
        <w:pStyle w:val="Heading2"/>
        <w:spacing w:after="120" w:before="260"/>
      </w:pPr>
      <w:r>
        <w:rPr>
          <w:rFonts w:ascii="Calibri" w:cs="Calibri" w:eastAsia="Calibri" w:hAnsi="Calibri"/>
          <w:b/>
          <w:bCs/>
          <w:color w:val="1F4E79"/>
          <w:sz w:val="24"/>
          <w:szCs w:val="24"/>
        </w:rPr>
        <w:t xml:space="preserve">5.1  Why the semantic strategies are the interesting ones</w:t>
      </w:r>
    </w:p>
    <w:p>
      <w:pPr>
        <w:spacing w:after="120" w:before="0" w:line="276"/>
      </w:pPr>
      <w:r>
        <w:rPr>
          <w:rFonts w:ascii="Calibri" w:cs="Calibri" w:eastAsia="Calibri" w:hAnsi="Calibri"/>
          <w:sz w:val="21"/>
          <w:szCs w:val="21"/>
        </w:rPr>
        <w:t xml:space="preserve">Plain averaging dilutes the signal. If 3 percent of a slide is tumour-infiltrating lymphocytes, that morphology contributes 3 percent of the mean and is swamped. Tissue-type and caption-based aggregation avoid this by pooling within a category first, so a small but diagnostic region gets its own dedicated row in the representation regardless of how little slide area it occupies.</w:t>
      </w:r>
    </w:p>
    <w:p>
      <w:pPr>
        <w:spacing w:after="120" w:before="0" w:line="276"/>
      </w:pPr>
      <w:r>
        <w:rPr>
          <w:rFonts w:ascii="Calibri" w:cs="Calibri" w:eastAsia="Calibri" w:hAnsi="Calibri"/>
          <w:sz w:val="21"/>
          <w:szCs w:val="21"/>
        </w:rPr>
        <w:t xml:space="preserve">The classifier then receives the rows flattened into one long vector: 9 times 1536 equals 13,824 dimensions for tissue-type clustering with H-Optimus-1, for example. That is where the dimension figures in the code come from.</w:t>
      </w:r>
    </w:p>
    <w:p>
      <w:pPr>
        <w:pStyle w:val="Heading2"/>
        <w:spacing w:after="120" w:before="260"/>
      </w:pPr>
      <w:r>
        <w:rPr>
          <w:rFonts w:ascii="Calibri" w:cs="Calibri" w:eastAsia="Calibri" w:hAnsi="Calibri"/>
          <w:b/>
          <w:bCs/>
          <w:color w:val="1F4E79"/>
          <w:sz w:val="24"/>
          <w:szCs w:val="24"/>
        </w:rPr>
        <w:t xml:space="preserve">5.2  The 14 caption groups</w:t>
      </w:r>
    </w:p>
    <w:p>
      <w:pPr>
        <w:spacing w:after="120" w:before="0" w:line="276"/>
      </w:pPr>
      <w:r>
        <w:rPr>
          <w:rFonts w:ascii="Calibri" w:cs="Calibri" w:eastAsia="Calibri" w:hAnsi="Calibri"/>
          <w:sz w:val="21"/>
          <w:szCs w:val="21"/>
        </w:rPr>
        <w:t xml:space="preserve">Verified from the aggregation script: adipose, debris, lymphocyte, plasma cell, lymphoid aggregate, mucin, smooth muscle, normal mucosa, adenoma, stroma, mesenchymal, carcinoma, poorly differentiated carcinoma, signet ring. This vocabulary is noticeably more MSI-relevant than the nine CRC100K classes. It separates signet-ring and poorly-differentiated carcinoma, both established MSI morphological markers, which the tissue classifier lumps into a single tumour class.</w:t>
      </w:r>
    </w:p>
    <w:p>
      <w:pPr>
        <w:pStyle w:val="Heading2"/>
        <w:spacing w:after="120" w:before="260"/>
      </w:pPr>
      <w:r>
        <w:rPr>
          <w:rFonts w:ascii="Calibri" w:cs="Calibri" w:eastAsia="Calibri" w:hAnsi="Calibri"/>
          <w:b/>
          <w:bCs/>
          <w:color w:val="1F4E79"/>
          <w:sz w:val="24"/>
          <w:szCs w:val="24"/>
        </w:rPr>
        <w:t xml:space="preserve">5.3  A structural property worth knowing</w:t>
      </w:r>
    </w:p>
    <w:p>
      <w:pPr>
        <w:spacing w:after="120" w:before="0" w:line="276"/>
      </w:pPr>
      <w:r>
        <w:rPr>
          <w:rFonts w:ascii="Calibri" w:cs="Calibri" w:eastAsia="Calibri" w:hAnsi="Calibri"/>
          <w:sz w:val="21"/>
          <w:szCs w:val="21"/>
        </w:rPr>
        <w:t xml:space="preserve">Because a tissue class can be entirely absent from a slide, its row in the tensor is then all zeros. I measured how often this happens across all 417 TCGA slides with tissue-type clustering:</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3200"/>
        <w:gridCol w:w="1400"/>
        <w:gridCol w:w="4760"/>
      </w:tblGrid>
      <w:tr>
        <w:trPr>
          <w:tblHeader/>
        </w:trPr>
        <w:tc>
          <w:tcPr>
            <w:tcW w:type="dxa" w:w="3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Tissue class</w:t>
            </w:r>
          </w:p>
        </w:tc>
        <w:tc>
          <w:tcPr>
            <w:tcW w:type="dxa" w:w="14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Empty in</w:t>
            </w:r>
          </w:p>
        </w:tc>
        <w:tc>
          <w:tcPr>
            <w:tcW w:type="dxa" w:w="47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Comment</w:t>
            </w:r>
          </w:p>
        </w:tc>
      </w:tr>
      <w:tr>
        <w:tc>
          <w:tcPr>
            <w:tcW w:type="dxa" w:w="3200"/>
            <w:tcMar>
              <w:top w:type="dxa" w:w="70"/>
              <w:left w:type="dxa" w:w="110"/>
              <w:bottom w:type="dxa" w:w="70"/>
              <w:right w:type="dxa" w:w="110"/>
            </w:tcMar>
          </w:tcPr>
          <w:p>
            <w:pPr>
              <w:spacing w:after="0" w:line="250"/>
            </w:pPr>
            <w:r>
              <w:rPr>
                <w:rFonts w:ascii="Calibri" w:cs="Calibri" w:eastAsia="Calibri" w:hAnsi="Calibri"/>
                <w:sz w:val="19"/>
                <w:szCs w:val="19"/>
              </w:rPr>
              <w:t xml:space="preserve">Lymphocyte</w:t>
            </w:r>
          </w:p>
        </w:tc>
        <w:tc>
          <w:tcPr>
            <w:tcW w:type="dxa" w:w="1400"/>
            <w:tcMar>
              <w:top w:type="dxa" w:w="70"/>
              <w:left w:type="dxa" w:w="110"/>
              <w:bottom w:type="dxa" w:w="70"/>
              <w:right w:type="dxa" w:w="110"/>
            </w:tcMar>
          </w:tcPr>
          <w:p>
            <w:pPr>
              <w:spacing w:after="0" w:line="250"/>
            </w:pPr>
            <w:r>
              <w:rPr>
                <w:rFonts w:ascii="Calibri" w:cs="Calibri" w:eastAsia="Calibri" w:hAnsi="Calibri"/>
                <w:b/>
                <w:bCs/>
                <w:color w:val="9A6700"/>
                <w:sz w:val="19"/>
                <w:szCs w:val="19"/>
              </w:rPr>
              <w:t xml:space="preserve">109 / 417</w:t>
            </w:r>
          </w:p>
        </w:tc>
        <w:tc>
          <w:tcPr>
            <w:tcW w:type="dxa" w:w="4760"/>
            <w:tcMar>
              <w:top w:type="dxa" w:w="70"/>
              <w:left w:type="dxa" w:w="110"/>
              <w:bottom w:type="dxa" w:w="70"/>
              <w:right w:type="dxa" w:w="110"/>
            </w:tcMar>
          </w:tcPr>
          <w:p>
            <w:pPr>
              <w:spacing w:after="0" w:line="250"/>
            </w:pPr>
            <w:r>
              <w:rPr>
                <w:rFonts w:ascii="Calibri" w:cs="Calibri" w:eastAsia="Calibri" w:hAnsi="Calibri"/>
                <w:sz w:val="19"/>
                <w:szCs w:val="19"/>
              </w:rPr>
              <w:t xml:space="preserve">Most frequently absent, and among the most MSI-relevant</w:t>
            </w:r>
          </w:p>
        </w:tc>
      </w:tr>
      <w:tr>
        <w:tc>
          <w:tcPr>
            <w:tcW w:type="dxa" w:w="3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Adipose</w:t>
            </w:r>
          </w:p>
        </w:tc>
        <w:tc>
          <w:tcPr>
            <w:tcW w:type="dxa" w:w="14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69 / 417</w:t>
            </w:r>
          </w:p>
        </w:tc>
        <w:tc>
          <w:tcPr>
            <w:tcW w:type="dxa" w:w="47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Expected; depends on where the section was taken</w:t>
            </w:r>
          </w:p>
        </w:tc>
      </w:tr>
      <w:tr>
        <w:tc>
          <w:tcPr>
            <w:tcW w:type="dxa" w:w="3200"/>
            <w:tcMar>
              <w:top w:type="dxa" w:w="70"/>
              <w:left w:type="dxa" w:w="110"/>
              <w:bottom w:type="dxa" w:w="70"/>
              <w:right w:type="dxa" w:w="110"/>
            </w:tcMar>
          </w:tcPr>
          <w:p>
            <w:pPr>
              <w:spacing w:after="0" w:line="250"/>
            </w:pPr>
            <w:r>
              <w:rPr>
                <w:rFonts w:ascii="Calibri" w:cs="Calibri" w:eastAsia="Calibri" w:hAnsi="Calibri"/>
                <w:sz w:val="19"/>
                <w:szCs w:val="19"/>
              </w:rPr>
              <w:t xml:space="preserve">Smooth muscle</w:t>
            </w:r>
          </w:p>
        </w:tc>
        <w:tc>
          <w:tcPr>
            <w:tcW w:type="dxa" w:w="1400"/>
            <w:tcMar>
              <w:top w:type="dxa" w:w="70"/>
              <w:left w:type="dxa" w:w="110"/>
              <w:bottom w:type="dxa" w:w="70"/>
              <w:right w:type="dxa" w:w="110"/>
            </w:tcMar>
          </w:tcPr>
          <w:p>
            <w:pPr>
              <w:spacing w:after="0" w:line="250"/>
            </w:pPr>
            <w:r>
              <w:rPr>
                <w:rFonts w:ascii="Calibri" w:cs="Calibri" w:eastAsia="Calibri" w:hAnsi="Calibri"/>
                <w:sz w:val="19"/>
                <w:szCs w:val="19"/>
              </w:rPr>
              <w:t xml:space="preserve">51 / 417</w:t>
            </w:r>
          </w:p>
        </w:tc>
        <w:tc>
          <w:tcPr>
            <w:tcW w:type="dxa" w:w="4760"/>
            <w:tcMar>
              <w:top w:type="dxa" w:w="70"/>
              <w:left w:type="dxa" w:w="110"/>
              <w:bottom w:type="dxa" w:w="70"/>
              <w:right w:type="dxa" w:w="110"/>
            </w:tcMar>
          </w:tcPr>
          <w:p>
            <w:pPr>
              <w:spacing w:after="0" w:line="250"/>
            </w:pPr>
            <w:r>
              <w:rPr>
                <w:rFonts w:ascii="Calibri" w:cs="Calibri" w:eastAsia="Calibri" w:hAnsi="Calibri"/>
                <w:sz w:val="19"/>
                <w:szCs w:val="19"/>
              </w:rPr>
              <w:t xml:space="preserve"/>
            </w:r>
          </w:p>
        </w:tc>
      </w:tr>
      <w:tr>
        <w:tc>
          <w:tcPr>
            <w:tcW w:type="dxa" w:w="3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Normal mucosa</w:t>
            </w:r>
          </w:p>
        </w:tc>
        <w:tc>
          <w:tcPr>
            <w:tcW w:type="dxa" w:w="14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51 / 417</w:t>
            </w:r>
          </w:p>
        </w:tc>
        <w:tc>
          <w:tcPr>
            <w:tcW w:type="dxa" w:w="47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
            </w:r>
          </w:p>
        </w:tc>
      </w:tr>
      <w:tr>
        <w:tc>
          <w:tcPr>
            <w:tcW w:type="dxa" w:w="3200"/>
            <w:tcMar>
              <w:top w:type="dxa" w:w="70"/>
              <w:left w:type="dxa" w:w="110"/>
              <w:bottom w:type="dxa" w:w="70"/>
              <w:right w:type="dxa" w:w="110"/>
            </w:tcMar>
          </w:tcPr>
          <w:p>
            <w:pPr>
              <w:spacing w:after="0" w:line="250"/>
            </w:pPr>
            <w:r>
              <w:rPr>
                <w:rFonts w:ascii="Calibri" w:cs="Calibri" w:eastAsia="Calibri" w:hAnsi="Calibri"/>
                <w:sz w:val="19"/>
                <w:szCs w:val="19"/>
              </w:rPr>
              <w:t xml:space="preserve">Mucin</w:t>
            </w:r>
          </w:p>
        </w:tc>
        <w:tc>
          <w:tcPr>
            <w:tcW w:type="dxa" w:w="1400"/>
            <w:tcMar>
              <w:top w:type="dxa" w:w="70"/>
              <w:left w:type="dxa" w:w="110"/>
              <w:bottom w:type="dxa" w:w="70"/>
              <w:right w:type="dxa" w:w="110"/>
            </w:tcMar>
          </w:tcPr>
          <w:p>
            <w:pPr>
              <w:spacing w:after="0" w:line="250"/>
            </w:pPr>
            <w:r>
              <w:rPr>
                <w:rFonts w:ascii="Calibri" w:cs="Calibri" w:eastAsia="Calibri" w:hAnsi="Calibri"/>
                <w:sz w:val="19"/>
                <w:szCs w:val="19"/>
              </w:rPr>
              <w:t xml:space="preserve">15 / 417</w:t>
            </w:r>
          </w:p>
        </w:tc>
        <w:tc>
          <w:tcPr>
            <w:tcW w:type="dxa" w:w="4760"/>
            <w:tcMar>
              <w:top w:type="dxa" w:w="70"/>
              <w:left w:type="dxa" w:w="110"/>
              <w:bottom w:type="dxa" w:w="70"/>
              <w:right w:type="dxa" w:w="110"/>
            </w:tcMar>
          </w:tcPr>
          <w:p>
            <w:pPr>
              <w:spacing w:after="0" w:line="250"/>
            </w:pPr>
            <w:r>
              <w:rPr>
                <w:rFonts w:ascii="Calibri" w:cs="Calibri" w:eastAsia="Calibri" w:hAnsi="Calibri"/>
                <w:sz w:val="19"/>
                <w:szCs w:val="19"/>
              </w:rPr>
              <w:t xml:space="preserve"/>
            </w:r>
          </w:p>
        </w:tc>
      </w:tr>
      <w:tr>
        <w:tc>
          <w:tcPr>
            <w:tcW w:type="dxa" w:w="3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Debris</w:t>
            </w:r>
          </w:p>
        </w:tc>
        <w:tc>
          <w:tcPr>
            <w:tcW w:type="dxa" w:w="14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13 / 417</w:t>
            </w:r>
          </w:p>
        </w:tc>
        <w:tc>
          <w:tcPr>
            <w:tcW w:type="dxa" w:w="47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
            </w:r>
          </w:p>
        </w:tc>
      </w:tr>
      <w:tr>
        <w:tc>
          <w:tcPr>
            <w:tcW w:type="dxa" w:w="3200"/>
            <w:tcMar>
              <w:top w:type="dxa" w:w="70"/>
              <w:left w:type="dxa" w:w="110"/>
              <w:bottom w:type="dxa" w:w="70"/>
              <w:right w:type="dxa" w:w="110"/>
            </w:tcMar>
          </w:tcPr>
          <w:p>
            <w:pPr>
              <w:spacing w:after="0" w:line="250"/>
            </w:pPr>
            <w:r>
              <w:rPr>
                <w:rFonts w:ascii="Calibri" w:cs="Calibri" w:eastAsia="Calibri" w:hAnsi="Calibri"/>
                <w:sz w:val="19"/>
                <w:szCs w:val="19"/>
              </w:rPr>
              <w:t xml:space="preserve">Stroma, tumour, background</w:t>
            </w:r>
          </w:p>
        </w:tc>
        <w:tc>
          <w:tcPr>
            <w:tcW w:type="dxa" w:w="1400"/>
            <w:tcMar>
              <w:top w:type="dxa" w:w="70"/>
              <w:left w:type="dxa" w:w="110"/>
              <w:bottom w:type="dxa" w:w="70"/>
              <w:right w:type="dxa" w:w="110"/>
            </w:tcMar>
          </w:tcPr>
          <w:p>
            <w:pPr>
              <w:spacing w:after="0" w:line="250"/>
            </w:pPr>
            <w:r>
              <w:rPr>
                <w:rFonts w:ascii="Calibri" w:cs="Calibri" w:eastAsia="Calibri" w:hAnsi="Calibri"/>
                <w:sz w:val="19"/>
                <w:szCs w:val="19"/>
              </w:rPr>
              <w:t xml:space="preserve">2 or fewer / 417</w:t>
            </w:r>
          </w:p>
        </w:tc>
        <w:tc>
          <w:tcPr>
            <w:tcW w:type="dxa" w:w="4760"/>
            <w:tcMar>
              <w:top w:type="dxa" w:w="70"/>
              <w:left w:type="dxa" w:w="110"/>
              <w:bottom w:type="dxa" w:w="70"/>
              <w:right w:type="dxa" w:w="110"/>
            </w:tcMar>
          </w:tcPr>
          <w:p>
            <w:pPr>
              <w:spacing w:after="0" w:line="250"/>
            </w:pPr>
            <w:r>
              <w:rPr>
                <w:rFonts w:ascii="Calibri" w:cs="Calibri" w:eastAsia="Calibri" w:hAnsi="Calibri"/>
                <w:sz w:val="19"/>
                <w:szCs w:val="19"/>
              </w:rPr>
              <w:t xml:space="preserve">Essentially always present</w:t>
            </w:r>
          </w:p>
        </w:tc>
      </w:tr>
    </w:tbl>
    <w:p>
      <w:pPr>
        <w:spacing w:after="120" w:before="0" w:line="276"/>
      </w:pPr>
      <w:r>
        <w:rPr>
          <w:rFonts w:ascii="Calibri" w:cs="Calibri" w:eastAsia="Calibri" w:hAnsi="Calibri"/>
          <w:color w:val="595959"/>
          <w:sz w:val="21"/>
          <w:szCs w:val="21"/>
        </w:rPr>
        <w:t xml:space="preserve">This is expected behaviour rather than a defect, but it means roughly a quarter of slides present the classifier with a zeroed lymphocyte block, and the classifier has no way to distinguish no lymphocytes detected from lymphocyte features happening to be zero. Worth being aware of when interpreting which classes the top-k experiments select.</w:t>
      </w:r>
    </w:p>
    <w:p>
      <w:r>
        <w:br w:type="page"/>
      </w:r>
    </w:p>
    <w:p>
      <w:pPr>
        <w:pStyle w:val="Heading1"/>
        <w:spacing w:after="160" w:before="360"/>
      </w:pPr>
      <w:r>
        <w:rPr>
          <w:rFonts w:ascii="Calibri" w:cs="Calibri" w:eastAsia="Calibri" w:hAnsi="Calibri"/>
          <w:b/>
          <w:bCs/>
          <w:color w:val="1F4E79"/>
          <w:sz w:val="30"/>
          <w:szCs w:val="30"/>
        </w:rPr>
        <w:t xml:space="preserve">6.  Classification and evaluation protocol</w:t>
      </w:r>
    </w:p>
    <w:p>
      <w:pPr>
        <w:pStyle w:val="Heading2"/>
        <w:spacing w:after="120" w:before="260"/>
      </w:pPr>
      <w:r>
        <w:rPr>
          <w:rFonts w:ascii="Calibri" w:cs="Calibri" w:eastAsia="Calibri" w:hAnsi="Calibri"/>
          <w:b/>
          <w:bCs/>
          <w:color w:val="1F4E79"/>
          <w:sz w:val="24"/>
          <w:szCs w:val="24"/>
        </w:rPr>
        <w:t xml:space="preserve">6.1  Classifiers</w:t>
      </w:r>
    </w:p>
    <w:p>
      <w:pPr>
        <w:spacing w:after="120" w:before="0" w:line="276"/>
      </w:pPr>
      <w:r>
        <w:rPr>
          <w:rFonts w:ascii="Calibri" w:cs="Calibri" w:eastAsia="Calibri" w:hAnsi="Calibri"/>
          <w:sz w:val="21"/>
          <w:szCs w:val="21"/>
        </w:rPr>
        <w:t xml:space="preserve">Five lightweight heads are trained on the frozen slide representations. The foundation models themselves are never fine-tuned, so this is a linear-probe-style evaluation.</w:t>
      </w:r>
    </w:p>
    <w:p>
      <w:pPr>
        <w:pStyle w:val="ListParagraph"/>
        <w:numPr>
          <w:ilvl w:val="0"/>
          <w:numId w:val="2"/>
        </w:numPr>
        <w:spacing w:after="70" w:line="276"/>
      </w:pPr>
      <w:r>
        <w:rPr>
          <w:rFonts w:ascii="Calibri" w:cs="Calibri" w:eastAsia="Calibri" w:hAnsi="Calibri"/>
          <w:sz w:val="21"/>
          <w:szCs w:val="21"/>
        </w:rPr>
        <w:t xml:space="preserve">lin, logistic regression with C=10 and max_iter=300</w:t>
      </w:r>
    </w:p>
    <w:p>
      <w:pPr>
        <w:pStyle w:val="ListParagraph"/>
        <w:numPr>
          <w:ilvl w:val="0"/>
          <w:numId w:val="2"/>
        </w:numPr>
        <w:spacing w:after="70" w:line="276"/>
      </w:pPr>
      <w:r>
        <w:rPr>
          <w:rFonts w:ascii="Calibri" w:cs="Calibri" w:eastAsia="Calibri" w:hAnsi="Calibri"/>
          <w:sz w:val="21"/>
          <w:szCs w:val="21"/>
        </w:rPr>
        <w:t xml:space="preserve">ann, a two-hidden-layer MLP with batch norm and dropout, Adam, early stopping on the validation fold</w:t>
      </w:r>
    </w:p>
    <w:p>
      <w:pPr>
        <w:pStyle w:val="ListParagraph"/>
        <w:numPr>
          <w:ilvl w:val="0"/>
          <w:numId w:val="2"/>
        </w:numPr>
        <w:spacing w:after="70" w:line="276"/>
      </w:pPr>
      <w:r>
        <w:rPr>
          <w:rFonts w:ascii="Calibri" w:cs="Calibri" w:eastAsia="Calibri" w:hAnsi="Calibri"/>
          <w:sz w:val="21"/>
          <w:szCs w:val="21"/>
        </w:rPr>
        <w:t xml:space="preserve">knn, k-nearest neighbours with k=3 on normalised features</w:t>
      </w:r>
    </w:p>
    <w:p>
      <w:pPr>
        <w:pStyle w:val="ListParagraph"/>
        <w:numPr>
          <w:ilvl w:val="0"/>
          <w:numId w:val="2"/>
        </w:numPr>
        <w:spacing w:after="70" w:line="276"/>
      </w:pPr>
      <w:r>
        <w:rPr>
          <w:rFonts w:ascii="Calibri" w:cs="Calibri" w:eastAsia="Calibri" w:hAnsi="Calibri"/>
          <w:sz w:val="21"/>
          <w:szCs w:val="21"/>
        </w:rPr>
        <w:t xml:space="preserve">proto, a prototypical network using class-mean prototypes</w:t>
      </w:r>
    </w:p>
    <w:p>
      <w:pPr>
        <w:pStyle w:val="ListParagraph"/>
        <w:numPr>
          <w:ilvl w:val="0"/>
          <w:numId w:val="2"/>
        </w:numPr>
        <w:spacing w:after="70" w:line="276"/>
      </w:pPr>
      <w:r>
        <w:rPr>
          <w:rFonts w:ascii="Calibri" w:cs="Calibri" w:eastAsia="Calibri" w:hAnsi="Calibri"/>
          <w:sz w:val="21"/>
          <w:szCs w:val="21"/>
        </w:rPr>
        <w:t xml:space="preserve">rf, a random forest with 500 trees, class weights 1 to 10 and a 0.3 decision threshold to counter class imbalance</w:t>
      </w:r>
    </w:p>
    <w:p>
      <w:pPr>
        <w:pStyle w:val="Heading2"/>
        <w:spacing w:after="120" w:before="260"/>
      </w:pPr>
      <w:r>
        <w:rPr>
          <w:rFonts w:ascii="Calibri" w:cs="Calibri" w:eastAsia="Calibri" w:hAnsi="Calibri"/>
          <w:b/>
          <w:bCs/>
          <w:color w:val="1F4E79"/>
          <w:sz w:val="24"/>
          <w:szCs w:val="24"/>
        </w:rPr>
        <w:t xml:space="preserve">6.2  The cross-validation scheme</w:t>
      </w:r>
    </w:p>
    <w:p>
      <w:pPr>
        <w:spacing w:after="120" w:before="0" w:line="276"/>
      </w:pPr>
      <w:r>
        <w:rPr>
          <w:rFonts w:ascii="Calibri" w:cs="Calibri" w:eastAsia="Calibri" w:hAnsi="Calibri"/>
          <w:sz w:val="21"/>
          <w:szCs w:val="21"/>
        </w:rPr>
        <w:t xml:space="preserve">Four folds are rotated as follows: fold i is the test set, fold i+1 wrapping around is the validation set, and the remaining two folds are the training set.</w:t>
      </w:r>
    </w:p>
    <w:tbl>
      <w:tblPr>
        <w:tblW w:type="dxa" w:w="9360"/>
        <w:tblBorders>
          <w:top w:val="single" w:color="1F4E79" w:sz="2"/>
          <w:left w:val="single" w:color="1F4E79" w:sz="18"/>
          <w:bottom w:val="single" w:color="1F4E79" w:sz="2"/>
          <w:right w:val="single" w:color="1F4E79" w:sz="2"/>
          <w:insideH w:val="none"/>
          <w:insideV w:val="none"/>
        </w:tblBorders>
      </w:tblPr>
      <w:tblGrid>
        <w:gridCol w:w="9360"/>
      </w:tblGrid>
      <w:tr>
        <w:tc>
          <w:tcPr>
            <w:tcW w:type="dxa" w:w="9360"/>
            <w:shd w:fill="FAFAFA" w:color="auto" w:val="clear"/>
            <w:tcMar>
              <w:top w:type="dxa" w:w="130"/>
              <w:left w:type="dxa" w:w="170"/>
              <w:bottom w:type="dxa" w:w="130"/>
              <w:right w:type="dxa" w:w="150"/>
            </w:tcMar>
          </w:tcPr>
          <w:p>
            <w:pPr>
              <w:spacing w:after="60"/>
            </w:pPr>
            <w:r>
              <w:rPr>
                <w:rFonts w:ascii="Calibri" w:cs="Calibri" w:eastAsia="Calibri" w:hAnsi="Calibri"/>
                <w:b/>
                <w:bCs/>
                <w:color w:val="1F4E79"/>
                <w:sz w:val="21"/>
                <w:szCs w:val="21"/>
              </w:rPr>
              <w:t xml:space="preserve">Implication of this rotation</w:t>
            </w:r>
          </w:p>
          <w:p>
            <w:pPr>
              <w:spacing w:after="60" w:line="270"/>
            </w:pPr>
            <w:r>
              <w:rPr>
                <w:rFonts w:ascii="Calibri" w:cs="Calibri" w:eastAsia="Calibri" w:hAnsi="Calibri"/>
                <w:sz w:val="20"/>
                <w:szCs w:val="20"/>
              </w:rPr>
              <w:t xml:space="preserve">Only 2 of 4 folds, about 50 percent of the cohort or roughly 200 TCGA slides, are used for training in each iteration. A conventional 4-fold split would train on 75 percent. This is a deliberate design choice rather than an error, but it means the reported numbers understate what the same method would achieve with a nested or 5-fold design. Worth stating explicitly in any write-up.</w:t>
            </w:r>
          </w:p>
        </w:tc>
      </w:tr>
    </w:tbl>
    <w:p>
      <w:pPr>
        <w:spacing w:after="120" w:before="0" w:line="276"/>
      </w:pPr>
      <w:r>
        <w:rPr>
          <w:rFonts w:ascii="Calibri" w:cs="Calibri" w:eastAsia="Calibri" w:hAnsi="Calibri"/>
          <w:sz w:val="21"/>
          <w:szCs w:val="21"/>
        </w:rPr>
        <w:t xml:space="preserve">Metrics reported per fold and averaged: accuracy, balanced accuracy, macro F1, weighted F1, AUROC, and the confusion matrix. Given the 14.7 percent MSI-H prevalence in TCGA, balanced accuracy and AUROC are the meaningful columns; raw accuracy is close to uninformative.</w:t>
      </w:r>
    </w:p>
    <w:p>
      <w:pPr>
        <w:pStyle w:val="Heading2"/>
        <w:spacing w:after="120" w:before="260"/>
      </w:pPr>
      <w:r>
        <w:rPr>
          <w:rFonts w:ascii="Calibri" w:cs="Calibri" w:eastAsia="Calibri" w:hAnsi="Calibri"/>
          <w:b/>
          <w:bCs/>
          <w:color w:val="1F4E79"/>
          <w:sz w:val="24"/>
          <w:szCs w:val="24"/>
        </w:rPr>
        <w:t xml:space="preserve">6.3  What has actually been run</w:t>
      </w:r>
    </w:p>
    <w:p>
      <w:pPr>
        <w:spacing w:after="120" w:before="0" w:line="276"/>
      </w:pPr>
      <w:r>
        <w:rPr>
          <w:rFonts w:ascii="Calibri" w:cs="Calibri" w:eastAsia="Calibri" w:hAnsi="Calibri"/>
          <w:sz w:val="21"/>
          <w:szCs w:val="21"/>
        </w:rPr>
        <w:t xml:space="preserve">Four result folders exist, each following the pattern method / model / 1-MSIH / Output and models.</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2600"/>
        <w:gridCol w:w="2100"/>
        <w:gridCol w:w="2200"/>
        <w:gridCol w:w="2460"/>
      </w:tblGrid>
      <w:tr>
        <w:trPr>
          <w:tblHeader/>
        </w:trPr>
        <w:tc>
          <w:tcPr>
            <w:tcW w:type="dxa" w:w="2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Result folder</w:t>
            </w:r>
          </w:p>
        </w:tc>
        <w:tc>
          <w:tcPr>
            <w:tcW w:type="dxa" w:w="21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Protocol</w:t>
            </w:r>
          </w:p>
        </w:tc>
        <w:tc>
          <w:tcPr>
            <w:tcW w:type="dxa" w:w="2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Coverage</w:t>
            </w:r>
          </w:p>
        </w:tc>
        <w:tc>
          <w:tcPr>
            <w:tcW w:type="dxa" w:w="24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Status</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TCGA_Results</w:t>
            </w:r>
          </w:p>
        </w:tc>
        <w:tc>
          <w:tcPr>
            <w:tcW w:type="dxa" w:w="2100"/>
            <w:tcMar>
              <w:top w:type="dxa" w:w="70"/>
              <w:left w:type="dxa" w:w="110"/>
              <w:bottom w:type="dxa" w:w="70"/>
              <w:right w:type="dxa" w:w="110"/>
            </w:tcMar>
          </w:tcPr>
          <w:p>
            <w:pPr>
              <w:spacing w:after="0" w:line="250"/>
            </w:pPr>
            <w:r>
              <w:rPr>
                <w:rFonts w:ascii="Calibri" w:cs="Calibri" w:eastAsia="Calibri" w:hAnsi="Calibri"/>
                <w:sz w:val="19"/>
                <w:szCs w:val="19"/>
              </w:rPr>
              <w:t xml:space="preserve">4-fold CV within TCGA</w:t>
            </w:r>
          </w:p>
        </w:tc>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6 methods x 5 models</w:t>
            </w:r>
          </w:p>
        </w:tc>
        <w:tc>
          <w:tcPr>
            <w:tcW w:type="dxa" w:w="2460"/>
            <w:tcMar>
              <w:top w:type="dxa" w:w="70"/>
              <w:left w:type="dxa" w:w="110"/>
              <w:bottom w:type="dxa" w:w="70"/>
              <w:right w:type="dxa" w:w="110"/>
            </w:tcMar>
          </w:tcPr>
          <w:p>
            <w:pPr>
              <w:spacing w:after="0" w:line="250"/>
            </w:pPr>
            <w:r>
              <w:rPr>
                <w:rFonts w:ascii="Calibri" w:cs="Calibri" w:eastAsia="Calibri" w:hAnsi="Calibri"/>
                <w:b/>
                <w:bCs/>
                <w:color w:val="1E6B3A"/>
                <w:sz w:val="19"/>
                <w:szCs w:val="19"/>
              </w:rPr>
              <w:t xml:space="preserve">Complete</w:t>
            </w:r>
          </w:p>
        </w:tc>
      </w:tr>
      <w:tr>
        <w:tc>
          <w:tcPr>
            <w:tcW w:type="dxa" w:w="2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PAIP_Results</w:t>
            </w:r>
          </w:p>
        </w:tc>
        <w:tc>
          <w:tcPr>
            <w:tcW w:type="dxa" w:w="21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4-fold CV within PAIP</w:t>
            </w:r>
          </w:p>
        </w:tc>
        <w:tc>
          <w:tcPr>
            <w:tcW w:type="dxa" w:w="2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 methods x 5 models</w:t>
            </w:r>
          </w:p>
        </w:tc>
        <w:tc>
          <w:tcPr>
            <w:tcW w:type="dxa" w:w="2460"/>
            <w:shd w:fill="F2F5F9" w:color="auto" w:val="clear"/>
            <w:tcMar>
              <w:top w:type="dxa" w:w="70"/>
              <w:left w:type="dxa" w:w="110"/>
              <w:bottom w:type="dxa" w:w="70"/>
              <w:right w:type="dxa" w:w="110"/>
            </w:tcMar>
          </w:tcPr>
          <w:p>
            <w:pPr>
              <w:spacing w:after="0" w:line="250"/>
            </w:pPr>
            <w:r>
              <w:rPr>
                <w:rFonts w:ascii="Calibri" w:cs="Calibri" w:eastAsia="Calibri" w:hAnsi="Calibri"/>
                <w:b/>
                <w:bCs/>
                <w:color w:val="1E6B3A"/>
                <w:sz w:val="19"/>
                <w:szCs w:val="19"/>
              </w:rPr>
              <w:t xml:space="preserve">Complete</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TCGA_PAIP_EV_Results</w:t>
            </w:r>
          </w:p>
        </w:tc>
        <w:tc>
          <w:tcPr>
            <w:tcW w:type="dxa" w:w="2100"/>
            <w:tcMar>
              <w:top w:type="dxa" w:w="70"/>
              <w:left w:type="dxa" w:w="110"/>
              <w:bottom w:type="dxa" w:w="70"/>
              <w:right w:type="dxa" w:w="110"/>
            </w:tcMar>
          </w:tcPr>
          <w:p>
            <w:pPr>
              <w:spacing w:after="0" w:line="250"/>
            </w:pPr>
            <w:r>
              <w:rPr>
                <w:rFonts w:ascii="Calibri" w:cs="Calibri" w:eastAsia="Calibri" w:hAnsi="Calibri"/>
                <w:sz w:val="19"/>
                <w:szCs w:val="19"/>
              </w:rPr>
              <w:t xml:space="preserve">Train TCGA, test PAIP</w:t>
            </w:r>
          </w:p>
        </w:tc>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5 methods x 5 models</w:t>
            </w:r>
          </w:p>
        </w:tc>
        <w:tc>
          <w:tcPr>
            <w:tcW w:type="dxa" w:w="2460"/>
            <w:tcMar>
              <w:top w:type="dxa" w:w="70"/>
              <w:left w:type="dxa" w:w="110"/>
              <w:bottom w:type="dxa" w:w="70"/>
              <w:right w:type="dxa" w:w="110"/>
            </w:tcMar>
          </w:tcPr>
          <w:p>
            <w:pPr>
              <w:spacing w:after="0" w:line="250"/>
            </w:pPr>
            <w:r>
              <w:rPr>
                <w:rFonts w:ascii="Calibri" w:cs="Calibri" w:eastAsia="Calibri" w:hAnsi="Calibri"/>
                <w:b/>
                <w:bCs/>
                <w:color w:val="1E6B3A"/>
                <w:sz w:val="19"/>
                <w:szCs w:val="19"/>
              </w:rPr>
              <w:t xml:space="preserve">Complete</w:t>
            </w:r>
          </w:p>
        </w:tc>
      </w:tr>
      <w:tr>
        <w:tc>
          <w:tcPr>
            <w:tcW w:type="dxa" w:w="2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SurGen_Results</w:t>
            </w:r>
          </w:p>
        </w:tc>
        <w:tc>
          <w:tcPr>
            <w:tcW w:type="dxa" w:w="21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4-fold CV within SurGen</w:t>
            </w:r>
          </w:p>
        </w:tc>
        <w:tc>
          <w:tcPr>
            <w:tcW w:type="dxa" w:w="2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 methods x 5 models</w:t>
            </w:r>
          </w:p>
        </w:tc>
        <w:tc>
          <w:tcPr>
            <w:tcW w:type="dxa" w:w="2460"/>
            <w:shd w:fill="F2F5F9" w:color="auto" w:val="clear"/>
            <w:tcMar>
              <w:top w:type="dxa" w:w="70"/>
              <w:left w:type="dxa" w:w="110"/>
              <w:bottom w:type="dxa" w:w="70"/>
              <w:right w:type="dxa" w:w="110"/>
            </w:tcMar>
          </w:tcPr>
          <w:p>
            <w:pPr>
              <w:spacing w:after="0" w:line="250"/>
            </w:pPr>
            <w:r>
              <w:rPr>
                <w:rFonts w:ascii="Calibri" w:cs="Calibri" w:eastAsia="Calibri" w:hAnsi="Calibri"/>
                <w:b/>
                <w:bCs/>
                <w:color w:val="9A6700"/>
                <w:sz w:val="19"/>
                <w:szCs w:val="19"/>
              </w:rPr>
              <w:t xml:space="preserve">Partial</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Tissue_Type_Combinations_Exp</w:t>
            </w:r>
          </w:p>
        </w:tc>
        <w:tc>
          <w:tcPr>
            <w:tcW w:type="dxa" w:w="2100"/>
            <w:tcMar>
              <w:top w:type="dxa" w:w="70"/>
              <w:left w:type="dxa" w:w="110"/>
              <w:bottom w:type="dxa" w:w="70"/>
              <w:right w:type="dxa" w:w="110"/>
            </w:tcMar>
          </w:tcPr>
          <w:p>
            <w:pPr>
              <w:spacing w:after="0" w:line="250"/>
            </w:pPr>
            <w:r>
              <w:rPr>
                <w:rFonts w:ascii="Calibri" w:cs="Calibri" w:eastAsia="Calibri" w:hAnsi="Calibri"/>
                <w:sz w:val="19"/>
                <w:szCs w:val="19"/>
              </w:rPr>
              <w:t xml:space="preserve">Top-k tissue selection</w:t>
            </w:r>
          </w:p>
        </w:tc>
        <w:tc>
          <w:tcPr>
            <w:tcW w:type="dxa" w:w="2200"/>
            <w:tcMar>
              <w:top w:type="dxa" w:w="70"/>
              <w:left w:type="dxa" w:w="110"/>
              <w:bottom w:type="dxa" w:w="70"/>
              <w:right w:type="dxa" w:w="110"/>
            </w:tcMar>
          </w:tcPr>
          <w:p>
            <w:pPr>
              <w:spacing w:after="0" w:line="250"/>
            </w:pPr>
            <w:r>
              <w:rPr>
                <w:rFonts w:ascii="Calibri" w:cs="Calibri" w:eastAsia="Calibri" w:hAnsi="Calibri"/>
                <w:sz w:val="19"/>
                <w:szCs w:val="19"/>
              </w:rPr>
              <w:t xml:space="preserve">TCGA only</w:t>
            </w:r>
          </w:p>
        </w:tc>
        <w:tc>
          <w:tcPr>
            <w:tcW w:type="dxa" w:w="2460"/>
            <w:tcMar>
              <w:top w:type="dxa" w:w="70"/>
              <w:left w:type="dxa" w:w="110"/>
              <w:bottom w:type="dxa" w:w="70"/>
              <w:right w:type="dxa" w:w="110"/>
            </w:tcMar>
          </w:tcPr>
          <w:p>
            <w:pPr>
              <w:spacing w:after="0" w:line="250"/>
            </w:pPr>
            <w:r>
              <w:rPr>
                <w:rFonts w:ascii="Calibri" w:cs="Calibri" w:eastAsia="Calibri" w:hAnsi="Calibri"/>
                <w:b/>
                <w:bCs/>
                <w:color w:val="1E6B3A"/>
                <w:sz w:val="19"/>
                <w:szCs w:val="19"/>
              </w:rPr>
              <w:t xml:space="preserve">Complete</w:t>
            </w:r>
          </w:p>
        </w:tc>
      </w:tr>
    </w:tbl>
    <w:tbl>
      <w:tblPr>
        <w:tblW w:type="dxa" w:w="9360"/>
        <w:tblBorders>
          <w:top w:val="single" w:color="1F4E79" w:sz="2"/>
          <w:left w:val="single" w:color="1F4E79" w:sz="18"/>
          <w:bottom w:val="single" w:color="1F4E79" w:sz="2"/>
          <w:right w:val="single" w:color="1F4E79" w:sz="2"/>
          <w:insideH w:val="none"/>
          <w:insideV w:val="none"/>
        </w:tblBorders>
      </w:tblPr>
      <w:tblGrid>
        <w:gridCol w:w="9360"/>
      </w:tblGrid>
      <w:tr>
        <w:tc>
          <w:tcPr>
            <w:tcW w:type="dxa" w:w="9360"/>
            <w:shd w:fill="FAFAFA" w:color="auto" w:val="clear"/>
            <w:tcMar>
              <w:top w:type="dxa" w:w="130"/>
              <w:left w:type="dxa" w:w="170"/>
              <w:bottom w:type="dxa" w:w="130"/>
              <w:right w:type="dxa" w:w="150"/>
            </w:tcMar>
          </w:tcPr>
          <w:p>
            <w:pPr>
              <w:spacing w:after="60"/>
            </w:pPr>
            <w:r>
              <w:rPr>
                <w:rFonts w:ascii="Calibri" w:cs="Calibri" w:eastAsia="Calibri" w:hAnsi="Calibri"/>
                <w:b/>
                <w:bCs/>
                <w:color w:val="1F4E79"/>
                <w:sz w:val="21"/>
                <w:szCs w:val="21"/>
              </w:rPr>
              <w:t xml:space="preserve">The most important protocol fact</w:t>
            </w:r>
          </w:p>
          <w:p>
            <w:pPr>
              <w:spacing w:after="60" w:line="270"/>
            </w:pPr>
            <w:r>
              <w:rPr>
                <w:rFonts w:ascii="Calibri" w:cs="Calibri" w:eastAsia="Calibri" w:hAnsi="Calibri"/>
                <w:sz w:val="20"/>
                <w:szCs w:val="20"/>
              </w:rPr>
              <w:t xml:space="preserve">TCGA to PAIP is the only true cross-cohort external validation in the entire project.</w:t>
            </w:r>
          </w:p>
          <w:p>
            <w:pPr>
              <w:spacing w:after="60" w:line="270"/>
            </w:pPr>
            <w:r>
              <w:rPr>
                <w:rFonts w:ascii="Calibri" w:cs="Calibri" w:eastAsia="Calibri" w:hAnsi="Calibri"/>
                <w:sz w:val="20"/>
                <w:szCs w:val="20"/>
              </w:rPr>
              <w:t xml:space="preserve">SurGen, despite being a third independent cohort, is currently only cross-validated against itself. Nothing is trained on TCGA and tested on SurGen. If the goal is to demonstrate generalisation, SurGen is a second external validation set sitting unused in that role, and it is the larger and harder of the two.</w:t>
            </w:r>
          </w:p>
        </w:tc>
      </w:tr>
    </w:tbl>
    <w:p>
      <w:pPr>
        <w:spacing w:after="120" w:before="100" w:line="276"/>
      </w:pPr>
      <w:r>
        <w:rPr>
          <w:rFonts w:ascii="Calibri" w:cs="Calibri" w:eastAsia="Calibri" w:hAnsi="Calibri"/>
          <w:sz w:val="21"/>
          <w:szCs w:val="21"/>
        </w:rPr>
        <w:t xml:space="preserve">Only MSI-H is active. BRAF, KRAS, TP53 and CIMP are fully wired into every configuration dictionary and every dataset-loading branch, but the driving task list in every script is hardcoded to MSIH. Confirmed independently by the result folders, which contain only 1-MSIH.</w:t>
      </w:r>
    </w:p>
    <w:p>
      <w:r>
        <w:br w:type="page"/>
      </w:r>
    </w:p>
    <w:p>
      <w:pPr>
        <w:pStyle w:val="Heading1"/>
        <w:spacing w:after="160" w:before="360"/>
      </w:pPr>
      <w:r>
        <w:rPr>
          <w:rFonts w:ascii="Calibri" w:cs="Calibri" w:eastAsia="Calibri" w:hAnsi="Calibri"/>
          <w:b/>
          <w:bCs/>
          <w:color w:val="1F4E79"/>
          <w:sz w:val="30"/>
          <w:szCs w:val="30"/>
        </w:rPr>
        <w:t xml:space="preserve">7.  A representative result</w:t>
      </w:r>
    </w:p>
    <w:p>
      <w:pPr>
        <w:spacing w:after="120" w:before="0" w:line="276"/>
      </w:pPr>
      <w:r>
        <w:rPr>
          <w:rFonts w:ascii="Calibri" w:cs="Calibri" w:eastAsia="Calibri" w:hAnsi="Calibri"/>
          <w:sz w:val="21"/>
          <w:szCs w:val="21"/>
        </w:rPr>
        <w:t xml:space="preserve">To ground the above, here is the tissue-type-clustering with H-Optimus-1 configuration on the MSI-H task, read directly from the Excel outputs. Figures are averages across the four folds.</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2000"/>
        <w:gridCol w:w="1200"/>
        <w:gridCol w:w="1200"/>
        <w:gridCol w:w="1200"/>
        <w:gridCol w:w="1200"/>
        <w:gridCol w:w="2560"/>
      </w:tblGrid>
      <w:tr>
        <w:trPr>
          <w:tblHeader/>
        </w:trPr>
        <w:tc>
          <w:tcPr>
            <w:tcW w:type="dxa" w:w="20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Classifier</w:t>
            </w:r>
          </w:p>
        </w:tc>
        <w:tc>
          <w:tcPr>
            <w:tcW w:type="dxa" w:w="1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Acc</w:t>
            </w:r>
          </w:p>
        </w:tc>
        <w:tc>
          <w:tcPr>
            <w:tcW w:type="dxa" w:w="1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Bal. Acc</w:t>
            </w:r>
          </w:p>
        </w:tc>
        <w:tc>
          <w:tcPr>
            <w:tcW w:type="dxa" w:w="1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Macro F1</w:t>
            </w:r>
          </w:p>
        </w:tc>
        <w:tc>
          <w:tcPr>
            <w:tcW w:type="dxa" w:w="1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AUROC</w:t>
            </w:r>
          </w:p>
        </w:tc>
        <w:tc>
          <w:tcPr>
            <w:tcW w:type="dxa" w:w="25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Setting</w:t>
            </w:r>
          </w:p>
        </w:tc>
      </w:tr>
      <w:tr>
        <w:tc>
          <w:tcPr>
            <w:tcW w:type="dxa" w:w="2000"/>
            <w:tcMar>
              <w:top w:type="dxa" w:w="70"/>
              <w:left w:type="dxa" w:w="110"/>
              <w:bottom w:type="dxa" w:w="70"/>
              <w:right w:type="dxa" w:w="110"/>
            </w:tcMar>
          </w:tcPr>
          <w:p>
            <w:pPr>
              <w:spacing w:after="0" w:line="250"/>
            </w:pPr>
            <w:r>
              <w:rPr>
                <w:rFonts w:ascii="Calibri" w:cs="Calibri" w:eastAsia="Calibri" w:hAnsi="Calibri"/>
                <w:sz w:val="19"/>
                <w:szCs w:val="19"/>
              </w:rPr>
              <w:t xml:space="preserve">Logistic regression</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0.899</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0.720</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0.751</w:t>
            </w:r>
          </w:p>
        </w:tc>
        <w:tc>
          <w:tcPr>
            <w:tcW w:type="dxa" w:w="1200"/>
            <w:tcMar>
              <w:top w:type="dxa" w:w="70"/>
              <w:left w:type="dxa" w:w="110"/>
              <w:bottom w:type="dxa" w:w="70"/>
              <w:right w:type="dxa" w:w="110"/>
            </w:tcMar>
          </w:tcPr>
          <w:p>
            <w:pPr>
              <w:spacing w:after="0" w:line="250"/>
            </w:pPr>
            <w:r>
              <w:rPr>
                <w:rFonts w:ascii="Calibri" w:cs="Calibri" w:eastAsia="Calibri" w:hAnsi="Calibri"/>
                <w:b/>
                <w:bCs/>
                <w:sz w:val="19"/>
                <w:szCs w:val="19"/>
              </w:rPr>
              <w:t xml:space="preserve">0.919</w:t>
            </w:r>
          </w:p>
        </w:tc>
        <w:tc>
          <w:tcPr>
            <w:tcW w:type="dxa" w:w="2560"/>
            <w:tcMar>
              <w:top w:type="dxa" w:w="70"/>
              <w:left w:type="dxa" w:w="110"/>
              <w:bottom w:type="dxa" w:w="70"/>
              <w:right w:type="dxa" w:w="110"/>
            </w:tcMar>
          </w:tcPr>
          <w:p>
            <w:pPr>
              <w:spacing w:after="0" w:line="250"/>
            </w:pPr>
            <w:r>
              <w:rPr>
                <w:rFonts w:ascii="Calibri" w:cs="Calibri" w:eastAsia="Calibri" w:hAnsi="Calibri"/>
                <w:sz w:val="19"/>
                <w:szCs w:val="19"/>
              </w:rPr>
              <w:t xml:space="preserve">TCGA internal CV</w:t>
            </w:r>
          </w:p>
        </w:tc>
      </w:tr>
      <w:tr>
        <w:tc>
          <w:tcPr>
            <w:tcW w:type="dxa" w:w="20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ANN</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0.844</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0.816</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0.744</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0.894</w:t>
            </w:r>
          </w:p>
        </w:tc>
        <w:tc>
          <w:tcPr>
            <w:tcW w:type="dxa" w:w="25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TCGA internal CV</w:t>
            </w:r>
          </w:p>
        </w:tc>
      </w:tr>
      <w:tr>
        <w:tc>
          <w:tcPr>
            <w:tcW w:type="dxa" w:w="2000"/>
            <w:tcMar>
              <w:top w:type="dxa" w:w="70"/>
              <w:left w:type="dxa" w:w="110"/>
              <w:bottom w:type="dxa" w:w="70"/>
              <w:right w:type="dxa" w:w="110"/>
            </w:tcMar>
          </w:tcPr>
          <w:p>
            <w:pPr>
              <w:spacing w:after="0" w:line="250"/>
            </w:pPr>
            <w:r>
              <w:rPr>
                <w:rFonts w:ascii="Calibri" w:cs="Calibri" w:eastAsia="Calibri" w:hAnsi="Calibri"/>
                <w:sz w:val="19"/>
                <w:szCs w:val="19"/>
              </w:rPr>
              <w:t xml:space="preserve">kNN</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0.856</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0.564</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0.574</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0.706</w:t>
            </w:r>
          </w:p>
        </w:tc>
        <w:tc>
          <w:tcPr>
            <w:tcW w:type="dxa" w:w="2560"/>
            <w:tcMar>
              <w:top w:type="dxa" w:w="70"/>
              <w:left w:type="dxa" w:w="110"/>
              <w:bottom w:type="dxa" w:w="70"/>
              <w:right w:type="dxa" w:w="110"/>
            </w:tcMar>
          </w:tcPr>
          <w:p>
            <w:pPr>
              <w:spacing w:after="0" w:line="250"/>
            </w:pPr>
            <w:r>
              <w:rPr>
                <w:rFonts w:ascii="Calibri" w:cs="Calibri" w:eastAsia="Calibri" w:hAnsi="Calibri"/>
                <w:sz w:val="19"/>
                <w:szCs w:val="19"/>
              </w:rPr>
              <w:t xml:space="preserve">TCGA internal CV</w:t>
            </w:r>
          </w:p>
        </w:tc>
      </w:tr>
      <w:tr>
        <w:tc>
          <w:tcPr>
            <w:tcW w:type="dxa" w:w="2000"/>
            <w:shd w:fill="F2F5F9"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Logistic regression</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0.801</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0.574</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0.570</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0.862</w:t>
            </w:r>
          </w:p>
        </w:tc>
        <w:tc>
          <w:tcPr>
            <w:tcW w:type="dxa" w:w="2560"/>
            <w:shd w:fill="F2F5F9"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TCGA to PAIP external</w:t>
            </w:r>
          </w:p>
        </w:tc>
      </w:tr>
      <w:tr>
        <w:tc>
          <w:tcPr>
            <w:tcW w:type="dxa" w:w="2000"/>
            <w:tcMar>
              <w:top w:type="dxa" w:w="70"/>
              <w:left w:type="dxa" w:w="110"/>
              <w:bottom w:type="dxa" w:w="70"/>
              <w:right w:type="dxa" w:w="110"/>
            </w:tcMar>
          </w:tcPr>
          <w:p>
            <w:pPr>
              <w:spacing w:after="0" w:line="250"/>
            </w:pPr>
            <w:r>
              <w:rPr>
                <w:rFonts w:ascii="Calibri" w:cs="Calibri" w:eastAsia="Calibri" w:hAnsi="Calibri"/>
                <w:b/>
                <w:bCs/>
                <w:sz w:val="19"/>
                <w:szCs w:val="19"/>
              </w:rPr>
              <w:t xml:space="preserve">ANN</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0.818</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0.800</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0.772</w:t>
            </w:r>
          </w:p>
        </w:tc>
        <w:tc>
          <w:tcPr>
            <w:tcW w:type="dxa" w:w="1200"/>
            <w:tcMar>
              <w:top w:type="dxa" w:w="70"/>
              <w:left w:type="dxa" w:w="110"/>
              <w:bottom w:type="dxa" w:w="70"/>
              <w:right w:type="dxa" w:w="110"/>
            </w:tcMar>
          </w:tcPr>
          <w:p>
            <w:pPr>
              <w:spacing w:after="0" w:line="250"/>
            </w:pPr>
            <w:r>
              <w:rPr>
                <w:rFonts w:ascii="Calibri" w:cs="Calibri" w:eastAsia="Calibri" w:hAnsi="Calibri"/>
                <w:sz w:val="19"/>
                <w:szCs w:val="19"/>
              </w:rPr>
              <w:t xml:space="preserve">0.869</w:t>
            </w:r>
          </w:p>
        </w:tc>
        <w:tc>
          <w:tcPr>
            <w:tcW w:type="dxa" w:w="2560"/>
            <w:tcMar>
              <w:top w:type="dxa" w:w="70"/>
              <w:left w:type="dxa" w:w="110"/>
              <w:bottom w:type="dxa" w:w="70"/>
              <w:right w:type="dxa" w:w="110"/>
            </w:tcMar>
          </w:tcPr>
          <w:p>
            <w:pPr>
              <w:spacing w:after="0" w:line="250"/>
            </w:pPr>
            <w:r>
              <w:rPr>
                <w:rFonts w:ascii="Calibri" w:cs="Calibri" w:eastAsia="Calibri" w:hAnsi="Calibri"/>
                <w:b/>
                <w:bCs/>
                <w:sz w:val="19"/>
                <w:szCs w:val="19"/>
              </w:rPr>
              <w:t xml:space="preserve">TCGA to PAIP external</w:t>
            </w:r>
          </w:p>
        </w:tc>
      </w:tr>
      <w:tr>
        <w:tc>
          <w:tcPr>
            <w:tcW w:type="dxa" w:w="2000"/>
            <w:shd w:fill="F2F5F9"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kNN</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0.767</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0.510</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0.460</w:t>
            </w:r>
          </w:p>
        </w:tc>
        <w:tc>
          <w:tcPr>
            <w:tcW w:type="dxa" w:w="1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0.520</w:t>
            </w:r>
          </w:p>
        </w:tc>
        <w:tc>
          <w:tcPr>
            <w:tcW w:type="dxa" w:w="2560"/>
            <w:shd w:fill="F2F5F9"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TCGA to PAIP external</w:t>
            </w:r>
          </w:p>
        </w:tc>
      </w:tr>
    </w:tbl>
    <w:p>
      <w:pPr>
        <w:spacing w:after="120" w:before="140" w:line="276"/>
      </w:pPr>
      <w:r>
        <w:rPr>
          <w:rFonts w:ascii="Calibri" w:cs="Calibri" w:eastAsia="Calibri" w:hAnsi="Calibri"/>
          <w:b/>
          <w:bCs/>
          <w:sz w:val="21"/>
          <w:szCs w:val="21"/>
        </w:rPr>
        <w:t xml:space="preserve">Three things stand out and are worth your attention.</w:t>
      </w:r>
    </w:p>
    <w:p>
      <w:pPr>
        <w:pStyle w:val="ListParagraph"/>
        <w:numPr>
          <w:ilvl w:val="0"/>
          <w:numId w:val="2"/>
        </w:numPr>
        <w:spacing w:after="70" w:line="276"/>
      </w:pPr>
      <w:r>
        <w:rPr>
          <w:rFonts w:ascii="Calibri" w:cs="Calibri" w:eastAsia="Calibri" w:hAnsi="Calibri"/>
          <w:color w:val="1E6B3A"/>
          <w:sz w:val="21"/>
          <w:szCs w:val="21"/>
        </w:rPr>
        <w:t xml:space="preserve">AUROC holds up remarkably well across cohorts, 0.919 falling only to 0.862 for logistic regression. The ranking signal transfers to a new cohort even though the decision threshold does not.</w:t>
      </w:r>
    </w:p>
    <w:p>
      <w:pPr>
        <w:pStyle w:val="ListParagraph"/>
        <w:numPr>
          <w:ilvl w:val="0"/>
          <w:numId w:val="2"/>
        </w:numPr>
        <w:spacing w:after="70" w:line="276"/>
      </w:pPr>
      <w:r>
        <w:rPr>
          <w:rFonts w:ascii="Calibri" w:cs="Calibri" w:eastAsia="Calibri" w:hAnsi="Calibri"/>
          <w:color w:val="9A6700"/>
          <w:sz w:val="21"/>
          <w:szCs w:val="21"/>
        </w:rPr>
        <w:t xml:space="preserve">Logistic regression's balanced accuracy collapses from 0.720 to 0.574 externally, and its external confusion matrix is 56, 0 over 15, 2, meaning it predicts non-MSI-H for almost every PAIP slide. This is a threshold-calibration failure, not a representation failure: an AUROC of 0.862 says the model still ranks MSI-H slides higher, it simply applies a TCGA-calibrated cut-point to a cohort with different prevalence. Recalibrating the threshold on a small PAIP subset, or reporting AUROC as the headline external metric, would address this.</w:t>
      </w:r>
    </w:p>
    <w:p>
      <w:pPr>
        <w:pStyle w:val="ListParagraph"/>
        <w:numPr>
          <w:ilvl w:val="0"/>
          <w:numId w:val="2"/>
        </w:numPr>
        <w:spacing w:after="70" w:line="276"/>
      </w:pPr>
      <w:r>
        <w:rPr>
          <w:rFonts w:ascii="Calibri" w:cs="Calibri" w:eastAsia="Calibri" w:hAnsi="Calibri"/>
          <w:color w:val="9A6700"/>
          <w:sz w:val="21"/>
          <w:szCs w:val="21"/>
        </w:rPr>
        <w:t xml:space="preserve">The ANN does not show this collapse, 0.816 falling only to 0.800, but see Issue 1 before trusting the internal figure.</w:t>
      </w:r>
    </w:p>
    <w:p>
      <w:r>
        <w:br w:type="page"/>
      </w:r>
    </w:p>
    <w:p>
      <w:pPr>
        <w:pStyle w:val="Heading1"/>
        <w:spacing w:after="160" w:before="360"/>
      </w:pPr>
      <w:r>
        <w:rPr>
          <w:rFonts w:ascii="Calibri" w:cs="Calibri" w:eastAsia="Calibri" w:hAnsi="Calibri"/>
          <w:b/>
          <w:bCs/>
          <w:color w:val="1F4E79"/>
          <w:sz w:val="30"/>
          <w:szCs w:val="30"/>
        </w:rPr>
        <w:t xml:space="preserve">8.  What checks out</w:t>
      </w:r>
    </w:p>
    <w:p>
      <w:pPr>
        <w:spacing w:after="120" w:before="0" w:line="276"/>
      </w:pPr>
      <w:r>
        <w:rPr>
          <w:rFonts w:ascii="Calibri" w:cs="Calibri" w:eastAsia="Calibri" w:hAnsi="Calibri"/>
          <w:sz w:val="21"/>
          <w:szCs w:val="21"/>
        </w:rPr>
        <w:t xml:space="preserve">These are the things I verified and found sound. They are the load-bearing parts of the study, and they are in good shape.</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600"/>
        <w:gridCol w:w="3400"/>
        <w:gridCol w:w="5360"/>
      </w:tblGrid>
      <w:tr>
        <w:trPr>
          <w:tblHeader/>
        </w:trPr>
        <w:tc>
          <w:tcPr>
            <w:tcW w:type="dxa" w:w="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34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Check</w:t>
            </w:r>
          </w:p>
        </w:tc>
        <w:tc>
          <w:tcPr>
            <w:tcW w:type="dxa" w:w="53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Result</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3400"/>
            <w:tcMar>
              <w:top w:type="dxa" w:w="70"/>
              <w:left w:type="dxa" w:w="110"/>
              <w:bottom w:type="dxa" w:w="70"/>
              <w:right w:type="dxa" w:w="110"/>
            </w:tcMar>
          </w:tcPr>
          <w:p>
            <w:pPr>
              <w:spacing w:after="0" w:line="250"/>
            </w:pPr>
            <w:r>
              <w:rPr>
                <w:rFonts w:ascii="Calibri" w:cs="Calibri" w:eastAsia="Calibri" w:hAnsi="Calibri"/>
                <w:sz w:val="19"/>
                <w:szCs w:val="19"/>
              </w:rPr>
              <w:t xml:space="preserve">TCGA patient-level fold integrity</w:t>
            </w:r>
          </w:p>
        </w:tc>
        <w:tc>
          <w:tcPr>
            <w:tcW w:type="dxa" w:w="5360"/>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416 unique patients, one slide each, no patient spans two folds.</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w:t>
            </w:r>
          </w:p>
        </w:tc>
        <w:tc>
          <w:tcPr>
            <w:tcW w:type="dxa" w:w="34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Fold consistency across tasks</w:t>
            </w:r>
          </w:p>
        </w:tc>
        <w:tc>
          <w:tcPr>
            <w:tcW w:type="dxa" w:w="5360"/>
            <w:shd w:fill="F2F5F9" w:color="auto" w:val="clear"/>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BRAF, KRAS, TP53 and CIMP files use fold assignments identical to the MSI file.</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3</w:t>
            </w:r>
          </w:p>
        </w:tc>
        <w:tc>
          <w:tcPr>
            <w:tcW w:type="dxa" w:w="3400"/>
            <w:tcMar>
              <w:top w:type="dxa" w:w="70"/>
              <w:left w:type="dxa" w:w="110"/>
              <w:bottom w:type="dxa" w:w="70"/>
              <w:right w:type="dxa" w:w="110"/>
            </w:tcMar>
          </w:tcPr>
          <w:p>
            <w:pPr>
              <w:spacing w:after="0" w:line="250"/>
            </w:pPr>
            <w:r>
              <w:rPr>
                <w:rFonts w:ascii="Calibri" w:cs="Calibri" w:eastAsia="Calibri" w:hAnsi="Calibri"/>
                <w:sz w:val="19"/>
                <w:szCs w:val="19"/>
              </w:rPr>
              <w:t xml:space="preserve">Class stratification across folds</w:t>
            </w:r>
          </w:p>
        </w:tc>
        <w:tc>
          <w:tcPr>
            <w:tcW w:type="dxa" w:w="5360"/>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MSI-H per fold is 15, 13, 20, 13 against a total of 61.</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w:t>
            </w:r>
          </w:p>
        </w:tc>
        <w:tc>
          <w:tcPr>
            <w:tcW w:type="dxa" w:w="34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External validation isolation</w:t>
            </w:r>
          </w:p>
        </w:tc>
        <w:tc>
          <w:tcPr>
            <w:tcW w:type="dxa" w:w="5360"/>
            <w:shd w:fill="F2F5F9" w:color="auto" w:val="clear"/>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No PAIP data enters TCGA training; the EV code only loads saved checkpoints.</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5</w:t>
            </w:r>
          </w:p>
        </w:tc>
        <w:tc>
          <w:tcPr>
            <w:tcW w:type="dxa" w:w="3400"/>
            <w:tcMar>
              <w:top w:type="dxa" w:w="70"/>
              <w:left w:type="dxa" w:w="110"/>
              <w:bottom w:type="dxa" w:w="70"/>
              <w:right w:type="dxa" w:w="110"/>
            </w:tcMar>
          </w:tcPr>
          <w:p>
            <w:pPr>
              <w:spacing w:after="0" w:line="250"/>
            </w:pPr>
            <w:r>
              <w:rPr>
                <w:rFonts w:ascii="Calibri" w:cs="Calibri" w:eastAsia="Calibri" w:hAnsi="Calibri"/>
                <w:sz w:val="19"/>
                <w:szCs w:val="19"/>
              </w:rPr>
              <w:t xml:space="preserve">Feature tensor integrity</w:t>
            </w:r>
          </w:p>
        </w:tc>
        <w:tc>
          <w:tcPr>
            <w:tcW w:type="dxa" w:w="5360"/>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Sampled tensors across 8 method, model and cohort combinations: correct shapes, float32, zero NaNs, sane ranges.</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w:t>
            </w:r>
          </w:p>
        </w:tc>
        <w:tc>
          <w:tcPr>
            <w:tcW w:type="dxa" w:w="34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Dimension arithmetic</w:t>
            </w:r>
          </w:p>
        </w:tc>
        <w:tc>
          <w:tcPr>
            <w:tcW w:type="dxa" w:w="5360"/>
            <w:shd w:fill="F2F5F9" w:color="auto" w:val="clear"/>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Declared VECTOR_DIM matches on-disk tensor shapes for every combination checked.</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7</w:t>
            </w:r>
          </w:p>
        </w:tc>
        <w:tc>
          <w:tcPr>
            <w:tcW w:type="dxa" w:w="3400"/>
            <w:tcMar>
              <w:top w:type="dxa" w:w="70"/>
              <w:left w:type="dxa" w:w="110"/>
              <w:bottom w:type="dxa" w:w="70"/>
              <w:right w:type="dxa" w:w="110"/>
            </w:tcMar>
          </w:tcPr>
          <w:p>
            <w:pPr>
              <w:spacing w:after="0" w:line="250"/>
            </w:pPr>
            <w:r>
              <w:rPr>
                <w:rFonts w:ascii="Calibri" w:cs="Calibri" w:eastAsia="Calibri" w:hAnsi="Calibri"/>
                <w:sz w:val="19"/>
                <w:szCs w:val="19"/>
              </w:rPr>
              <w:t xml:space="preserve">SurGen unlabelled handling</w:t>
            </w:r>
          </w:p>
        </w:tc>
        <w:tc>
          <w:tcPr>
            <w:tcW w:type="dxa" w:w="5360"/>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All 396 slides with label minus one are excluded before folds are built.</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8</w:t>
            </w:r>
          </w:p>
        </w:tc>
        <w:tc>
          <w:tcPr>
            <w:tcW w:type="dxa" w:w="34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SurGen label consistency</w:t>
            </w:r>
          </w:p>
        </w:tc>
        <w:tc>
          <w:tcPr>
            <w:tcW w:type="dxa" w:w="5360"/>
            <w:shd w:fill="F2F5F9" w:color="auto" w:val="clear"/>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No case carries conflicting labels across its slides.</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9</w:t>
            </w:r>
          </w:p>
        </w:tc>
        <w:tc>
          <w:tcPr>
            <w:tcW w:type="dxa" w:w="3400"/>
            <w:tcMar>
              <w:top w:type="dxa" w:w="70"/>
              <w:left w:type="dxa" w:w="110"/>
              <w:bottom w:type="dxa" w:w="70"/>
              <w:right w:type="dxa" w:w="110"/>
            </w:tcMar>
          </w:tcPr>
          <w:p>
            <w:pPr>
              <w:spacing w:after="0" w:line="250"/>
            </w:pPr>
            <w:r>
              <w:rPr>
                <w:rFonts w:ascii="Calibri" w:cs="Calibri" w:eastAsia="Calibri" w:hAnsi="Calibri"/>
                <w:sz w:val="19"/>
                <w:szCs w:val="19"/>
              </w:rPr>
              <w:t xml:space="preserve">CRC100K train and test separation</w:t>
            </w:r>
          </w:p>
        </w:tc>
        <w:tc>
          <w:tcPr>
            <w:tcW w:type="dxa" w:w="5360"/>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Trained on NCT-CRC-HE-100K, evaluated on the separate CRC-VAL-HE-7K.</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10</w:t>
            </w:r>
          </w:p>
        </w:tc>
        <w:tc>
          <w:tcPr>
            <w:tcW w:type="dxa" w:w="34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Results internal consistency</w:t>
            </w:r>
          </w:p>
        </w:tc>
        <w:tc>
          <w:tcPr>
            <w:tcW w:type="dxa" w:w="5360"/>
            <w:shd w:fill="F2F5F9" w:color="auto" w:val="clear"/>
            <w:tcMar>
              <w:top w:type="dxa" w:w="70"/>
              <w:left w:type="dxa" w:w="110"/>
              <w:bottom w:type="dxa" w:w="70"/>
              <w:right w:type="dxa" w:w="110"/>
            </w:tcMar>
          </w:tcPr>
          <w:p>
            <w:pPr>
              <w:spacing w:after="0" w:line="250"/>
            </w:pPr>
            <w:r>
              <w:rPr>
                <w:rFonts w:ascii="Calibri" w:cs="Calibri" w:eastAsia="Calibri" w:hAnsi="Calibri"/>
                <w:color w:val="1E6B3A"/>
                <w:sz w:val="19"/>
                <w:szCs w:val="19"/>
              </w:rPr>
              <w:t xml:space="preserve">Clean. Confusion matrices sum to the expected sample counts in every file checked.</w:t>
            </w:r>
          </w:p>
        </w:tc>
      </w:tr>
    </w:tbl>
    <w:p>
      <w:r>
        <w:br w:type="page"/>
      </w:r>
    </w:p>
    <w:p>
      <w:pPr>
        <w:pStyle w:val="Heading1"/>
        <w:spacing w:after="160" w:before="360"/>
      </w:pPr>
      <w:r>
        <w:rPr>
          <w:rFonts w:ascii="Calibri" w:cs="Calibri" w:eastAsia="Calibri" w:hAnsi="Calibri"/>
          <w:b/>
          <w:bCs/>
          <w:color w:val="1F4E79"/>
          <w:sz w:val="30"/>
          <w:szCs w:val="30"/>
        </w:rPr>
        <w:t xml:space="preserve">9.  Issues found</w:t>
      </w:r>
    </w:p>
    <w:p>
      <w:pPr>
        <w:spacing w:after="120" w:before="0" w:line="276"/>
      </w:pPr>
      <w:r>
        <w:rPr>
          <w:rFonts w:ascii="Calibri" w:cs="Calibri" w:eastAsia="Calibri" w:hAnsi="Calibri"/>
          <w:sz w:val="21"/>
          <w:szCs w:val="21"/>
        </w:rPr>
        <w:t xml:space="preserve">Ordered by how much they affect the conclusions you can draw. None of these invalidates the project; three of them affect numbers you would put in a paper.</w:t>
      </w:r>
    </w:p>
    <w:p>
      <w:pPr>
        <w:pStyle w:val="Heading2"/>
        <w:spacing w:after="120" w:before="260"/>
      </w:pPr>
      <w:r>
        <w:rPr>
          <w:rFonts w:ascii="Calibri" w:cs="Calibri" w:eastAsia="Calibri" w:hAnsi="Calibri"/>
          <w:b/>
          <w:bCs/>
          <w:color w:val="1F4E79"/>
          <w:sz w:val="24"/>
          <w:szCs w:val="24"/>
        </w:rPr>
        <w:t xml:space="preserve">Issue 1 - ANN hyperparameters are selected on the test fold</w:t>
      </w:r>
    </w:p>
    <w:p>
      <w:pPr>
        <w:spacing w:after="120" w:before="0" w:line="276"/>
      </w:pPr>
      <w:r>
        <w:rPr>
          <w:rFonts w:ascii="Calibri" w:cs="Calibri" w:eastAsia="Calibri" w:hAnsi="Calibri"/>
          <w:b/>
          <w:bCs/>
          <w:color w:val="9C2A2A"/>
          <w:sz w:val="21"/>
          <w:szCs w:val="21"/>
        </w:rPr>
        <w:t xml:space="preserve">Severity: HIGH   Affects: every reported ANN metric</w:t>
      </w:r>
    </w:p>
    <w:p>
      <w:pPr>
        <w:spacing w:after="120" w:before="0" w:line="276"/>
      </w:pPr>
      <w:r>
        <w:rPr>
          <w:rFonts w:ascii="Calibri" w:cs="Calibri" w:eastAsia="Calibri" w:hAnsi="Calibri"/>
          <w:sz w:val="21"/>
          <w:szCs w:val="21"/>
        </w:rPr>
        <w:t xml:space="preserve">In the training loop, four ANN configurations are tried per fold, hidden dimensions 128 or 256 by 64 or 128. The winner is chosen by comparing ann_macro_f1, but that metric is computed on the test set, because eval_ANN only ever evaluates on test. So the best of four configurations is picked using test-set performance and then reported as the test-set result.</w:t>
      </w:r>
    </w:p>
    <w:p>
      <w:pPr>
        <w:spacing w:after="120" w:before="0" w:line="276"/>
      </w:pPr>
      <w:r>
        <w:rPr>
          <w:rFonts w:ascii="Calibri" w:cs="Calibri" w:eastAsia="Calibri" w:hAnsi="Calibri"/>
          <w:sz w:val="21"/>
          <w:szCs w:val="21"/>
        </w:rPr>
        <w:t xml:space="preserve">This is optimistic bias. The magnitude is bounded, since best-of-four on roughly 100 test slides typically inflates balanced accuracy by a few points rather than tens, but the number is not an honest held-out estimate.</w:t>
      </w:r>
    </w:p>
    <w:p>
      <w:pPr>
        <w:pStyle w:val="ListParagraph"/>
        <w:numPr>
          <w:ilvl w:val="0"/>
          <w:numId w:val="2"/>
        </w:numPr>
        <w:spacing w:after="70" w:line="276"/>
      </w:pPr>
      <w:r>
        <w:rPr>
          <w:rFonts w:ascii="Calibri" w:cs="Calibri" w:eastAsia="Calibri" w:hAnsi="Calibri"/>
          <w:b/>
          <w:bCs/>
          <w:sz w:val="21"/>
          <w:szCs w:val="21"/>
        </w:rPr>
        <w:t xml:space="preserve">Importantly, this affects the ANN only. </w:t>
      </w:r>
      <w:r>
        <w:rPr>
          <w:rFonts w:ascii="Calibri" w:cs="Calibri" w:eastAsia="Calibri" w:hAnsi="Calibri"/>
          <w:color w:val="1E6B3A"/>
          <w:sz w:val="21"/>
          <w:szCs w:val="21"/>
        </w:rPr>
        <w:t xml:space="preserve">Logistic regression, kNN, prototypical network and random forest all have single-point grids, so no selection occurs and their metrics are unbiased.</w:t>
      </w:r>
    </w:p>
    <w:p>
      <w:pPr>
        <w:spacing w:after="120" w:before="0" w:line="276"/>
      </w:pPr>
      <w:r>
        <w:rPr>
          <w:rFonts w:ascii="Calibri" w:cs="Calibri" w:eastAsia="Calibri" w:hAnsi="Calibri"/>
          <w:b/>
          <w:bCs/>
          <w:sz w:val="21"/>
          <w:szCs w:val="21"/>
        </w:rPr>
        <w:t xml:space="preserve">Fix: </w:t>
      </w:r>
      <w:r>
        <w:rPr>
          <w:rFonts w:ascii="Calibri" w:cs="Calibri" w:eastAsia="Calibri" w:hAnsi="Calibri"/>
          <w:sz w:val="21"/>
          <w:szCs w:val="21"/>
        </w:rPr>
        <w:t xml:space="preserve">have eval_ANN also return validation-set metrics and select on those, or drop the grid to a single fixed configuration for parity with the other classifiers.</w:t>
      </w:r>
    </w:p>
    <w:p>
      <w:pPr>
        <w:pStyle w:val="Heading2"/>
        <w:spacing w:after="120" w:before="260"/>
      </w:pPr>
      <w:r>
        <w:rPr>
          <w:rFonts w:ascii="Calibri" w:cs="Calibri" w:eastAsia="Calibri" w:hAnsi="Calibri"/>
          <w:b/>
          <w:bCs/>
          <w:color w:val="1F4E79"/>
          <w:sz w:val="24"/>
          <w:szCs w:val="24"/>
        </w:rPr>
        <w:t xml:space="preserve">Issue 2 - Case-level leakage in the SurGen cross-validation</w:t>
      </w:r>
    </w:p>
    <w:p>
      <w:pPr>
        <w:spacing w:after="120" w:before="0" w:line="276"/>
      </w:pPr>
      <w:r>
        <w:rPr>
          <w:rFonts w:ascii="Calibri" w:cs="Calibri" w:eastAsia="Calibri" w:hAnsi="Calibri"/>
          <w:b/>
          <w:bCs/>
          <w:color w:val="9C2A2A"/>
          <w:sz w:val="21"/>
          <w:szCs w:val="21"/>
        </w:rPr>
        <w:t xml:space="preserve">Severity: HIGH   Affects: every SurGen result</w:t>
      </w:r>
    </w:p>
    <w:p>
      <w:pPr>
        <w:spacing w:after="120" w:before="0" w:line="276"/>
      </w:pPr>
      <w:r>
        <w:rPr>
          <w:rFonts w:ascii="Calibri" w:cs="Calibri" w:eastAsia="Calibri" w:hAnsi="Calibri"/>
          <w:sz w:val="21"/>
          <w:szCs w:val="21"/>
        </w:rPr>
        <w:t xml:space="preserve">SurGen folds are built by shuffling slide IDs and dealing them round-robin. But 70 of the 554 labelled cases contribute two slides each. Sibling slides from the same case are therefore split across different folds roughly three times in four, which puts the same patient in both training and test.</w:t>
      </w:r>
    </w:p>
    <w:p>
      <w:pPr>
        <w:spacing w:after="120" w:before="0" w:line="276"/>
      </w:pPr>
      <w:r>
        <w:rPr>
          <w:rFonts w:ascii="Calibri" w:cs="Calibri" w:eastAsia="Calibri" w:hAnsi="Calibri"/>
          <w:sz w:val="21"/>
          <w:szCs w:val="21"/>
        </w:rPr>
        <w:t xml:space="preserve">Two sections from the same tumour are far more similar to each other than two different tumours are, so this inflates SurGen performance. The effect is moderate rather than severe, since roughly 12 percent of cases can leak, but it is a reviewer-visible flaw and an easy one to close.</w:t>
      </w:r>
    </w:p>
    <w:p>
      <w:pPr>
        <w:spacing w:after="120" w:before="0" w:line="276"/>
      </w:pPr>
      <w:r>
        <w:rPr>
          <w:rFonts w:ascii="Calibri" w:cs="Calibri" w:eastAsia="Calibri" w:hAnsi="Calibri"/>
          <w:b/>
          <w:bCs/>
          <w:sz w:val="21"/>
          <w:szCs w:val="21"/>
        </w:rPr>
        <w:t xml:space="preserve">The contrast is instructive: </w:t>
      </w:r>
      <w:r>
        <w:rPr>
          <w:rFonts w:ascii="Calibri" w:cs="Calibri" w:eastAsia="Calibri" w:hAnsi="Calibri"/>
          <w:sz w:val="21"/>
          <w:szCs w:val="21"/>
        </w:rPr>
        <w:t xml:space="preserve">TCGA is completely clean on this axis because it has exactly one slide per patient. The SurGen code inherited a fold-building approach that was safe for TCGA and is not safe for SurGen.</w:t>
      </w:r>
    </w:p>
    <w:p>
      <w:pPr>
        <w:spacing w:after="120" w:before="0" w:line="276"/>
      </w:pPr>
      <w:r>
        <w:rPr>
          <w:rFonts w:ascii="Calibri" w:cs="Calibri" w:eastAsia="Calibri" w:hAnsi="Calibri"/>
          <w:b/>
          <w:bCs/>
          <w:sz w:val="21"/>
          <w:szCs w:val="21"/>
        </w:rPr>
        <w:t xml:space="preserve">Fix: </w:t>
      </w:r>
      <w:r>
        <w:rPr>
          <w:rFonts w:ascii="Calibri" w:cs="Calibri" w:eastAsia="Calibri" w:hAnsi="Calibri"/>
          <w:sz w:val="21"/>
          <w:szCs w:val="21"/>
        </w:rPr>
        <w:t xml:space="preserve">group by case ID, stripping the trailing _01 or _02 from the slide ID, and assign whole cases to folds while stratifying on the case-level label.</w:t>
      </w:r>
    </w:p>
    <w:p>
      <w:pPr>
        <w:pStyle w:val="Heading2"/>
        <w:spacing w:after="120" w:before="260"/>
      </w:pPr>
      <w:r>
        <w:rPr>
          <w:rFonts w:ascii="Calibri" w:cs="Calibri" w:eastAsia="Calibri" w:hAnsi="Calibri"/>
          <w:b/>
          <w:bCs/>
          <w:color w:val="1F4E79"/>
          <w:sz w:val="24"/>
          <w:szCs w:val="24"/>
        </w:rPr>
        <w:t xml:space="preserve">Issue 3 - Saved ANN checkpoints do not match the reported ANN metrics</w:t>
      </w:r>
    </w:p>
    <w:p>
      <w:pPr>
        <w:spacing w:after="120" w:before="0" w:line="276"/>
      </w:pPr>
      <w:r>
        <w:rPr>
          <w:rFonts w:ascii="Calibri" w:cs="Calibri" w:eastAsia="Calibri" w:hAnsi="Calibri"/>
          <w:b/>
          <w:bCs/>
          <w:color w:val="9A6700"/>
          <w:sz w:val="21"/>
          <w:szCs w:val="21"/>
        </w:rPr>
        <w:t xml:space="preserve">Severity: MEDIUM-HIGH   Affects: external validation</w:t>
      </w:r>
    </w:p>
    <w:p>
      <w:pPr>
        <w:spacing w:after="120" w:before="0" w:line="276"/>
      </w:pPr>
      <w:r>
        <w:rPr>
          <w:rFonts w:ascii="Calibri" w:cs="Calibri" w:eastAsia="Calibri" w:hAnsi="Calibri"/>
          <w:sz w:val="21"/>
          <w:szCs w:val="21"/>
        </w:rPr>
        <w:t xml:space="preserve">The ANN checkpoint is written inside the hyperparameter loop, to a filename that encodes only the input dimension. All four configurations therefore write to the same path, and the file left on disk is the last one tried, not the best one, which is what gets reported.</w:t>
      </w:r>
    </w:p>
    <w:p>
      <w:pPr>
        <w:spacing w:after="120" w:before="0" w:line="276"/>
      </w:pPr>
      <w:r>
        <w:rPr>
          <w:rFonts w:ascii="Calibri" w:cs="Calibri" w:eastAsia="Calibri" w:hAnsi="Calibri"/>
          <w:sz w:val="21"/>
          <w:szCs w:val="21"/>
        </w:rPr>
        <w:t xml:space="preserve">I confirmed this from the checkpoints themselves. Every saved TCGA ANN has hidden dimensions 256 and 128, which is the final grid entry rather than necessarily the selected one. The external-validation results are consequently produced by a different network than the one whose TCGA metrics are published alongside them.</w:t>
      </w:r>
    </w:p>
    <w:p>
      <w:pPr>
        <w:spacing w:after="120" w:before="0" w:line="276"/>
      </w:pPr>
      <w:r>
        <w:rPr>
          <w:rFonts w:ascii="Calibri" w:cs="Calibri" w:eastAsia="Calibri" w:hAnsi="Calibri"/>
          <w:b/>
          <w:bCs/>
          <w:sz w:val="21"/>
          <w:szCs w:val="21"/>
        </w:rPr>
        <w:t xml:space="preserve">Fix: </w:t>
      </w:r>
      <w:r>
        <w:rPr>
          <w:rFonts w:ascii="Calibri" w:cs="Calibri" w:eastAsia="Calibri" w:hAnsi="Calibri"/>
          <w:sz w:val="21"/>
          <w:szCs w:val="21"/>
        </w:rPr>
        <w:t xml:space="preserve">save the checkpoint only after the grid completes, using the best configuration, and include the hidden dimensions in the filename.</w:t>
      </w:r>
    </w:p>
    <w:p>
      <w:r>
        <w:br w:type="page"/>
      </w:r>
    </w:p>
    <w:p>
      <w:pPr>
        <w:pStyle w:val="Heading2"/>
        <w:spacing w:after="120" w:before="260"/>
      </w:pPr>
      <w:r>
        <w:rPr>
          <w:rFonts w:ascii="Calibri" w:cs="Calibri" w:eastAsia="Calibri" w:hAnsi="Calibri"/>
          <w:b/>
          <w:bCs/>
          <w:color w:val="1F4E79"/>
          <w:sz w:val="24"/>
          <w:szCs w:val="24"/>
        </w:rPr>
        <w:t xml:space="preserve">Issue 4 - Double softmax in the ANN</w:t>
      </w:r>
    </w:p>
    <w:p>
      <w:pPr>
        <w:spacing w:after="120" w:before="0" w:line="276"/>
      </w:pPr>
      <w:r>
        <w:rPr>
          <w:rFonts w:ascii="Calibri" w:cs="Calibri" w:eastAsia="Calibri" w:hAnsi="Calibri"/>
          <w:b/>
          <w:bCs/>
          <w:color w:val="9A6700"/>
          <w:sz w:val="21"/>
          <w:szCs w:val="21"/>
        </w:rPr>
        <w:t xml:space="preserve">Severity: MEDIUM   Affects: ANN training quality</w:t>
      </w:r>
    </w:p>
    <w:p>
      <w:pPr>
        <w:spacing w:after="120" w:before="0" w:line="276"/>
      </w:pPr>
      <w:r>
        <w:rPr>
          <w:rFonts w:ascii="Calibri" w:cs="Calibri" w:eastAsia="Calibri" w:hAnsi="Calibri"/>
          <w:sz w:val="21"/>
          <w:szCs w:val="21"/>
        </w:rPr>
        <w:t xml:space="preserve">The ANN ends in nn.Softmax and is trained with nn.CrossEntropyLoss. PyTorch's CrossEntropyLoss applies log-softmax internally and expects raw logits, so softmax is being applied twice. The model still learns, because the composition is monotonic, but gradients are heavily flattened, which slows convergence and can leave the network underfitted.</w:t>
      </w:r>
    </w:p>
    <w:p>
      <w:pPr>
        <w:spacing w:after="120" w:before="0" w:line="276"/>
      </w:pPr>
      <w:r>
        <w:rPr>
          <w:rFonts w:ascii="Calibri" w:cs="Calibri" w:eastAsia="Calibri" w:hAnsi="Calibri"/>
          <w:sz w:val="21"/>
          <w:szCs w:val="21"/>
        </w:rPr>
        <w:t xml:space="preserve">This means the ANN results are likely a floor rather than a ceiling. Removing the final softmax layer and applying it only at inference time may improve ANN numbers across the board.</w:t>
      </w:r>
    </w:p>
    <w:p>
      <w:pPr>
        <w:spacing w:after="120" w:before="0" w:line="276"/>
      </w:pPr>
      <w:r>
        <w:rPr>
          <w:rFonts w:ascii="Calibri" w:cs="Calibri" w:eastAsia="Calibri" w:hAnsi="Calibri"/>
          <w:b/>
          <w:bCs/>
          <w:sz w:val="21"/>
          <w:szCs w:val="21"/>
        </w:rPr>
        <w:t xml:space="preserve">Caution: </w:t>
      </w:r>
      <w:r>
        <w:rPr>
          <w:rFonts w:ascii="Calibri" w:cs="Calibri" w:eastAsia="Calibri" w:hAnsi="Calibri"/>
          <w:sz w:val="21"/>
          <w:szCs w:val="21"/>
        </w:rPr>
        <w:t xml:space="preserve">fixing this changes the architecture, so every saved checkpoint would need to be regenerated and every ANN result re-run. Worth doing, but plan it as a single batch.</w:t>
      </w:r>
    </w:p>
    <w:p>
      <w:pPr>
        <w:pStyle w:val="Heading2"/>
        <w:spacing w:after="120" w:before="260"/>
      </w:pPr>
      <w:r>
        <w:rPr>
          <w:rFonts w:ascii="Calibri" w:cs="Calibri" w:eastAsia="Calibri" w:hAnsi="Calibri"/>
          <w:b/>
          <w:bCs/>
          <w:color w:val="1F4E79"/>
          <w:sz w:val="24"/>
          <w:szCs w:val="24"/>
        </w:rPr>
        <w:t xml:space="preserve">Issue 5 - Samples are dropped silently</w:t>
      </w:r>
    </w:p>
    <w:p>
      <w:pPr>
        <w:spacing w:after="120" w:before="0" w:line="276"/>
      </w:pPr>
      <w:r>
        <w:rPr>
          <w:rFonts w:ascii="Calibri" w:cs="Calibri" w:eastAsia="Calibri" w:hAnsi="Calibri"/>
          <w:b/>
          <w:bCs/>
          <w:color w:val="9A6700"/>
          <w:sz w:val="21"/>
          <w:szCs w:val="21"/>
        </w:rPr>
        <w:t xml:space="preserve">Severity: MEDIUM   Affects: reported sample counts</w:t>
      </w:r>
    </w:p>
    <w:p>
      <w:pPr>
        <w:spacing w:after="120" w:before="0" w:line="276"/>
      </w:pPr>
      <w:r>
        <w:rPr>
          <w:rFonts w:ascii="Calibri" w:cs="Calibri" w:eastAsia="Calibri" w:hAnsi="Calibri"/>
          <w:sz w:val="21"/>
          <w:szCs w:val="21"/>
        </w:rPr>
        <w:t xml:space="preserve">The dataset loader iterates over files on disk and skips anything not in the current fold list. When a labelled slide has no feature file, it simply never appears. No warning is printed and no count is checked.</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2600"/>
        <w:gridCol w:w="1600"/>
        <w:gridCol w:w="5160"/>
      </w:tblGrid>
      <w:tr>
        <w:trPr>
          <w:tblHeader/>
        </w:trPr>
        <w:tc>
          <w:tcPr>
            <w:tcW w:type="dxa" w:w="2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Cohort</w:t>
            </w:r>
          </w:p>
        </w:tc>
        <w:tc>
          <w:tcPr>
            <w:tcW w:type="dxa" w:w="1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Discrepancy</w:t>
            </w:r>
          </w:p>
        </w:tc>
        <w:tc>
          <w:tcPr>
            <w:tcW w:type="dxa" w:w="51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Detail</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TCGA</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416 to 413</w:t>
            </w:r>
          </w:p>
        </w:tc>
        <w:tc>
          <w:tcPr>
            <w:tcW w:type="dxa" w:w="5160"/>
            <w:tcMar>
              <w:top w:type="dxa" w:w="70"/>
              <w:left w:type="dxa" w:w="110"/>
              <w:bottom w:type="dxa" w:w="70"/>
              <w:right w:type="dxa" w:w="110"/>
            </w:tcMar>
          </w:tcPr>
          <w:p>
            <w:pPr>
              <w:spacing w:after="0" w:line="250"/>
            </w:pPr>
            <w:r>
              <w:rPr>
                <w:rFonts w:ascii="Calibri" w:cs="Calibri" w:eastAsia="Calibri" w:hAnsi="Calibri"/>
                <w:sz w:val="19"/>
                <w:szCs w:val="19"/>
              </w:rPr>
              <w:t xml:space="preserve">Three labelled slides have no features: TCGA-AD-6895_MSIH, TCGA-AD-6899_nonMSIH, TCGA-CM-6680_nonMSIH. One is MSI-H, so the positive class is 60, not 61.</w:t>
            </w:r>
          </w:p>
        </w:tc>
      </w:tr>
      <w:tr>
        <w:tc>
          <w:tcPr>
            <w:tcW w:type="dxa" w:w="2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TCGA (reverse)</w:t>
            </w:r>
          </w:p>
        </w:tc>
        <w:tc>
          <w:tcPr>
            <w:tcW w:type="dxa" w:w="1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 orphans</w:t>
            </w:r>
          </w:p>
        </w:tc>
        <w:tc>
          <w:tcPr>
            <w:tcW w:type="dxa" w:w="5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Four feature files have no label row and are harmlessly ignored.</w:t>
            </w:r>
          </w:p>
        </w:tc>
      </w:tr>
      <w:t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PAIP</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78 to 73</w:t>
            </w:r>
          </w:p>
        </w:tc>
        <w:tc>
          <w:tcPr>
            <w:tcW w:type="dxa" w:w="5160"/>
            <w:tcMar>
              <w:top w:type="dxa" w:w="70"/>
              <w:left w:type="dxa" w:w="110"/>
              <w:bottom w:type="dxa" w:w="70"/>
              <w:right w:type="dxa" w:w="110"/>
            </w:tcMar>
          </w:tcPr>
          <w:p>
            <w:pPr>
              <w:spacing w:after="0" w:line="250"/>
            </w:pPr>
            <w:r>
              <w:rPr>
                <w:rFonts w:ascii="Calibri" w:cs="Calibri" w:eastAsia="Calibri" w:hAnsi="Calibri"/>
                <w:sz w:val="19"/>
                <w:szCs w:val="19"/>
              </w:rPr>
              <w:t xml:space="preserve">Five labelled slides have no features: three non-MSI-H and two MSI-H.</w:t>
            </w:r>
          </w:p>
        </w:tc>
      </w:tr>
    </w:tbl>
    <w:p>
      <w:pPr>
        <w:spacing w:after="120" w:before="0" w:line="276"/>
      </w:pPr>
      <w:r>
        <w:rPr>
          <w:rFonts w:ascii="Calibri" w:cs="Calibri" w:eastAsia="Calibri" w:hAnsi="Calibri"/>
          <w:sz w:val="21"/>
          <w:szCs w:val="21"/>
        </w:rPr>
        <w:t xml:space="preserve">This is not a correctness bug, since the results are valid for the samples actually used, but </w:t>
      </w:r>
      <w:r>
        <w:rPr>
          <w:rFonts w:ascii="Calibri" w:cs="Calibri" w:eastAsia="Calibri" w:hAnsi="Calibri"/>
          <w:b/>
          <w:bCs/>
          <w:sz w:val="21"/>
          <w:szCs w:val="21"/>
        </w:rPr>
        <w:t xml:space="preserve">the sample sizes you would report in a paper are 413 and 73, not 416 and 78.</w:t>
      </w:r>
      <w:r>
        <w:rPr>
          <w:rFonts w:ascii="Calibri" w:cs="Calibri" w:eastAsia="Calibri" w:hAnsi="Calibri"/>
          <w:sz w:val="21"/>
          <w:szCs w:val="21"/>
        </w:rPr>
        <w:t xml:space="preserve"> Worth adding an assertion that fails loudly when a labelled slide has no feature file.</w:t>
      </w:r>
    </w:p>
    <w:p>
      <w:pPr>
        <w:pStyle w:val="Heading2"/>
        <w:spacing w:after="120" w:before="260"/>
      </w:pPr>
      <w:r>
        <w:rPr>
          <w:rFonts w:ascii="Calibri" w:cs="Calibri" w:eastAsia="Calibri" w:hAnsi="Calibri"/>
          <w:b/>
          <w:bCs/>
          <w:color w:val="1F4E79"/>
          <w:sz w:val="24"/>
          <w:szCs w:val="24"/>
        </w:rPr>
        <w:t xml:space="preserve">Issue 6 - Four Hugging Face tokens hardcoded across the repository</w:t>
      </w:r>
    </w:p>
    <w:p>
      <w:pPr>
        <w:spacing w:after="120" w:before="0" w:line="276"/>
      </w:pPr>
      <w:r>
        <w:rPr>
          <w:rFonts w:ascii="Calibri" w:cs="Calibri" w:eastAsia="Calibri" w:hAnsi="Calibri"/>
          <w:b/>
          <w:bCs/>
          <w:color w:val="9C2A2A"/>
          <w:sz w:val="21"/>
          <w:szCs w:val="21"/>
        </w:rPr>
        <w:t xml:space="preserve">Severity: HIGH (security, not correctness)</w:t>
      </w:r>
    </w:p>
    <w:p>
      <w:pPr>
        <w:spacing w:after="120" w:before="0" w:line="276"/>
      </w:pPr>
      <w:r>
        <w:rPr>
          <w:rFonts w:ascii="Calibri" w:cs="Calibri" w:eastAsia="Calibri" w:hAnsi="Calibri"/>
          <w:sz w:val="21"/>
          <w:szCs w:val="21"/>
        </w:rPr>
        <w:t xml:space="preserve">Four distinct Hugging Face access tokens appear in plaintext across more than twenty notebooks and scripts, including the main slide-classification notebook. A .env file with an HF_TOKEN entry already exists and is correctly gitignored, so the mechanism is in place, it simply is not being used.</w:t>
      </w:r>
    </w:p>
    <w:p>
      <w:pPr>
        <w:spacing w:after="120" w:before="0" w:line="276"/>
      </w:pPr>
      <w:r>
        <w:rPr>
          <w:rFonts w:ascii="Calibri" w:cs="Calibri" w:eastAsia="Calibri" w:hAnsi="Calibri"/>
          <w:b/>
          <w:bCs/>
          <w:sz w:val="21"/>
          <w:szCs w:val="21"/>
        </w:rPr>
        <w:t xml:space="preserve">Fix: </w:t>
      </w:r>
      <w:r>
        <w:rPr>
          <w:rFonts w:ascii="Calibri" w:cs="Calibri" w:eastAsia="Calibri" w:hAnsi="Calibri"/>
          <w:sz w:val="21"/>
          <w:szCs w:val="21"/>
        </w:rPr>
        <w:t xml:space="preserve">revoke all four tokens on huggingface.co, issue one replacement, and replace every hardcoded call with a read from the environment. Note that notebook outputs and Git history may retain the tokens even after the source is cleaned.</w:t>
      </w:r>
    </w:p>
    <w:p>
      <w:pPr>
        <w:pStyle w:val="Heading2"/>
        <w:spacing w:after="120" w:before="260"/>
      </w:pPr>
      <w:r>
        <w:rPr>
          <w:rFonts w:ascii="Calibri" w:cs="Calibri" w:eastAsia="Calibri" w:hAnsi="Calibri"/>
          <w:b/>
          <w:bCs/>
          <w:color w:val="1F4E79"/>
          <w:sz w:val="24"/>
          <w:szCs w:val="24"/>
        </w:rPr>
        <w:t xml:space="preserve">Issue 7 - Almost the entire project is outside version control</w:t>
      </w:r>
    </w:p>
    <w:p>
      <w:pPr>
        <w:spacing w:after="120" w:before="0" w:line="276"/>
      </w:pPr>
      <w:r>
        <w:rPr>
          <w:rFonts w:ascii="Calibri" w:cs="Calibri" w:eastAsia="Calibri" w:hAnsi="Calibri"/>
          <w:b/>
          <w:bCs/>
          <w:color w:val="9C2A2A"/>
          <w:sz w:val="21"/>
          <w:szCs w:val="21"/>
        </w:rPr>
        <w:t xml:space="preserve">Severity: HIGH (operational risk)</w:t>
      </w:r>
    </w:p>
    <w:p>
      <w:pPr>
        <w:spacing w:after="120" w:before="0" w:line="276"/>
      </w:pPr>
      <w:r>
        <w:rPr>
          <w:rFonts w:ascii="Calibri" w:cs="Calibri" w:eastAsia="Calibri" w:hAnsi="Calibri"/>
          <w:sz w:val="21"/>
          <w:szCs w:val="21"/>
        </w:rPr>
        <w:t xml:space="preserve">The last commit is trained svm model for cleaning, which predates essentially all of the current work. Five of the eight top-level directories, namely Analysis_and_Visualization, Complete_Pipeline, TissueClassifier_CRC100K, and the whole of slide_aggregation and slide_classification, are untracked. Several tracked files show uncommitted modifications, and a number of notebooks are marked deleted.</w:t>
      </w:r>
    </w:p>
    <w:p>
      <w:pPr>
        <w:spacing w:after="120" w:before="0" w:line="276"/>
      </w:pPr>
      <w:r>
        <w:rPr>
          <w:rFonts w:ascii="Calibri" w:cs="Calibri" w:eastAsia="Calibri" w:hAnsi="Calibri"/>
          <w:sz w:val="21"/>
          <w:szCs w:val="21"/>
        </w:rPr>
        <w:t xml:space="preserve">Every experiment, every result and every trained model in this project currently exists in exactly one place, with no history. Given the compute already invested, this is the highest-expected-cost item in this document even though it has nothing to do with methodology.</w:t>
      </w:r>
    </w:p>
    <w:p>
      <w:pPr>
        <w:spacing w:after="120" w:before="0" w:line="276"/>
      </w:pPr>
      <w:r>
        <w:rPr>
          <w:rFonts w:ascii="Calibri" w:cs="Calibri" w:eastAsia="Calibri" w:hAnsi="Calibri"/>
          <w:b/>
          <w:bCs/>
          <w:sz w:val="21"/>
          <w:szCs w:val="21"/>
        </w:rPr>
        <w:t xml:space="preserve">Fix: </w:t>
      </w:r>
      <w:r>
        <w:rPr>
          <w:rFonts w:ascii="Calibri" w:cs="Calibri" w:eastAsia="Calibri" w:hAnsi="Calibri"/>
          <w:sz w:val="21"/>
          <w:szCs w:val="21"/>
        </w:rPr>
        <w:t xml:space="preserve">commit the code and result spreadsheets now, with a .gitignore covering the large binaries such as .pt, .pth, .pkl and patch images. Do this before the token cleanup in Issue 6, so that the cleanup itself is recoverable.</w:t>
      </w:r>
    </w:p>
    <w:p>
      <w:r>
        <w:br w:type="page"/>
      </w:r>
    </w:p>
    <w:p>
      <w:pPr>
        <w:pStyle w:val="Heading2"/>
        <w:spacing w:after="120" w:before="260"/>
      </w:pPr>
      <w:r>
        <w:rPr>
          <w:rFonts w:ascii="Calibri" w:cs="Calibri" w:eastAsia="Calibri" w:hAnsi="Calibri"/>
          <w:b/>
          <w:bCs/>
          <w:color w:val="1F4E79"/>
          <w:sz w:val="24"/>
          <w:szCs w:val="24"/>
        </w:rPr>
        <w:t xml:space="preserve">Issue 8 - Stale standalone external-validation script</w:t>
      </w:r>
    </w:p>
    <w:p>
      <w:pPr>
        <w:spacing w:after="120" w:before="0" w:line="276"/>
      </w:pPr>
      <w:r>
        <w:rPr>
          <w:rFonts w:ascii="Calibri" w:cs="Calibri" w:eastAsia="Calibri" w:hAnsi="Calibri"/>
          <w:b/>
          <w:bCs/>
          <w:color w:val="9A6700"/>
          <w:sz w:val="21"/>
          <w:szCs w:val="21"/>
        </w:rPr>
        <w:t xml:space="preserve">Severity: MEDIUM (latent)</w:t>
      </w:r>
    </w:p>
    <w:p>
      <w:pPr>
        <w:spacing w:after="120" w:before="0" w:line="276"/>
      </w:pPr>
      <w:r>
        <w:rPr>
          <w:rFonts w:ascii="Calibri" w:cs="Calibri" w:eastAsia="Calibri" w:hAnsi="Calibri"/>
          <w:sz w:val="21"/>
          <w:szCs w:val="21"/>
        </w:rPr>
        <w:t xml:space="preserve">external_validation_script.py hardcodes the ANN architecture as hidden dimensions 256 and 64. The checkpoints on disk are 256 and 128, so this script would fail with a shape mismatch if run today. The equivalent cell inside Slide_Classification.ipynb reads the dimensions out of the state dictionary and is correct, and it is the notebook version that produced the current results.</w:t>
      </w:r>
    </w:p>
    <w:p>
      <w:pPr>
        <w:spacing w:after="120" w:before="0" w:line="276"/>
      </w:pPr>
      <w:r>
        <w:rPr>
          <w:rFonts w:ascii="Calibri" w:cs="Calibri" w:eastAsia="Calibri" w:hAnsi="Calibri"/>
          <w:sz w:val="21"/>
          <w:szCs w:val="21"/>
        </w:rPr>
        <w:t xml:space="preserve">So the results are fine; the script is a landmine for whoever runs it next. Either delete it or port the architecture-inference logic across.</w:t>
      </w:r>
    </w:p>
    <w:p>
      <w:pPr>
        <w:pStyle w:val="Heading2"/>
        <w:spacing w:after="120" w:before="260"/>
      </w:pPr>
      <w:r>
        <w:rPr>
          <w:rFonts w:ascii="Calibri" w:cs="Calibri" w:eastAsia="Calibri" w:hAnsi="Calibri"/>
          <w:b/>
          <w:bCs/>
          <w:color w:val="1F4E79"/>
          <w:sz w:val="24"/>
          <w:szCs w:val="24"/>
        </w:rPr>
        <w:t xml:space="preserve">Issue 9 - Tissue classifier metrics are unattributed</w:t>
      </w:r>
    </w:p>
    <w:p>
      <w:pPr>
        <w:spacing w:after="120" w:before="0" w:line="276"/>
      </w:pPr>
      <w:r>
        <w:rPr>
          <w:rFonts w:ascii="Calibri" w:cs="Calibri" w:eastAsia="Calibri" w:hAnsi="Calibri"/>
          <w:b/>
          <w:bCs/>
          <w:color w:val="9A6700"/>
          <w:sz w:val="21"/>
          <w:szCs w:val="21"/>
        </w:rPr>
        <w:t xml:space="preserve">Severity: MEDIUM</w:t>
      </w:r>
    </w:p>
    <w:p>
      <w:pPr>
        <w:spacing w:after="120" w:before="0" w:line="276"/>
      </w:pPr>
      <w:r>
        <w:rPr>
          <w:rFonts w:ascii="Calibri" w:cs="Calibri" w:eastAsia="Calibri" w:hAnsi="Calibri"/>
          <w:sz w:val="21"/>
          <w:szCs w:val="21"/>
        </w:rPr>
        <w:t xml:space="preserve">model_metrics/eval_metrics.csv contains a single unlabelled row: accuracy 0.701, balanced accuracy 0.675, macro F1 0.639, macro AUROC 0.948. There are nine trained tissue classifiers and no column identifying which one this refers to.</w:t>
      </w:r>
    </w:p>
    <w:p>
      <w:pPr>
        <w:spacing w:after="120" w:before="0" w:line="276"/>
      </w:pPr>
      <w:r>
        <w:rPr>
          <w:rFonts w:ascii="Calibri" w:cs="Calibri" w:eastAsia="Calibri" w:hAnsi="Calibri"/>
          <w:sz w:val="21"/>
          <w:szCs w:val="21"/>
        </w:rPr>
        <w:t xml:space="preserve">That matters because tissue-type clustering is one of the headline aggregation methods and it depends entirely on this classifier. An accuracy of 0.70 is also low for CRC-VAL-HE-7K, where foundation-model features usually exceed 0.90, although the very high AUROC of 0.948 suggests the ranking is strong and the issue may be threshold or class-imbalance related rather than representational.</w:t>
      </w:r>
    </w:p>
    <w:p>
      <w:pPr>
        <w:spacing w:after="120" w:before="0" w:line="276"/>
      </w:pPr>
      <w:r>
        <w:rPr>
          <w:rFonts w:ascii="Calibri" w:cs="Calibri" w:eastAsia="Calibri" w:hAnsi="Calibri"/>
          <w:b/>
          <w:bCs/>
          <w:sz w:val="21"/>
          <w:szCs w:val="21"/>
        </w:rPr>
        <w:t xml:space="preserve">Recommended: </w:t>
      </w:r>
      <w:r>
        <w:rPr>
          <w:rFonts w:ascii="Calibri" w:cs="Calibri" w:eastAsia="Calibri" w:hAnsi="Calibri"/>
          <w:sz w:val="21"/>
          <w:szCs w:val="21"/>
        </w:rPr>
        <w:t xml:space="preserve">regenerate this file with one row per model and a model-name column. If 0.70 turns out to be the classifier actually used in production, that is worth investigating on its own, because the quality of tissue assignment sets a ceiling on what tissue-type aggregation can achieve.</w:t>
      </w:r>
    </w:p>
    <w:p>
      <w:pPr>
        <w:pStyle w:val="Heading2"/>
        <w:spacing w:after="120" w:before="260"/>
      </w:pPr>
      <w:r>
        <w:rPr>
          <w:rFonts w:ascii="Calibri" w:cs="Calibri" w:eastAsia="Calibri" w:hAnsi="Calibri"/>
          <w:b/>
          <w:bCs/>
          <w:color w:val="1F4E79"/>
          <w:sz w:val="24"/>
          <w:szCs w:val="24"/>
        </w:rPr>
        <w:t xml:space="preserve">Issue 10 - Minor observations</w:t>
      </w:r>
    </w:p>
    <w:p>
      <w:pPr>
        <w:pStyle w:val="ListParagraph"/>
        <w:numPr>
          <w:ilvl w:val="0"/>
          <w:numId w:val="2"/>
        </w:numPr>
        <w:spacing w:after="70" w:line="276"/>
      </w:pPr>
      <w:r>
        <w:rPr>
          <w:rFonts w:ascii="Calibri" w:cs="Calibri" w:eastAsia="Calibri" w:hAnsi="Calibri"/>
          <w:sz w:val="21"/>
          <w:szCs w:val="21"/>
        </w:rPr>
        <w:t xml:space="preserve">The validation fold is merged into training for logistic regression, kNN, prototypical network and random forest, since combine_trainval defaults to true. Only the ANN uses it as a genuine validation set for early stopping. Not wrong, but validation fold means two different things depending on the classifier.</w:t>
      </w:r>
    </w:p>
    <w:p>
      <w:pPr>
        <w:pStyle w:val="ListParagraph"/>
        <w:numPr>
          <w:ilvl w:val="0"/>
          <w:numId w:val="2"/>
        </w:numPr>
        <w:spacing w:after="70" w:line="276"/>
      </w:pPr>
      <w:r>
        <w:rPr>
          <w:rFonts w:ascii="Calibri" w:cs="Calibri" w:eastAsia="Calibri" w:hAnsi="Calibri"/>
          <w:sz w:val="21"/>
          <w:szCs w:val="21"/>
        </w:rPr>
        <w:t xml:space="preserve">dataloader.py is dead code. It is imported nowhere, contains stale Windows paths that no longer resolve, and derives MSI labels from filename substrings rather than the label CSV. Safe to delete.</w:t>
      </w:r>
    </w:p>
    <w:p>
      <w:pPr>
        <w:pStyle w:val="ListParagraph"/>
        <w:numPr>
          <w:ilvl w:val="0"/>
          <w:numId w:val="2"/>
        </w:numPr>
        <w:spacing w:after="70" w:line="276"/>
      </w:pPr>
      <w:r>
        <w:rPr>
          <w:rFonts w:ascii="Calibri" w:cs="Calibri" w:eastAsia="Calibri" w:hAnsi="Calibri"/>
          <w:sz w:val="21"/>
          <w:szCs w:val="21"/>
        </w:rPr>
        <w:t xml:space="preserve">plot_surgen_ttc_results.py reads from a remote Linux path that does not exist locally, and expects filenames produced by a different SurGen script than the one whose output is in the repository.</w:t>
      </w:r>
    </w:p>
    <w:p>
      <w:pPr>
        <w:pStyle w:val="ListParagraph"/>
        <w:numPr>
          <w:ilvl w:val="0"/>
          <w:numId w:val="2"/>
        </w:numPr>
        <w:spacing w:after="70" w:line="276"/>
      </w:pPr>
      <w:r>
        <w:rPr>
          <w:rFonts w:ascii="Calibri" w:cs="Calibri" w:eastAsia="Calibri" w:hAnsi="Calibri"/>
          <w:sz w:val="21"/>
          <w:szCs w:val="21"/>
        </w:rPr>
        <w:t xml:space="preserve">Folds are numbered 1 to 4 in the CSV and reported as Fold1 to Fold4, but checkpoints are saved as fold0 to fold3. Consistent, but easy to misread when matching a checkpoint to a reported number.</w:t>
      </w:r>
    </w:p>
    <w:p>
      <w:pPr>
        <w:pStyle w:val="ListParagraph"/>
        <w:numPr>
          <w:ilvl w:val="0"/>
          <w:numId w:val="2"/>
        </w:numPr>
        <w:spacing w:after="70" w:line="276"/>
      </w:pPr>
      <w:r>
        <w:rPr>
          <w:rFonts w:ascii="Calibri" w:cs="Calibri" w:eastAsia="Calibri" w:hAnsi="Calibri"/>
          <w:sz w:val="21"/>
          <w:szCs w:val="21"/>
        </w:rPr>
        <w:t xml:space="preserve">Several notebooks contain sections whose markdown headings do not match the cohort their code paths point at. One section labelled TCGA loads PAIP data. Cosmetic, but a real trap when returning to this code later.</w:t>
      </w:r>
    </w:p>
    <w:p>
      <w:r>
        <w:br w:type="page"/>
      </w:r>
    </w:p>
    <w:p>
      <w:pPr>
        <w:pStyle w:val="Heading1"/>
        <w:spacing w:after="160" w:before="360"/>
      </w:pPr>
      <w:r>
        <w:rPr>
          <w:rFonts w:ascii="Calibri" w:cs="Calibri" w:eastAsia="Calibri" w:hAnsi="Calibri"/>
          <w:b/>
          <w:bCs/>
          <w:color w:val="1F4E79"/>
          <w:sz w:val="30"/>
          <w:szCs w:val="30"/>
        </w:rPr>
        <w:t xml:space="preserve">10.  Suggested order of work</w:t>
      </w:r>
    </w:p>
    <w:p>
      <w:pPr>
        <w:spacing w:after="120" w:before="0" w:line="276"/>
      </w:pPr>
      <w:r>
        <w:rPr>
          <w:rFonts w:ascii="Calibri" w:cs="Calibri" w:eastAsia="Calibri" w:hAnsi="Calibri"/>
          <w:sz w:val="21"/>
          <w:szCs w:val="21"/>
        </w:rPr>
        <w:t xml:space="preserve">If you want a sequence, this is the one I would follow. The first two are cheap and protective; the rest are ordered by effect on your conclusions.</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600"/>
        <w:gridCol w:w="4200"/>
        <w:gridCol w:w="1600"/>
        <w:gridCol w:w="2960"/>
      </w:tblGrid>
      <w:tr>
        <w:trPr>
          <w:tblHeader/>
        </w:trPr>
        <w:tc>
          <w:tcPr>
            <w:tcW w:type="dxa" w:w="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42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Action</w:t>
            </w:r>
          </w:p>
        </w:tc>
        <w:tc>
          <w:tcPr>
            <w:tcW w:type="dxa" w:w="1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Effort</w:t>
            </w:r>
          </w:p>
        </w:tc>
        <w:tc>
          <w:tcPr>
            <w:tcW w:type="dxa" w:w="29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Why now</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4200"/>
            <w:tcMar>
              <w:top w:type="dxa" w:w="70"/>
              <w:left w:type="dxa" w:w="110"/>
              <w:bottom w:type="dxa" w:w="70"/>
              <w:right w:type="dxa" w:w="110"/>
            </w:tcMar>
          </w:tcPr>
          <w:p>
            <w:pPr>
              <w:spacing w:after="0" w:line="250"/>
            </w:pPr>
            <w:r>
              <w:rPr>
                <w:rFonts w:ascii="Calibri" w:cs="Calibri" w:eastAsia="Calibri" w:hAnsi="Calibri"/>
                <w:sz w:val="19"/>
                <w:szCs w:val="19"/>
              </w:rPr>
              <w:t xml:space="preserve">Commit everything to Git with a binary-aware .gitignore</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1 hour</w:t>
            </w:r>
          </w:p>
        </w:tc>
        <w:tc>
          <w:tcPr>
            <w:tcW w:type="dxa" w:w="2960"/>
            <w:tcMar>
              <w:top w:type="dxa" w:w="70"/>
              <w:left w:type="dxa" w:w="110"/>
              <w:bottom w:type="dxa" w:w="70"/>
              <w:right w:type="dxa" w:w="110"/>
            </w:tcMar>
          </w:tcPr>
          <w:p>
            <w:pPr>
              <w:spacing w:after="0" w:line="250"/>
            </w:pPr>
            <w:r>
              <w:rPr>
                <w:rFonts w:ascii="Calibri" w:cs="Calibri" w:eastAsia="Calibri" w:hAnsi="Calibri"/>
                <w:sz w:val="19"/>
                <w:szCs w:val="19"/>
              </w:rPr>
              <w:t xml:space="preserve">Protects months of compute and makes everything below reversible</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w:t>
            </w:r>
          </w:p>
        </w:tc>
        <w:tc>
          <w:tcPr>
            <w:tcW w:type="dxa" w:w="4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Revoke and replace the four exposed HF tokens</w:t>
            </w:r>
          </w:p>
        </w:tc>
        <w:tc>
          <w:tcPr>
            <w:tcW w:type="dxa" w:w="1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30 min</w:t>
            </w:r>
          </w:p>
        </w:tc>
        <w:tc>
          <w:tcPr>
            <w:tcW w:type="dxa" w:w="29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The security exposure is live</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3</w:t>
            </w:r>
          </w:p>
        </w:tc>
        <w:tc>
          <w:tcPr>
            <w:tcW w:type="dxa" w:w="4200"/>
            <w:tcMar>
              <w:top w:type="dxa" w:w="70"/>
              <w:left w:type="dxa" w:w="110"/>
              <w:bottom w:type="dxa" w:w="70"/>
              <w:right w:type="dxa" w:w="110"/>
            </w:tcMar>
          </w:tcPr>
          <w:p>
            <w:pPr>
              <w:spacing w:after="0" w:line="250"/>
            </w:pPr>
            <w:r>
              <w:rPr>
                <w:rFonts w:ascii="Calibri" w:cs="Calibri" w:eastAsia="Calibri" w:hAnsi="Calibri"/>
                <w:sz w:val="19"/>
                <w:szCs w:val="19"/>
              </w:rPr>
              <w:t xml:space="preserve">Rebuild SurGen folds at case level</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2 hours</w:t>
            </w:r>
          </w:p>
        </w:tc>
        <w:tc>
          <w:tcPr>
            <w:tcW w:type="dxa" w:w="2960"/>
            <w:tcMar>
              <w:top w:type="dxa" w:w="70"/>
              <w:left w:type="dxa" w:w="110"/>
              <w:bottom w:type="dxa" w:w="70"/>
              <w:right w:type="dxa" w:w="110"/>
            </w:tcMar>
          </w:tcPr>
          <w:p>
            <w:pPr>
              <w:spacing w:after="0" w:line="250"/>
            </w:pPr>
            <w:r>
              <w:rPr>
                <w:rFonts w:ascii="Calibri" w:cs="Calibri" w:eastAsia="Calibri" w:hAnsi="Calibri"/>
                <w:sz w:val="19"/>
                <w:szCs w:val="19"/>
              </w:rPr>
              <w:t xml:space="preserve">Removes leakage from every SurGen number</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w:t>
            </w:r>
          </w:p>
        </w:tc>
        <w:tc>
          <w:tcPr>
            <w:tcW w:type="dxa" w:w="4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Select ANN hyperparameters on the validation fold</w:t>
            </w:r>
          </w:p>
        </w:tc>
        <w:tc>
          <w:tcPr>
            <w:tcW w:type="dxa" w:w="1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 hours</w:t>
            </w:r>
          </w:p>
        </w:tc>
        <w:tc>
          <w:tcPr>
            <w:tcW w:type="dxa" w:w="29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Makes ANN metrics honest; requires re-running ANN results</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5</w:t>
            </w:r>
          </w:p>
        </w:tc>
        <w:tc>
          <w:tcPr>
            <w:tcW w:type="dxa" w:w="4200"/>
            <w:tcMar>
              <w:top w:type="dxa" w:w="70"/>
              <w:left w:type="dxa" w:w="110"/>
              <w:bottom w:type="dxa" w:w="70"/>
              <w:right w:type="dxa" w:w="110"/>
            </w:tcMar>
          </w:tcPr>
          <w:p>
            <w:pPr>
              <w:spacing w:after="0" w:line="250"/>
            </w:pPr>
            <w:r>
              <w:rPr>
                <w:rFonts w:ascii="Calibri" w:cs="Calibri" w:eastAsia="Calibri" w:hAnsi="Calibri"/>
                <w:sz w:val="19"/>
                <w:szCs w:val="19"/>
              </w:rPr>
              <w:t xml:space="preserve">Save the best ANN checkpoint, not the last</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1 hour</w:t>
            </w:r>
          </w:p>
        </w:tc>
        <w:tc>
          <w:tcPr>
            <w:tcW w:type="dxa" w:w="2960"/>
            <w:tcMar>
              <w:top w:type="dxa" w:w="70"/>
              <w:left w:type="dxa" w:w="110"/>
              <w:bottom w:type="dxa" w:w="70"/>
              <w:right w:type="dxa" w:w="110"/>
            </w:tcMar>
          </w:tcPr>
          <w:p>
            <w:pPr>
              <w:spacing w:after="0" w:line="250"/>
            </w:pPr>
            <w:r>
              <w:rPr>
                <w:rFonts w:ascii="Calibri" w:cs="Calibri" w:eastAsia="Calibri" w:hAnsi="Calibri"/>
                <w:sz w:val="19"/>
                <w:szCs w:val="19"/>
              </w:rPr>
              <w:t xml:space="preserve">Aligns external validation with reported internal metrics</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w:t>
            </w:r>
          </w:p>
        </w:tc>
        <w:tc>
          <w:tcPr>
            <w:tcW w:type="dxa" w:w="4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Add a loud assertion for labelled-but-missing features</w:t>
            </w:r>
          </w:p>
        </w:tc>
        <w:tc>
          <w:tcPr>
            <w:tcW w:type="dxa" w:w="1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30 min</w:t>
            </w:r>
          </w:p>
        </w:tc>
        <w:tc>
          <w:tcPr>
            <w:tcW w:type="dxa" w:w="29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Locks in correct reported sample sizes</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7</w:t>
            </w:r>
          </w:p>
        </w:tc>
        <w:tc>
          <w:tcPr>
            <w:tcW w:type="dxa" w:w="4200"/>
            <w:tcMar>
              <w:top w:type="dxa" w:w="70"/>
              <w:left w:type="dxa" w:w="110"/>
              <w:bottom w:type="dxa" w:w="70"/>
              <w:right w:type="dxa" w:w="110"/>
            </w:tcMar>
          </w:tcPr>
          <w:p>
            <w:pPr>
              <w:spacing w:after="0" w:line="250"/>
            </w:pPr>
            <w:r>
              <w:rPr>
                <w:rFonts w:ascii="Calibri" w:cs="Calibri" w:eastAsia="Calibri" w:hAnsi="Calibri"/>
                <w:sz w:val="19"/>
                <w:szCs w:val="19"/>
              </w:rPr>
              <w:t xml:space="preserve">Attribute the CRC100K metrics to specific models</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1 hour</w:t>
            </w:r>
          </w:p>
        </w:tc>
        <w:tc>
          <w:tcPr>
            <w:tcW w:type="dxa" w:w="2960"/>
            <w:tcMar>
              <w:top w:type="dxa" w:w="70"/>
              <w:left w:type="dxa" w:w="110"/>
              <w:bottom w:type="dxa" w:w="70"/>
              <w:right w:type="dxa" w:w="110"/>
            </w:tcMar>
          </w:tcPr>
          <w:p>
            <w:pPr>
              <w:spacing w:after="0" w:line="250"/>
            </w:pPr>
            <w:r>
              <w:rPr>
                <w:rFonts w:ascii="Calibri" w:cs="Calibri" w:eastAsia="Calibri" w:hAnsi="Calibri"/>
                <w:sz w:val="19"/>
                <w:szCs w:val="19"/>
              </w:rPr>
              <w:t xml:space="preserve">Confirms the tissue classifier is good enough to build on</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8</w:t>
            </w:r>
          </w:p>
        </w:tc>
        <w:tc>
          <w:tcPr>
            <w:tcW w:type="dxa" w:w="42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Remove the double softmax and re-run ANN</w:t>
            </w:r>
          </w:p>
        </w:tc>
        <w:tc>
          <w:tcPr>
            <w:tcW w:type="dxa" w:w="1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1 day</w:t>
            </w:r>
          </w:p>
        </w:tc>
        <w:tc>
          <w:tcPr>
            <w:tcW w:type="dxa" w:w="29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Likely improves ANN results; touches all checkpoints</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9</w:t>
            </w:r>
          </w:p>
        </w:tc>
        <w:tc>
          <w:tcPr>
            <w:tcW w:type="dxa" w:w="4200"/>
            <w:tcMar>
              <w:top w:type="dxa" w:w="70"/>
              <w:left w:type="dxa" w:w="110"/>
              <w:bottom w:type="dxa" w:w="70"/>
              <w:right w:type="dxa" w:w="110"/>
            </w:tcMar>
          </w:tcPr>
          <w:p>
            <w:pPr>
              <w:spacing w:after="0" w:line="250"/>
            </w:pPr>
            <w:r>
              <w:rPr>
                <w:rFonts w:ascii="Calibri" w:cs="Calibri" w:eastAsia="Calibri" w:hAnsi="Calibri"/>
                <w:sz w:val="19"/>
                <w:szCs w:val="19"/>
              </w:rPr>
              <w:t xml:space="preserve">Run TCGA to SurGen external validation</w:t>
            </w:r>
          </w:p>
        </w:tc>
        <w:tc>
          <w:tcPr>
            <w:tcW w:type="dxa" w:w="1600"/>
            <w:tcMar>
              <w:top w:type="dxa" w:w="70"/>
              <w:left w:type="dxa" w:w="110"/>
              <w:bottom w:type="dxa" w:w="70"/>
              <w:right w:type="dxa" w:w="110"/>
            </w:tcMar>
          </w:tcPr>
          <w:p>
            <w:pPr>
              <w:spacing w:after="0" w:line="250"/>
            </w:pPr>
            <w:r>
              <w:rPr>
                <w:rFonts w:ascii="Calibri" w:cs="Calibri" w:eastAsia="Calibri" w:hAnsi="Calibri"/>
                <w:sz w:val="19"/>
                <w:szCs w:val="19"/>
              </w:rPr>
              <w:t xml:space="preserve">1 day</w:t>
            </w:r>
          </w:p>
        </w:tc>
        <w:tc>
          <w:tcPr>
            <w:tcW w:type="dxa" w:w="2960"/>
            <w:tcMar>
              <w:top w:type="dxa" w:w="70"/>
              <w:left w:type="dxa" w:w="110"/>
              <w:bottom w:type="dxa" w:w="70"/>
              <w:right w:type="dxa" w:w="110"/>
            </w:tcMar>
          </w:tcPr>
          <w:p>
            <w:pPr>
              <w:spacing w:after="0" w:line="250"/>
            </w:pPr>
            <w:r>
              <w:rPr>
                <w:rFonts w:ascii="Calibri" w:cs="Calibri" w:eastAsia="Calibri" w:hAnsi="Calibri"/>
                <w:sz w:val="19"/>
                <w:szCs w:val="19"/>
              </w:rPr>
              <w:t xml:space="preserve">Turns an unused cohort into a second generalisation result</w:t>
            </w:r>
          </w:p>
        </w:tc>
      </w:tr>
    </w:tbl>
    <w:tbl>
      <w:tblPr>
        <w:tblW w:type="dxa" w:w="9360"/>
        <w:tblBorders>
          <w:top w:val="single" w:color="1F4E79" w:sz="2"/>
          <w:left w:val="single" w:color="1F4E79" w:sz="18"/>
          <w:bottom w:val="single" w:color="1F4E79" w:sz="2"/>
          <w:right w:val="single" w:color="1F4E79" w:sz="2"/>
          <w:insideH w:val="none"/>
          <w:insideV w:val="none"/>
        </w:tblBorders>
      </w:tblPr>
      <w:tblGrid>
        <w:gridCol w:w="9360"/>
      </w:tblGrid>
      <w:tr>
        <w:tc>
          <w:tcPr>
            <w:tcW w:type="dxa" w:w="9360"/>
            <w:shd w:fill="FAFAFA" w:color="auto" w:val="clear"/>
            <w:tcMar>
              <w:top w:type="dxa" w:w="130"/>
              <w:left w:type="dxa" w:w="170"/>
              <w:bottom w:type="dxa" w:w="130"/>
              <w:right w:type="dxa" w:w="150"/>
            </w:tcMar>
          </w:tcPr>
          <w:p>
            <w:pPr>
              <w:spacing w:after="60"/>
            </w:pPr>
            <w:r>
              <w:rPr>
                <w:rFonts w:ascii="Calibri" w:cs="Calibri" w:eastAsia="Calibri" w:hAnsi="Calibri"/>
                <w:b/>
                <w:bCs/>
                <w:color w:val="1F4E79"/>
                <w:sz w:val="21"/>
                <w:szCs w:val="21"/>
              </w:rPr>
              <w:t xml:space="preserve">The one that would most strengthen the work</w:t>
            </w:r>
          </w:p>
          <w:p>
            <w:pPr>
              <w:spacing w:after="60" w:line="270"/>
            </w:pPr>
            <w:r>
              <w:rPr>
                <w:rFonts w:ascii="Calibri" w:cs="Calibri" w:eastAsia="Calibri" w:hAnsi="Calibri"/>
                <w:sz w:val="20"/>
                <w:szCs w:val="20"/>
              </w:rPr>
              <w:t xml:space="preserve">Item 9. You currently have one external validation on 73 slides. SurGen offers 624 slides from 554 patients at a harder 9.6 percent prevalence, and the features are already extracted. Running TCGA-trained models against SurGen would take about a day and would move the study from one external cohort to two, with the second substantially larger and more challenging than the first.</w:t>
            </w:r>
          </w:p>
        </w:tc>
      </w:tr>
    </w:tbl>
    <w:p>
      <w:pPr>
        <w:pStyle w:val="Heading1"/>
        <w:spacing w:after="160" w:before="360"/>
      </w:pPr>
      <w:r>
        <w:rPr>
          <w:rFonts w:ascii="Calibri" w:cs="Calibri" w:eastAsia="Calibri" w:hAnsi="Calibri"/>
          <w:b/>
          <w:bCs/>
          <w:color w:val="1F4E79"/>
          <w:sz w:val="30"/>
          <w:szCs w:val="30"/>
        </w:rPr>
        <w:t xml:space="preserve">11.  Open questions for you</w:t>
      </w:r>
    </w:p>
    <w:p>
      <w:pPr>
        <w:spacing w:after="120" w:before="0" w:line="276"/>
      </w:pPr>
      <w:r>
        <w:rPr>
          <w:rFonts w:ascii="Calibri" w:cs="Calibri" w:eastAsia="Calibri" w:hAnsi="Calibri"/>
          <w:sz w:val="21"/>
          <w:szCs w:val="21"/>
        </w:rPr>
        <w:t xml:space="preserve">These are things I could not determine from the files, and where my understanding could be wrong. Correcting me here will make everything downstream more reliable.</w:t>
      </w:r>
    </w:p>
    <w:tbl>
      <w:tblPr>
        <w:tblW w:type="dxa" w:w="9360"/>
        <w:tblBorders>
          <w:top w:val="single" w:color="BFCEDE" w:sz="2"/>
          <w:left w:val="single" w:color="BFCEDE" w:sz="2"/>
          <w:bottom w:val="single" w:color="BFCEDE" w:sz="2"/>
          <w:right w:val="single" w:color="BFCEDE" w:sz="2"/>
          <w:insideH w:val="single" w:color="D8E1EC" w:sz="1"/>
          <w:insideV w:val="single" w:color="D8E1EC" w:sz="1"/>
        </w:tblBorders>
      </w:tblPr>
      <w:tblGrid>
        <w:gridCol w:w="600"/>
        <w:gridCol w:w="5600"/>
        <w:gridCol w:w="3160"/>
      </w:tblGrid>
      <w:tr>
        <w:trPr>
          <w:tblHeader/>
        </w:trPr>
        <w:tc>
          <w:tcPr>
            <w:tcW w:type="dxa" w:w="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560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Question</w:t>
            </w:r>
          </w:p>
        </w:tc>
        <w:tc>
          <w:tcPr>
            <w:tcW w:type="dxa" w:w="3160"/>
            <w:shd w:fill="1F4E79"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Why it matters</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5600"/>
            <w:tcMar>
              <w:top w:type="dxa" w:w="70"/>
              <w:left w:type="dxa" w:w="110"/>
              <w:bottom w:type="dxa" w:w="70"/>
              <w:right w:type="dxa" w:w="110"/>
            </w:tcMar>
          </w:tcPr>
          <w:p>
            <w:pPr>
              <w:spacing w:after="0" w:line="250"/>
            </w:pPr>
            <w:r>
              <w:rPr>
                <w:rFonts w:ascii="Calibri" w:cs="Calibri" w:eastAsia="Calibri" w:hAnsi="Calibri"/>
                <w:sz w:val="19"/>
                <w:szCs w:val="19"/>
              </w:rPr>
              <w:t xml:space="preserve">Is the intended headline claim that semantic aggregation beats plain averaging, or that a particular foundation model wins?</w:t>
            </w:r>
          </w:p>
        </w:tc>
        <w:tc>
          <w:tcPr>
            <w:tcW w:type="dxa" w:w="3160"/>
            <w:tcMar>
              <w:top w:type="dxa" w:w="70"/>
              <w:left w:type="dxa" w:w="110"/>
              <w:bottom w:type="dxa" w:w="70"/>
              <w:right w:type="dxa" w:w="110"/>
            </w:tcMar>
          </w:tcPr>
          <w:p>
            <w:pPr>
              <w:spacing w:after="0" w:line="250"/>
            </w:pPr>
            <w:r>
              <w:rPr>
                <w:rFonts w:ascii="Calibri" w:cs="Calibri" w:eastAsia="Calibri" w:hAnsi="Calibri"/>
                <w:sz w:val="19"/>
                <w:szCs w:val="19"/>
              </w:rPr>
              <w:t xml:space="preserve">Determines which comparison is primary and how results should be presented</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w:t>
            </w:r>
          </w:p>
        </w:tc>
        <w:tc>
          <w:tcPr>
            <w:tcW w:type="dxa" w:w="5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Is SurGen deliberately internal-CV-only, or is TCGA to SurGen external validation still planned?</w:t>
            </w:r>
          </w:p>
        </w:tc>
        <w:tc>
          <w:tcPr>
            <w:tcW w:type="dxa" w:w="3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Changes whether item 9 above is a gap or a decision</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3</w:t>
            </w:r>
          </w:p>
        </w:tc>
        <w:tc>
          <w:tcPr>
            <w:tcW w:type="dxa" w:w="5600"/>
            <w:tcMar>
              <w:top w:type="dxa" w:w="70"/>
              <w:left w:type="dxa" w:w="110"/>
              <w:bottom w:type="dxa" w:w="70"/>
              <w:right w:type="dxa" w:w="110"/>
            </w:tcMar>
          </w:tcPr>
          <w:p>
            <w:pPr>
              <w:spacing w:after="0" w:line="250"/>
            </w:pPr>
            <w:r>
              <w:rPr>
                <w:rFonts w:ascii="Calibri" w:cs="Calibri" w:eastAsia="Calibri" w:hAnsi="Calibri"/>
                <w:sz w:val="19"/>
                <w:szCs w:val="19"/>
              </w:rPr>
              <w:t xml:space="preserve">Are BRAF, KRAS, TP53 and CIMP genuinely abandoned, or paused? The infrastructure is complete for all of them.</w:t>
            </w:r>
          </w:p>
        </w:tc>
        <w:tc>
          <w:tcPr>
            <w:tcW w:type="dxa" w:w="3160"/>
            <w:tcMar>
              <w:top w:type="dxa" w:w="70"/>
              <w:left w:type="dxa" w:w="110"/>
              <w:bottom w:type="dxa" w:w="70"/>
              <w:right w:type="dxa" w:w="110"/>
            </w:tcMar>
          </w:tcPr>
          <w:p>
            <w:pPr>
              <w:spacing w:after="0" w:line="250"/>
            </w:pPr>
            <w:r>
              <w:rPr>
                <w:rFonts w:ascii="Calibri" w:cs="Calibri" w:eastAsia="Calibri" w:hAnsi="Calibri"/>
                <w:sz w:val="19"/>
                <w:szCs w:val="19"/>
              </w:rPr>
              <w:t xml:space="preserve">Determines whether that dead code should be removed or revived</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w:t>
            </w:r>
          </w:p>
        </w:tc>
        <w:tc>
          <w:tcPr>
            <w:tcW w:type="dxa" w:w="5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Which of the nine CRC100K classifiers actually generates the tissue-type assignments?</w:t>
            </w:r>
          </w:p>
        </w:tc>
        <w:tc>
          <w:tcPr>
            <w:tcW w:type="dxa" w:w="3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Sets the ceiling on tissue-type aggregation quality</w:t>
            </w:r>
          </w:p>
        </w:tc>
      </w:tr>
      <w:tr>
        <w:tc>
          <w:tcPr>
            <w:tcW w:type="dxa" w:w="600"/>
            <w:tcMar>
              <w:top w:type="dxa" w:w="70"/>
              <w:left w:type="dxa" w:w="110"/>
              <w:bottom w:type="dxa" w:w="70"/>
              <w:right w:type="dxa" w:w="110"/>
            </w:tcMar>
          </w:tcPr>
          <w:p>
            <w:pPr>
              <w:spacing w:after="0" w:line="250"/>
            </w:pPr>
            <w:r>
              <w:rPr>
                <w:rFonts w:ascii="Calibri" w:cs="Calibri" w:eastAsia="Calibri" w:hAnsi="Calibri"/>
                <w:sz w:val="19"/>
                <w:szCs w:val="19"/>
              </w:rPr>
              <w:t xml:space="preserve">5</w:t>
            </w:r>
          </w:p>
        </w:tc>
        <w:tc>
          <w:tcPr>
            <w:tcW w:type="dxa" w:w="5600"/>
            <w:tcMar>
              <w:top w:type="dxa" w:w="70"/>
              <w:left w:type="dxa" w:w="110"/>
              <w:bottom w:type="dxa" w:w="70"/>
              <w:right w:type="dxa" w:w="110"/>
            </w:tcMar>
          </w:tcPr>
          <w:p>
            <w:pPr>
              <w:spacing w:after="0" w:line="250"/>
            </w:pPr>
            <w:r>
              <w:rPr>
                <w:rFonts w:ascii="Calibri" w:cs="Calibri" w:eastAsia="Calibri" w:hAnsi="Calibri"/>
                <w:sz w:val="19"/>
                <w:szCs w:val="19"/>
              </w:rPr>
              <w:t xml:space="preserve">Was the two-folds-for-training rotation chosen deliberately, or inherited?</w:t>
            </w:r>
          </w:p>
        </w:tc>
        <w:tc>
          <w:tcPr>
            <w:tcW w:type="dxa" w:w="3160"/>
            <w:tcMar>
              <w:top w:type="dxa" w:w="70"/>
              <w:left w:type="dxa" w:w="110"/>
              <w:bottom w:type="dxa" w:w="70"/>
              <w:right w:type="dxa" w:w="110"/>
            </w:tcMar>
          </w:tcPr>
          <w:p>
            <w:pPr>
              <w:spacing w:after="0" w:line="250"/>
            </w:pPr>
            <w:r>
              <w:rPr>
                <w:rFonts w:ascii="Calibri" w:cs="Calibri" w:eastAsia="Calibri" w:hAnsi="Calibri"/>
                <w:sz w:val="19"/>
                <w:szCs w:val="19"/>
              </w:rPr>
              <w:t xml:space="preserve">If inherited, moving to a standard 4-fold split would likely raise every number</w:t>
            </w:r>
          </w:p>
        </w:tc>
      </w:tr>
      <w:tr>
        <w:tc>
          <w:tcPr>
            <w:tcW w:type="dxa" w:w="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w:t>
            </w:r>
          </w:p>
        </w:tc>
        <w:tc>
          <w:tcPr>
            <w:tcW w:type="dxa" w:w="560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Is there a target venue or publication deadline?</w:t>
            </w:r>
          </w:p>
        </w:tc>
        <w:tc>
          <w:tcPr>
            <w:tcW w:type="dxa" w:w="3160"/>
            <w:shd w:fill="F2F5F9"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Determines how much of Section 10 is worth doing versus documenting as a limitation</w:t>
            </w:r>
          </w:p>
        </w:tc>
      </w:tr>
    </w:tbl>
    <w:p>
      <w:pPr>
        <w:pStyle w:val="Heading1"/>
        <w:spacing w:after="160" w:before="360"/>
      </w:pPr>
      <w:r>
        <w:rPr>
          <w:rFonts w:ascii="Calibri" w:cs="Calibri" w:eastAsia="Calibri" w:hAnsi="Calibri"/>
          <w:b/>
          <w:bCs/>
          <w:color w:val="1F4E79"/>
          <w:sz w:val="30"/>
          <w:szCs w:val="30"/>
        </w:rPr>
        <w:t xml:space="preserve">12.  Summary</w:t>
      </w:r>
    </w:p>
    <w:p>
      <w:pPr>
        <w:spacing w:after="120" w:before="0" w:line="276"/>
      </w:pPr>
      <w:r>
        <w:rPr>
          <w:rFonts w:ascii="Calibri" w:cs="Calibri" w:eastAsia="Calibri" w:hAnsi="Calibri"/>
          <w:sz w:val="21"/>
          <w:szCs w:val="21"/>
        </w:rPr>
        <w:t xml:space="preserve">The project is a systematic comparison of slide-level aggregation strategies for MSI prediction from H&amp;E whole-slide images in colorectal cancer, spanning three patient cohorts, seven foundation models, six aggregation methods and five classifiers. The experimental design is coherent, and the novel axis, treating aggregation rather than the encoder as the variable, is a genuine contribution.</w:t>
      </w:r>
    </w:p>
    <w:p>
      <w:pPr>
        <w:spacing w:after="120" w:before="0" w:line="276"/>
      </w:pPr>
      <w:r>
        <w:rPr>
          <w:rFonts w:ascii="Calibri" w:cs="Calibri" w:eastAsia="Calibri" w:hAnsi="Calibri"/>
          <w:sz w:val="21"/>
          <w:szCs w:val="21"/>
        </w:rPr>
        <w:t xml:space="preserve">The core data handling is sound. TCGA folds are free of patient leakage, external validation is properly isolated, feature tensors are intact, and the CRC100K classifier is trained and tested on separate sets. Ten independent structural checks all passed.</w:t>
      </w:r>
    </w:p>
    <w:p>
      <w:pPr>
        <w:spacing w:after="120" w:before="0" w:line="276"/>
      </w:pPr>
      <w:r>
        <w:rPr>
          <w:rFonts w:ascii="Calibri" w:cs="Calibri" w:eastAsia="Calibri" w:hAnsi="Calibri"/>
          <w:sz w:val="21"/>
          <w:szCs w:val="21"/>
        </w:rPr>
        <w:t xml:space="preserve">Three findings need action before the numbers are publication-ready: ANN hyperparameters are selected on the test fold, SurGen folds leak at case level, and saved ANN checkpoints do not match the configurations whose metrics are reported. All three are contained and fixable in a few days of work. Separately, and more urgently, the project is almost entirely outside version control and has four live credentials sitting in plaintext. Neither affects the science, but both are worth an hour of your time today.</w:t>
      </w:r>
    </w:p>
    <w:p>
      <w:pPr>
        <w:spacing w:after="120" w:before="120" w:line="276"/>
      </w:pPr>
      <w:r>
        <w:rPr>
          <w:rFonts w:ascii="Calibri" w:cs="Calibri" w:eastAsia="Calibri" w:hAnsi="Calibri"/>
          <w:i/>
          <w:iCs/>
          <w:sz w:val="21"/>
          <w:szCs w:val="21"/>
        </w:rPr>
        <w:t xml:space="preserve">Please read Section 11 and tell me where I have this wrong. Once we agree on the picture, I can go deeper on any part of it: verifying metric computations end to end, re-checking the aggregation scripts line by line, or working through the fixes in Section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 Prediction from H&amp;E WSI - Project Understanding and Verification</dc:title>
  <dc:creator>Project review</dc:creator>
  <cp:lastModifiedBy>Un-named</cp:lastModifiedBy>
  <cp:revision>1</cp:revision>
  <dcterms:created xsi:type="dcterms:W3CDTF">2026-08-04T01:15:11.375Z</dcterms:created>
  <dcterms:modified xsi:type="dcterms:W3CDTF">2026-08-04T01:15:11.375Z</dcterms:modified>
</cp:coreProperties>
</file>

<file path=docProps/custom.xml><?xml version="1.0" encoding="utf-8"?>
<Properties xmlns="http://schemas.openxmlformats.org/officeDocument/2006/custom-properties" xmlns:vt="http://schemas.openxmlformats.org/officeDocument/2006/docPropsVTypes"/>
</file>