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B73"/>
        </w:rPr>
        <w:t>LSTM Text Classification — Model Results</w:t>
      </w:r>
    </w:p>
    <w:p>
      <w:pPr>
        <w:jc w:val="center"/>
      </w:pPr>
      <w:r>
        <w:rPr>
          <w:b/>
          <w:sz w:val="28"/>
        </w:rPr>
        <w:t>Muhammad Adel</w:t>
      </w:r>
    </w:p>
    <w:p>
      <w:pPr>
        <w:jc w:val="center"/>
      </w:pPr>
      <w:r>
        <w:rPr>
          <w:i/>
        </w:rPr>
        <w:t>Cellula Assignment — Bidirectional LSTM (PyTorch)</w:t>
      </w:r>
    </w:p>
    <w:p>
      <w:pPr>
        <w:pStyle w:val="Heading1"/>
      </w:pPr>
      <w:r>
        <w:t>1. Model Overview</w:t>
      </w:r>
    </w:p>
    <w:p>
      <w:r>
        <w:t>A two-layer bidirectional LSTM with an embedding layer (128-d), hidden size 128, dropout 0.3 and masked mean pooling over real tokens, followed by a linear classifier. The input for each example is the query combined with the image description ("query SEP image description"), tokenized with NLTK and encoded to a fixed length of 160. The training set was class-balanced by random oversampling. Trained for 10 epochs with AdamW and Cross-Entropy loss; the checkpoint with the best validation macro F1 was selected.</w:t>
      </w:r>
    </w:p>
    <w:p>
      <w:pPr>
        <w:pStyle w:val="Heading1"/>
      </w:pPr>
      <w:r>
        <w:t>2. Final Test Results</w:t>
      </w:r>
    </w:p>
    <w:p>
      <w:pPr>
        <w:pStyle w:val="ListBullet"/>
      </w:pPr>
      <w:r>
        <w:rPr>
          <w:b/>
        </w:rPr>
        <w:t>Final Test Loss: 0.1823</w:t>
      </w:r>
    </w:p>
    <w:p>
      <w:pPr>
        <w:pStyle w:val="ListBullet"/>
      </w:pPr>
      <w:r>
        <w:rPr>
          <w:b/>
        </w:rPr>
        <w:t>Final Test Macro F1: 0.8152 (81.52%)</w:t>
      </w:r>
    </w:p>
    <w:p>
      <w:pPr>
        <w:pStyle w:val="ListBullet"/>
      </w:pPr>
      <w:r>
        <w:rPr>
          <w:b/>
        </w:rPr>
        <w:t>Test Accuracy: 0.94</w:t>
      </w:r>
    </w:p>
    <w:p>
      <w:pPr>
        <w:pStyle w:val="Heading1"/>
      </w:pPr>
      <w:r>
        <w:t>3. Classification 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F1-score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1728"/>
          </w:tcPr>
          <w:p>
            <w:r>
              <w:t>Non-Violent Crimes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21</w:t>
            </w:r>
          </w:p>
        </w:tc>
      </w:tr>
      <w:tr>
        <w:tc>
          <w:tcPr>
            <w:tcW w:type="dxa" w:w="1728"/>
          </w:tcPr>
          <w:p>
            <w:r>
              <w:t>Safe</w:t>
            </w:r>
          </w:p>
        </w:tc>
        <w:tc>
          <w:tcPr>
            <w:tcW w:type="dxa" w:w="1728"/>
          </w:tcPr>
          <w:p>
            <w:r>
              <w:t>0.91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  <w:tc>
          <w:tcPr>
            <w:tcW w:type="dxa" w:w="1728"/>
          </w:tcPr>
          <w:p>
            <w:r>
              <w:t>0.93</w:t>
            </w:r>
          </w:p>
        </w:tc>
        <w:tc>
          <w:tcPr>
            <w:tcW w:type="dxa" w:w="1728"/>
          </w:tcPr>
          <w:p>
            <w:r>
              <w:t>88</w:t>
            </w:r>
          </w:p>
        </w:tc>
      </w:tr>
      <w:tr>
        <w:tc>
          <w:tcPr>
            <w:tcW w:type="dxa" w:w="1728"/>
          </w:tcPr>
          <w:p>
            <w:r>
              <w:t>Unknown S-Type</w:t>
            </w:r>
          </w:p>
        </w:tc>
        <w:tc>
          <w:tcPr>
            <w:tcW w:type="dxa" w:w="1728"/>
          </w:tcPr>
          <w:p>
            <w:r>
              <w:t>0.20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Violent Crimes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69</w:t>
            </w:r>
          </w:p>
        </w:tc>
      </w:tr>
      <w:tr>
        <w:tc>
          <w:tcPr>
            <w:tcW w:type="dxa" w:w="1728"/>
          </w:tcPr>
          <w:p>
            <w:r>
              <w:t>unsafe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0.94</w:t>
            </w:r>
          </w:p>
        </w:tc>
        <w:tc>
          <w:tcPr>
            <w:tcW w:type="dxa" w:w="1728"/>
          </w:tcPr>
          <w:p>
            <w:r>
              <w:t>201</w:t>
            </w:r>
          </w:p>
        </w:tc>
      </w:tr>
      <w:tr>
        <w:tc>
          <w:tcPr>
            <w:tcW w:type="dxa" w:w="1728"/>
          </w:tcPr>
          <w:p>
            <w:r>
              <w:t>Macro avg</w:t>
            </w:r>
          </w:p>
        </w:tc>
        <w:tc>
          <w:tcPr>
            <w:tcW w:type="dxa" w:w="1728"/>
          </w:tcPr>
          <w:p>
            <w:r>
              <w:t>0.82</w:t>
            </w:r>
          </w:p>
        </w:tc>
        <w:tc>
          <w:tcPr>
            <w:tcW w:type="dxa" w:w="1728"/>
          </w:tcPr>
          <w:p>
            <w:r>
              <w:t>0.81</w:t>
            </w:r>
          </w:p>
        </w:tc>
        <w:tc>
          <w:tcPr>
            <w:tcW w:type="dxa" w:w="1728"/>
          </w:tcPr>
          <w:p>
            <w:r>
              <w:t>0.82</w:t>
            </w:r>
          </w:p>
        </w:tc>
        <w:tc>
          <w:tcPr>
            <w:tcW w:type="dxa" w:w="1728"/>
          </w:tcPr>
          <w:p>
            <w:r>
              <w:t>201</w:t>
            </w:r>
          </w:p>
        </w:tc>
      </w:tr>
      <w:tr>
        <w:tc>
          <w:tcPr>
            <w:tcW w:type="dxa" w:w="1728"/>
          </w:tcPr>
          <w:p>
            <w:r>
              <w:t>Weighted avg</w:t>
            </w:r>
          </w:p>
        </w:tc>
        <w:tc>
          <w:tcPr>
            <w:tcW w:type="dxa" w:w="1728"/>
          </w:tcPr>
          <w:p>
            <w:r>
              <w:t>0.93</w:t>
            </w:r>
          </w:p>
        </w:tc>
        <w:tc>
          <w:tcPr>
            <w:tcW w:type="dxa" w:w="1728"/>
          </w:tcPr>
          <w:p>
            <w:r>
              <w:t>0.94</w:t>
            </w:r>
          </w:p>
        </w:tc>
        <w:tc>
          <w:tcPr>
            <w:tcW w:type="dxa" w:w="1728"/>
          </w:tcPr>
          <w:p>
            <w:r>
              <w:t>0.93</w:t>
            </w:r>
          </w:p>
        </w:tc>
        <w:tc>
          <w:tcPr>
            <w:tcW w:type="dxa" w:w="1728"/>
          </w:tcPr>
          <w:p>
            <w:r>
              <w:t>201</w:t>
            </w:r>
          </w:p>
        </w:tc>
      </w:tr>
    </w:tbl>
    <w:p>
      <w:pPr>
        <w:pStyle w:val="Heading1"/>
      </w:pPr>
      <w:r>
        <w:t>4. Training Curves</w:t>
      </w:r>
    </w:p>
    <w:p>
      <w:r>
        <w:drawing>
          <wp:inline xmlns:a="http://schemas.openxmlformats.org/drawingml/2006/main" xmlns:pic="http://schemas.openxmlformats.org/drawingml/2006/picture">
            <wp:extent cx="5303520" cy="36073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aedc39-6cf0-4f87-8ad9-03c064c4d59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07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LSTM training and validation loss over 10 epochs.</w:t>
      </w:r>
    </w:p>
    <w:p>
      <w:r>
        <w:drawing>
          <wp:inline xmlns:a="http://schemas.openxmlformats.org/drawingml/2006/main" xmlns:pic="http://schemas.openxmlformats.org/drawingml/2006/picture">
            <wp:extent cx="5303520" cy="35609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a98b53-848b-4339-92cb-03f986faa1c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60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LSTM training and validation macro F1 over 10 epochs.</w:t>
      </w:r>
    </w:p>
    <w:p>
      <w:pPr>
        <w:pStyle w:val="Heading1"/>
      </w:pPr>
      <w:r>
        <w:t>5. Confusion Matrix</w:t>
      </w:r>
    </w:p>
    <w:p>
      <w:r>
        <w:drawing>
          <wp:inline xmlns:a="http://schemas.openxmlformats.org/drawingml/2006/main" xmlns:pic="http://schemas.openxmlformats.org/drawingml/2006/picture">
            <wp:extent cx="5120640" cy="50690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621469-edd8-4aa3-a586-def6bea52f5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069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LSTM confusion matrix on the test set (201 examples).</w:t>
      </w:r>
    </w:p>
    <w:p>
      <w:pPr>
        <w:pStyle w:val="Heading1"/>
      </w:pPr>
      <w:r>
        <w:t>6. Observations</w:t>
      </w:r>
    </w:p>
    <w:p>
      <w:pPr>
        <w:pStyle w:val="ListBullet"/>
      </w:pPr>
      <w:r>
        <w:t>Non-Violent Crimes, Violent Crimes and unsafe are classified perfectly on the test set (F1 = 1.00).</w:t>
      </w:r>
    </w:p>
    <w:p>
      <w:pPr>
        <w:pStyle w:val="ListBullet"/>
      </w:pPr>
      <w:r>
        <w:t>Safe is predicted very well (F1 = 0.93, recall 0.95); its only confusion is with Unknown S-Type (4 examples).</w:t>
      </w:r>
    </w:p>
    <w:p>
      <w:pPr>
        <w:pStyle w:val="ListBullet"/>
      </w:pPr>
      <w:r>
        <w:t>Unknown S-Type is the weakest class (F1 = 0.14): 8 of its 9 test examples are absorbed into Safe, driven by its very small training support (86 rows before oversampling).</w:t>
      </w:r>
    </w:p>
    <w:p>
      <w:pPr>
        <w:pStyle w:val="ListBullet"/>
      </w:pPr>
      <w:r>
        <w:t>Training loss falls to ~0 by epoch 6 while validation loss rises after epoch 2, indicating overfitting; the best-validation-F1 checkpoint (validation macro F1 ~0.836 at epoch 2) mitigates this.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