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7C06" w14:textId="77777777" w:rsidR="0016320C" w:rsidRPr="00641E64" w:rsidRDefault="00000000">
      <w:pPr>
        <w:spacing w:after="80"/>
        <w:jc w:val="center"/>
        <w:rPr>
          <w:rFonts w:ascii="Calibri" w:hAnsi="Calibri" w:cs="Calibri"/>
        </w:rPr>
      </w:pPr>
      <w:r w:rsidRPr="00641E64">
        <w:rPr>
          <w:rFonts w:ascii="Calibri" w:hAnsi="Calibri" w:cs="Calibri"/>
          <w:b/>
          <w:bCs/>
          <w:sz w:val="22"/>
          <w:szCs w:val="22"/>
        </w:rPr>
        <w:t>RESEARCH PROPOSAL</w:t>
      </w:r>
    </w:p>
    <w:p w14:paraId="0FC5BE89" w14:textId="77777777" w:rsidR="0016320C" w:rsidRPr="00641E64" w:rsidRDefault="00000000">
      <w:pPr>
        <w:spacing w:after="120"/>
        <w:jc w:val="center"/>
        <w:rPr>
          <w:rFonts w:ascii="Calibri" w:hAnsi="Calibri" w:cs="Calibri"/>
        </w:rPr>
      </w:pPr>
      <w:r w:rsidRPr="00641E64">
        <w:rPr>
          <w:rFonts w:ascii="Calibri" w:hAnsi="Calibri" w:cs="Calibri"/>
          <w:b/>
          <w:bCs/>
          <w:sz w:val="26"/>
          <w:szCs w:val="26"/>
        </w:rPr>
        <w:t>Isolating Tokenization Fertility from the Mean-Pooling Confound: A Matched Subword-Regularization Test on Urdu–Hindi and Central Kanuri Arabic–Latin Cross-Lingual Representations</w:t>
      </w:r>
    </w:p>
    <w:p w14:paraId="302B44C5" w14:textId="77777777" w:rsidR="0016320C" w:rsidRPr="00641E64" w:rsidRDefault="00000000">
      <w:pPr>
        <w:spacing w:after="240"/>
        <w:jc w:val="center"/>
        <w:rPr>
          <w:rFonts w:ascii="Calibri" w:hAnsi="Calibri" w:cs="Calibri"/>
        </w:rPr>
      </w:pPr>
      <w:r w:rsidRPr="00641E64">
        <w:rPr>
          <w:rFonts w:ascii="Calibri" w:hAnsi="Calibri" w:cs="Calibri"/>
          <w:i/>
          <w:iCs/>
        </w:rPr>
        <w:t>A Study of Script Divergence, Subword Segmentation, and Cross-Lingual Representational Geometry in Frozen Multilingual Encoders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358"/>
      </w:tblGrid>
      <w:tr w:rsidR="0016320C" w:rsidRPr="00641E64" w14:paraId="67EE735C"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06F9F97C" w14:textId="77777777" w:rsidR="0016320C" w:rsidRPr="00641E64" w:rsidRDefault="00000000">
            <w:pPr>
              <w:rPr>
                <w:rFonts w:ascii="Calibri" w:hAnsi="Calibri" w:cs="Calibri"/>
              </w:rPr>
            </w:pPr>
            <w:r w:rsidRPr="00641E64">
              <w:rPr>
                <w:rFonts w:ascii="Calibri" w:hAnsi="Calibri" w:cs="Calibri"/>
                <w:b/>
                <w:bCs/>
              </w:rPr>
              <w:t>Investigators</w:t>
            </w:r>
          </w:p>
        </w:tc>
        <w:tc>
          <w:tcPr>
            <w:tcW w:w="3400" w:type="pct"/>
            <w:tcMar>
              <w:top w:w="80" w:type="dxa"/>
              <w:left w:w="120" w:type="dxa"/>
              <w:bottom w:w="80" w:type="dxa"/>
              <w:right w:w="120" w:type="dxa"/>
            </w:tcMar>
          </w:tcPr>
          <w:p w14:paraId="3EE4BB33" w14:textId="77777777" w:rsidR="0016320C" w:rsidRPr="00641E64" w:rsidRDefault="00000000">
            <w:pPr>
              <w:rPr>
                <w:rFonts w:ascii="Calibri" w:hAnsi="Calibri" w:cs="Calibri"/>
              </w:rPr>
            </w:pPr>
            <w:r w:rsidRPr="00641E64">
              <w:rPr>
                <w:rFonts w:ascii="Calibri" w:hAnsi="Calibri" w:cs="Calibri"/>
              </w:rPr>
              <w:t>Muhammad Ahmed; Ahmad Ali Khan</w:t>
            </w:r>
          </w:p>
        </w:tc>
      </w:tr>
      <w:tr w:rsidR="0016320C" w:rsidRPr="00641E64" w14:paraId="3799DEA9"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41CC7679" w14:textId="77777777" w:rsidR="0016320C" w:rsidRPr="00641E64" w:rsidRDefault="00000000">
            <w:pPr>
              <w:rPr>
                <w:rFonts w:ascii="Calibri" w:hAnsi="Calibri" w:cs="Calibri"/>
              </w:rPr>
            </w:pPr>
            <w:r w:rsidRPr="00641E64">
              <w:rPr>
                <w:rFonts w:ascii="Calibri" w:hAnsi="Calibri" w:cs="Calibri"/>
                <w:b/>
                <w:bCs/>
              </w:rPr>
              <w:t>Proposed models</w:t>
            </w:r>
          </w:p>
        </w:tc>
        <w:tc>
          <w:tcPr>
            <w:tcW w:w="3400" w:type="pct"/>
            <w:tcMar>
              <w:top w:w="80" w:type="dxa"/>
              <w:left w:w="120" w:type="dxa"/>
              <w:bottom w:w="80" w:type="dxa"/>
              <w:right w:w="120" w:type="dxa"/>
            </w:tcMar>
          </w:tcPr>
          <w:p w14:paraId="5BE9E8EE" w14:textId="77777777" w:rsidR="0016320C" w:rsidRPr="00641E64" w:rsidRDefault="00000000">
            <w:pPr>
              <w:rPr>
                <w:rFonts w:ascii="Calibri" w:hAnsi="Calibri" w:cs="Calibri"/>
              </w:rPr>
            </w:pPr>
            <w:r w:rsidRPr="00641E64">
              <w:rPr>
                <w:rFonts w:ascii="Calibri" w:hAnsi="Calibri" w:cs="Calibri"/>
              </w:rPr>
              <w:t>mBERT (WordPiece), XLM-R (SentencePiece/BPE) — frozen, zero fine-tuning</w:t>
            </w:r>
          </w:p>
        </w:tc>
      </w:tr>
      <w:tr w:rsidR="0016320C" w:rsidRPr="00641E64" w14:paraId="3B4A22C8"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24FFB7F6" w14:textId="77777777" w:rsidR="0016320C" w:rsidRPr="00641E64" w:rsidRDefault="00000000">
            <w:pPr>
              <w:rPr>
                <w:rFonts w:ascii="Calibri" w:hAnsi="Calibri" w:cs="Calibri"/>
              </w:rPr>
            </w:pPr>
            <w:r w:rsidRPr="00641E64">
              <w:rPr>
                <w:rFonts w:ascii="Calibri" w:hAnsi="Calibri" w:cs="Calibri"/>
                <w:b/>
                <w:bCs/>
              </w:rPr>
              <w:t>Proposed dataset</w:t>
            </w:r>
          </w:p>
        </w:tc>
        <w:tc>
          <w:tcPr>
            <w:tcW w:w="3400" w:type="pct"/>
            <w:tcMar>
              <w:top w:w="80" w:type="dxa"/>
              <w:left w:w="120" w:type="dxa"/>
              <w:bottom w:w="80" w:type="dxa"/>
              <w:right w:w="120" w:type="dxa"/>
            </w:tcMar>
          </w:tcPr>
          <w:p w14:paraId="0141258C" w14:textId="77777777" w:rsidR="0016320C" w:rsidRPr="00641E64" w:rsidRDefault="00000000">
            <w:pPr>
              <w:rPr>
                <w:rFonts w:ascii="Calibri" w:hAnsi="Calibri" w:cs="Calibri"/>
              </w:rPr>
            </w:pPr>
            <w:r w:rsidRPr="00641E64">
              <w:rPr>
                <w:rFonts w:ascii="Calibri" w:hAnsi="Calibri" w:cs="Calibri"/>
              </w:rPr>
              <w:t>FLORES-200 (public parallel corpus)</w:t>
            </w:r>
          </w:p>
        </w:tc>
      </w:tr>
      <w:tr w:rsidR="0016320C" w:rsidRPr="00641E64" w14:paraId="5C6B3DD2"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262531F8" w14:textId="77777777" w:rsidR="0016320C" w:rsidRPr="00641E64" w:rsidRDefault="00000000">
            <w:pPr>
              <w:rPr>
                <w:rFonts w:ascii="Calibri" w:hAnsi="Calibri" w:cs="Calibri"/>
              </w:rPr>
            </w:pPr>
            <w:r w:rsidRPr="00641E64">
              <w:rPr>
                <w:rFonts w:ascii="Calibri" w:hAnsi="Calibri" w:cs="Calibri"/>
                <w:b/>
                <w:bCs/>
              </w:rPr>
              <w:t>Language pairs</w:t>
            </w:r>
          </w:p>
        </w:tc>
        <w:tc>
          <w:tcPr>
            <w:tcW w:w="3400" w:type="pct"/>
            <w:tcMar>
              <w:top w:w="80" w:type="dxa"/>
              <w:left w:w="120" w:type="dxa"/>
              <w:bottom w:w="80" w:type="dxa"/>
              <w:right w:w="120" w:type="dxa"/>
            </w:tcMar>
          </w:tcPr>
          <w:p w14:paraId="7BFAB7D4" w14:textId="77777777" w:rsidR="0016320C" w:rsidRPr="00641E64" w:rsidRDefault="00000000">
            <w:pPr>
              <w:rPr>
                <w:rFonts w:ascii="Calibri" w:hAnsi="Calibri" w:cs="Calibri"/>
              </w:rPr>
            </w:pPr>
            <w:r w:rsidRPr="00641E64">
              <w:rPr>
                <w:rFonts w:ascii="Calibri" w:hAnsi="Calibri" w:cs="Calibri"/>
              </w:rPr>
              <w:t>Urdu–Hindi (primary); Central Kanuri Arabic/Latin (secondary, preliminary-depth by design)</w:t>
            </w:r>
          </w:p>
        </w:tc>
      </w:tr>
      <w:tr w:rsidR="0016320C" w:rsidRPr="00641E64" w14:paraId="0155A01A"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192F7A3B" w14:textId="77777777" w:rsidR="0016320C" w:rsidRPr="00641E64" w:rsidRDefault="00000000">
            <w:pPr>
              <w:rPr>
                <w:rFonts w:ascii="Calibri" w:hAnsi="Calibri" w:cs="Calibri"/>
              </w:rPr>
            </w:pPr>
            <w:r w:rsidRPr="00641E64">
              <w:rPr>
                <w:rFonts w:ascii="Calibri" w:hAnsi="Calibri" w:cs="Calibri"/>
                <w:b/>
                <w:bCs/>
              </w:rPr>
              <w:t>Target venues</w:t>
            </w:r>
          </w:p>
        </w:tc>
        <w:tc>
          <w:tcPr>
            <w:tcW w:w="3400" w:type="pct"/>
            <w:tcMar>
              <w:top w:w="80" w:type="dxa"/>
              <w:left w:w="120" w:type="dxa"/>
              <w:bottom w:w="80" w:type="dxa"/>
              <w:right w:w="120" w:type="dxa"/>
            </w:tcMar>
          </w:tcPr>
          <w:p w14:paraId="4D70F436" w14:textId="77777777" w:rsidR="0016320C" w:rsidRPr="00641E64" w:rsidRDefault="00000000">
            <w:pPr>
              <w:rPr>
                <w:rFonts w:ascii="Calibri" w:hAnsi="Calibri" w:cs="Calibri"/>
              </w:rPr>
            </w:pPr>
            <w:r w:rsidRPr="00641E64">
              <w:rPr>
                <w:rFonts w:ascii="Calibri" w:hAnsi="Calibri" w:cs="Calibri"/>
              </w:rPr>
              <w:t>SIGTYP (primary) · ACL Rolling Review (parallel) · MRL (fallback)</w:t>
            </w:r>
          </w:p>
        </w:tc>
      </w:tr>
      <w:tr w:rsidR="0016320C" w:rsidRPr="00641E64" w14:paraId="39601725"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4CEBA8D0" w14:textId="77777777" w:rsidR="0016320C" w:rsidRPr="00641E64" w:rsidRDefault="00000000">
            <w:pPr>
              <w:rPr>
                <w:rFonts w:ascii="Calibri" w:hAnsi="Calibri" w:cs="Calibri"/>
              </w:rPr>
            </w:pPr>
            <w:r w:rsidRPr="00641E64">
              <w:rPr>
                <w:rFonts w:ascii="Calibri" w:hAnsi="Calibri" w:cs="Calibri"/>
                <w:b/>
                <w:bCs/>
              </w:rPr>
              <w:t>Internal timeline</w:t>
            </w:r>
          </w:p>
        </w:tc>
        <w:tc>
          <w:tcPr>
            <w:tcW w:w="3400" w:type="pct"/>
            <w:tcMar>
              <w:top w:w="80" w:type="dxa"/>
              <w:left w:w="120" w:type="dxa"/>
              <w:bottom w:w="80" w:type="dxa"/>
              <w:right w:w="120" w:type="dxa"/>
            </w:tcMar>
          </w:tcPr>
          <w:p w14:paraId="07B80337" w14:textId="77777777" w:rsidR="0016320C" w:rsidRPr="00641E64" w:rsidRDefault="00000000">
            <w:pPr>
              <w:rPr>
                <w:rFonts w:ascii="Calibri" w:hAnsi="Calibri" w:cs="Calibri"/>
              </w:rPr>
            </w:pPr>
            <w:r w:rsidRPr="00641E64">
              <w:rPr>
                <w:rFonts w:ascii="Calibri" w:hAnsi="Calibri" w:cs="Calibri"/>
              </w:rPr>
              <w:t>38 days (Jul 19 – Aug 25, 2026), buffer through Aug 30, 2026</w:t>
            </w:r>
          </w:p>
        </w:tc>
      </w:tr>
      <w:tr w:rsidR="0016320C" w:rsidRPr="00641E64" w14:paraId="768535A0"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3664A8D4" w14:textId="77777777" w:rsidR="0016320C" w:rsidRPr="00641E64" w:rsidRDefault="00000000">
            <w:pPr>
              <w:rPr>
                <w:rFonts w:ascii="Calibri" w:hAnsi="Calibri" w:cs="Calibri"/>
              </w:rPr>
            </w:pPr>
            <w:r w:rsidRPr="00641E64">
              <w:rPr>
                <w:rFonts w:ascii="Calibri" w:hAnsi="Calibri" w:cs="Calibri"/>
                <w:b/>
                <w:bCs/>
              </w:rPr>
              <w:t>Document status</w:t>
            </w:r>
          </w:p>
        </w:tc>
        <w:tc>
          <w:tcPr>
            <w:tcW w:w="3400" w:type="pct"/>
            <w:tcMar>
              <w:top w:w="80" w:type="dxa"/>
              <w:left w:w="120" w:type="dxa"/>
              <w:bottom w:w="80" w:type="dxa"/>
              <w:right w:w="120" w:type="dxa"/>
            </w:tcMar>
          </w:tcPr>
          <w:p w14:paraId="4EADA44E" w14:textId="77777777" w:rsidR="0016320C" w:rsidRPr="00641E64" w:rsidRDefault="00000000">
            <w:pPr>
              <w:rPr>
                <w:rFonts w:ascii="Calibri" w:hAnsi="Calibri" w:cs="Calibri"/>
              </w:rPr>
            </w:pPr>
            <w:r w:rsidRPr="00641E64">
              <w:rPr>
                <w:rFonts w:ascii="Calibri" w:hAnsi="Calibri" w:cs="Calibri"/>
              </w:rPr>
              <w:t>Proposal draft prepared from Verified Protocol v6 — statistical scope trimmed for workshop-length submission (see Revision Note)</w:t>
            </w:r>
          </w:p>
        </w:tc>
      </w:tr>
    </w:tbl>
    <w:p w14:paraId="6F672D8A" w14:textId="77777777" w:rsidR="0016320C" w:rsidRPr="00641E64" w:rsidRDefault="00000000">
      <w:pPr>
        <w:spacing w:before="240" w:after="80"/>
        <w:rPr>
          <w:rFonts w:ascii="Calibri" w:hAnsi="Calibri" w:cs="Calibri"/>
        </w:rPr>
      </w:pPr>
      <w:r w:rsidRPr="00641E64">
        <w:rPr>
          <w:rFonts w:ascii="Calibri" w:hAnsi="Calibri" w:cs="Calibri"/>
          <w:b/>
          <w:bCs/>
        </w:rPr>
        <w:t>Revision Note (v6)</w:t>
      </w:r>
    </w:p>
    <w:p w14:paraId="644AEF0E" w14:textId="77777777" w:rsidR="0016320C" w:rsidRPr="00641E64" w:rsidRDefault="00000000">
      <w:pPr>
        <w:spacing w:after="160"/>
        <w:rPr>
          <w:rFonts w:ascii="Calibri" w:hAnsi="Calibri" w:cs="Calibri"/>
        </w:rPr>
      </w:pPr>
      <w:r w:rsidRPr="00641E64">
        <w:rPr>
          <w:rFonts w:ascii="Calibri" w:hAnsi="Calibri" w:cs="Calibri"/>
        </w:rPr>
        <w:t>This revision narrows the statistical and robustness plan relative to earlier drafts, in three ways, each made explicitly rather than left open for a later, results-influenced decision: (1) CKA is designated the single primary similarity metric, with cosine similarity as a pre-planned secondary check; ANC is removed from the active analysis and retained only as a documented future-work extension. (2) The Benjamini–Yekutieli correction is dropped from the plan; Benjamini–Hochberg FDR is the sole multiple-comparisons correction, under the positive-dependence justification stated in Section 8. (3) The nested-model fertility-vs-subtoken-count fit (formerly RQ4 / Section 7.3.5) is cut entirely rather than budgeted as time-permitting, both to reduce scope and to remove a collinearity concern between two highly correlated predictors. The Central Kanuri secondary pair is committed up front to a lighter, preliminary-depth treatment rather than left as an interim scope decision. These cuts reduce analytical surface area without removing the safeguards — pre-registration, the TOST equivalence test, and the count-matching discard-bias check — that make the study's central claims defensible.</w:t>
      </w:r>
    </w:p>
    <w:p w14:paraId="29C1E9E4" w14:textId="77777777" w:rsidR="0016320C" w:rsidRPr="00641E64" w:rsidRDefault="00000000">
      <w:pPr>
        <w:pStyle w:val="Heading1"/>
        <w:spacing w:before="360" w:after="160"/>
        <w:rPr>
          <w:rFonts w:ascii="Calibri" w:hAnsi="Calibri" w:cs="Calibri"/>
        </w:rPr>
      </w:pPr>
      <w:r w:rsidRPr="00641E64">
        <w:rPr>
          <w:rFonts w:ascii="Calibri" w:hAnsi="Calibri" w:cs="Calibri"/>
        </w:rPr>
        <w:t>Table of Contents</w:t>
      </w:r>
    </w:p>
    <w:p w14:paraId="0F36A8B2" w14:textId="77777777" w:rsidR="0016320C" w:rsidRPr="00641E64" w:rsidRDefault="00000000">
      <w:pPr>
        <w:spacing w:after="160"/>
        <w:rPr>
          <w:rFonts w:ascii="Calibri" w:hAnsi="Calibri" w:cs="Calibri"/>
        </w:rPr>
      </w:pPr>
      <w:r w:rsidRPr="00641E64">
        <w:rPr>
          <w:rFonts w:ascii="Calibri" w:hAnsi="Calibri" w:cs="Calibri"/>
        </w:rPr>
        <w:t>1. Introduction</w:t>
      </w:r>
    </w:p>
    <w:p w14:paraId="3EF27879" w14:textId="77777777" w:rsidR="0016320C" w:rsidRPr="00641E64" w:rsidRDefault="00000000">
      <w:pPr>
        <w:spacing w:after="160"/>
        <w:rPr>
          <w:rFonts w:ascii="Calibri" w:hAnsi="Calibri" w:cs="Calibri"/>
        </w:rPr>
      </w:pPr>
      <w:r w:rsidRPr="00641E64">
        <w:rPr>
          <w:rFonts w:ascii="Calibri" w:hAnsi="Calibri" w:cs="Calibri"/>
        </w:rPr>
        <w:t>2. Background and Motivation</w:t>
      </w:r>
    </w:p>
    <w:p w14:paraId="7704A28E" w14:textId="77777777" w:rsidR="0016320C" w:rsidRPr="00641E64" w:rsidRDefault="00000000">
      <w:pPr>
        <w:spacing w:after="160"/>
        <w:rPr>
          <w:rFonts w:ascii="Calibri" w:hAnsi="Calibri" w:cs="Calibri"/>
        </w:rPr>
      </w:pPr>
      <w:r w:rsidRPr="00641E64">
        <w:rPr>
          <w:rFonts w:ascii="Calibri" w:hAnsi="Calibri" w:cs="Calibri"/>
        </w:rPr>
        <w:t>3. Problem Statement</w:t>
      </w:r>
    </w:p>
    <w:p w14:paraId="07DD114F" w14:textId="77777777" w:rsidR="0016320C" w:rsidRPr="00641E64" w:rsidRDefault="00000000">
      <w:pPr>
        <w:spacing w:after="160"/>
        <w:rPr>
          <w:rFonts w:ascii="Calibri" w:hAnsi="Calibri" w:cs="Calibri"/>
        </w:rPr>
      </w:pPr>
      <w:r w:rsidRPr="00641E64">
        <w:rPr>
          <w:rFonts w:ascii="Calibri" w:hAnsi="Calibri" w:cs="Calibri"/>
        </w:rPr>
        <w:t>4. Research Questions</w:t>
      </w:r>
    </w:p>
    <w:p w14:paraId="46EDB095" w14:textId="77777777" w:rsidR="0016320C" w:rsidRPr="00641E64" w:rsidRDefault="00000000">
      <w:pPr>
        <w:spacing w:after="160"/>
        <w:rPr>
          <w:rFonts w:ascii="Calibri" w:hAnsi="Calibri" w:cs="Calibri"/>
        </w:rPr>
      </w:pPr>
      <w:r w:rsidRPr="00641E64">
        <w:rPr>
          <w:rFonts w:ascii="Calibri" w:hAnsi="Calibri" w:cs="Calibri"/>
        </w:rPr>
        <w:t>5. Research Objectives</w:t>
      </w:r>
    </w:p>
    <w:p w14:paraId="279C1667" w14:textId="77777777" w:rsidR="0016320C" w:rsidRPr="00641E64" w:rsidRDefault="00000000">
      <w:pPr>
        <w:spacing w:after="160"/>
        <w:rPr>
          <w:rFonts w:ascii="Calibri" w:hAnsi="Calibri" w:cs="Calibri"/>
        </w:rPr>
      </w:pPr>
      <w:r w:rsidRPr="00641E64">
        <w:rPr>
          <w:rFonts w:ascii="Calibri" w:hAnsi="Calibri" w:cs="Calibri"/>
        </w:rPr>
        <w:t>6. Literature Review</w:t>
      </w:r>
    </w:p>
    <w:p w14:paraId="2A1431D4" w14:textId="77777777" w:rsidR="0016320C" w:rsidRPr="00641E64" w:rsidRDefault="00000000">
      <w:pPr>
        <w:spacing w:after="160"/>
        <w:rPr>
          <w:rFonts w:ascii="Calibri" w:hAnsi="Calibri" w:cs="Calibri"/>
        </w:rPr>
      </w:pPr>
      <w:r w:rsidRPr="00641E64">
        <w:rPr>
          <w:rFonts w:ascii="Calibri" w:hAnsi="Calibri" w:cs="Calibri"/>
        </w:rPr>
        <w:t>7. Research Design and Methodology</w:t>
      </w:r>
    </w:p>
    <w:p w14:paraId="63C865A2" w14:textId="77777777" w:rsidR="0016320C" w:rsidRPr="00641E64" w:rsidRDefault="00000000">
      <w:pPr>
        <w:spacing w:after="160"/>
        <w:rPr>
          <w:rFonts w:ascii="Calibri" w:hAnsi="Calibri" w:cs="Calibri"/>
        </w:rPr>
      </w:pPr>
      <w:r w:rsidRPr="00641E64">
        <w:rPr>
          <w:rFonts w:ascii="Calibri" w:hAnsi="Calibri" w:cs="Calibri"/>
        </w:rPr>
        <w:lastRenderedPageBreak/>
        <w:t>8. Statistical and Robustness Plan</w:t>
      </w:r>
    </w:p>
    <w:p w14:paraId="19EFECF8" w14:textId="77777777" w:rsidR="0016320C" w:rsidRPr="00641E64" w:rsidRDefault="00000000">
      <w:pPr>
        <w:spacing w:after="160"/>
        <w:rPr>
          <w:rFonts w:ascii="Calibri" w:hAnsi="Calibri" w:cs="Calibri"/>
        </w:rPr>
      </w:pPr>
      <w:r w:rsidRPr="00641E64">
        <w:rPr>
          <w:rFonts w:ascii="Calibri" w:hAnsi="Calibri" w:cs="Calibri"/>
        </w:rPr>
        <w:t>9. Expected Outcomes and Contribution</w:t>
      </w:r>
    </w:p>
    <w:p w14:paraId="246295E6" w14:textId="77777777" w:rsidR="0016320C" w:rsidRPr="00641E64" w:rsidRDefault="00000000">
      <w:pPr>
        <w:spacing w:after="160"/>
        <w:rPr>
          <w:rFonts w:ascii="Calibri" w:hAnsi="Calibri" w:cs="Calibri"/>
        </w:rPr>
      </w:pPr>
      <w:r w:rsidRPr="00641E64">
        <w:rPr>
          <w:rFonts w:ascii="Calibri" w:hAnsi="Calibri" w:cs="Calibri"/>
        </w:rPr>
        <w:t>10. Limitations</w:t>
      </w:r>
    </w:p>
    <w:p w14:paraId="751D6E0C" w14:textId="77777777" w:rsidR="0016320C" w:rsidRPr="00641E64" w:rsidRDefault="00000000">
      <w:pPr>
        <w:spacing w:after="160"/>
        <w:rPr>
          <w:rFonts w:ascii="Calibri" w:hAnsi="Calibri" w:cs="Calibri"/>
        </w:rPr>
      </w:pPr>
      <w:r w:rsidRPr="00641E64">
        <w:rPr>
          <w:rFonts w:ascii="Calibri" w:hAnsi="Calibri" w:cs="Calibri"/>
        </w:rPr>
        <w:t>11. Ethical Considerations</w:t>
      </w:r>
    </w:p>
    <w:p w14:paraId="0513A5DE" w14:textId="77777777" w:rsidR="0016320C" w:rsidRPr="00641E64" w:rsidRDefault="00000000">
      <w:pPr>
        <w:spacing w:after="160"/>
        <w:rPr>
          <w:rFonts w:ascii="Calibri" w:hAnsi="Calibri" w:cs="Calibri"/>
        </w:rPr>
      </w:pPr>
      <w:r w:rsidRPr="00641E64">
        <w:rPr>
          <w:rFonts w:ascii="Calibri" w:hAnsi="Calibri" w:cs="Calibri"/>
        </w:rPr>
        <w:t>12. Project Timeline</w:t>
      </w:r>
    </w:p>
    <w:p w14:paraId="5DCEF184" w14:textId="77777777" w:rsidR="0016320C" w:rsidRPr="00641E64" w:rsidRDefault="00000000">
      <w:pPr>
        <w:spacing w:after="160"/>
        <w:rPr>
          <w:rFonts w:ascii="Calibri" w:hAnsi="Calibri" w:cs="Calibri"/>
        </w:rPr>
      </w:pPr>
      <w:r w:rsidRPr="00641E64">
        <w:rPr>
          <w:rFonts w:ascii="Calibri" w:hAnsi="Calibri" w:cs="Calibri"/>
        </w:rPr>
        <w:t>13. Deliverables</w:t>
      </w:r>
    </w:p>
    <w:p w14:paraId="671433CF" w14:textId="77777777" w:rsidR="0016320C" w:rsidRPr="00641E64" w:rsidRDefault="00000000">
      <w:pPr>
        <w:spacing w:after="160"/>
        <w:rPr>
          <w:rFonts w:ascii="Calibri" w:hAnsi="Calibri" w:cs="Calibri"/>
        </w:rPr>
      </w:pPr>
      <w:r w:rsidRPr="00641E64">
        <w:rPr>
          <w:rFonts w:ascii="Calibri" w:hAnsi="Calibri" w:cs="Calibri"/>
        </w:rPr>
        <w:t>14. References</w:t>
      </w:r>
    </w:p>
    <w:p w14:paraId="0D148AC2" w14:textId="77777777" w:rsidR="0016320C" w:rsidRPr="00641E64" w:rsidRDefault="00000000">
      <w:pPr>
        <w:pStyle w:val="Heading1"/>
        <w:spacing w:before="360" w:after="160"/>
        <w:rPr>
          <w:rFonts w:ascii="Calibri" w:hAnsi="Calibri" w:cs="Calibri"/>
        </w:rPr>
      </w:pPr>
      <w:r w:rsidRPr="00641E64">
        <w:rPr>
          <w:rFonts w:ascii="Calibri" w:hAnsi="Calibri" w:cs="Calibri"/>
        </w:rPr>
        <w:t>1. Introduction</w:t>
      </w:r>
    </w:p>
    <w:p w14:paraId="681BDFEF" w14:textId="77777777" w:rsidR="0016320C" w:rsidRPr="00641E64" w:rsidRDefault="00000000">
      <w:pPr>
        <w:spacing w:after="160"/>
        <w:rPr>
          <w:rFonts w:ascii="Calibri" w:hAnsi="Calibri" w:cs="Calibri"/>
        </w:rPr>
      </w:pPr>
      <w:r w:rsidRPr="00641E64">
        <w:rPr>
          <w:rFonts w:ascii="Calibri" w:hAnsi="Calibri" w:cs="Calibri"/>
        </w:rPr>
        <w:t>Multilingual transformer encoders such as mBERT and XLM-R are widely used to produce cross-lingual sentence representations without any task-specific fine-tuning. A persistent empirical observation in this literature is that languages written in low-resource or typologically distant scripts tend to receive worse-aligned representations than languages sharing a script with the pivot language. The explanation most commonly offered is tokenization fertility — the number of subword pieces a tokenizer needs to represent a word — with high-fertility languages assumed to suffer degraded representations as a direct consequence of heavier subword fragmentation.</w:t>
      </w:r>
    </w:p>
    <w:p w14:paraId="106ABB27" w14:textId="77777777" w:rsidR="0016320C" w:rsidRPr="00641E64" w:rsidRDefault="00000000">
      <w:pPr>
        <w:spacing w:after="160"/>
        <w:rPr>
          <w:rFonts w:ascii="Calibri" w:hAnsi="Calibri" w:cs="Calibri"/>
        </w:rPr>
      </w:pPr>
      <w:r w:rsidRPr="00641E64">
        <w:rPr>
          <w:rFonts w:ascii="Calibri" w:hAnsi="Calibri" w:cs="Calibri"/>
        </w:rPr>
        <w:t>This explanation has intuitive appeal but has never been cleanly isolated from a confound that sits directly underneath it: most cross-lingual similarity pipelines compute a single sentence vector by mean-pooling over all subword token embeddings. Because fertility and subtoken count are the same quantity, any degradation attributed to “fertility” could equally be a mechanical artifact of pooling more vectors together, independent of which language is being represented. No existing study distinguishes these two candidate causes. This proposal sets out a research design that separates them directly.</w:t>
      </w:r>
    </w:p>
    <w:p w14:paraId="699A8D26" w14:textId="77777777" w:rsidR="0016320C" w:rsidRPr="00641E64" w:rsidRDefault="00000000">
      <w:pPr>
        <w:spacing w:after="160"/>
        <w:rPr>
          <w:rFonts w:ascii="Calibri" w:hAnsi="Calibri" w:cs="Calibri"/>
        </w:rPr>
      </w:pPr>
      <w:r w:rsidRPr="00641E64">
        <w:rPr>
          <w:rFonts w:ascii="Calibri" w:hAnsi="Calibri" w:cs="Calibri"/>
          <w:b/>
          <w:bCs/>
        </w:rPr>
        <w:t xml:space="preserve">mBERT and XLM-R are used deliberately rather than by default. </w:t>
      </w:r>
      <w:r w:rsidRPr="00641E64">
        <w:rPr>
          <w:rFonts w:ascii="Calibri" w:hAnsi="Calibri" w:cs="Calibri"/>
        </w:rPr>
        <w:t>Representational-geometry analysis of this kind requires a model with an established prior-literature baseline to reconcile against — the reconciliation in Method A (Section 7.2) directly reproduces and extends Pires et al. (2019) and Del &amp; Fishel (2021), both of which use mBERT and XLM-R as their reference encoders. Substituting a newer decoder-only or frontier model would sever this comparison rather than strengthen it. This is also consistent with current practice in the immediately adjacent literature: DEPART (2026) and Mitra &amp; Kumar (2026) — both published in 2026 — analyze the same frozen-encoder representational question on the same model family, indicating that this is an active line of inquiry rather than a stale one. The question under study here is representational geometry, not downstream task performance, and the two lines of work carry different norms around which models are appropriate.</w:t>
      </w:r>
    </w:p>
    <w:p w14:paraId="6925DDAB" w14:textId="77777777" w:rsidR="0016320C" w:rsidRPr="00641E64" w:rsidRDefault="00000000">
      <w:pPr>
        <w:spacing w:after="160"/>
        <w:rPr>
          <w:rFonts w:ascii="Calibri" w:hAnsi="Calibri" w:cs="Calibri"/>
        </w:rPr>
      </w:pPr>
      <w:r w:rsidRPr="00641E64">
        <w:rPr>
          <w:rFonts w:ascii="Calibri" w:hAnsi="Calibri" w:cs="Calibri"/>
        </w:rPr>
        <w:t>The proposed study tests the isolation method on two language pairs that are script-divergent in structurally different ways, and that are additionally chosen to sit in different regions and language families from one another — Urdu–Hindi (two closely related Indo-Aryan languages that diverge only in script, South Asia) and Central Kanuri Arabic/Latin (one Nilo-Saharan language rendered in two scripts, Lake Chad Basin, West/Central Africa) — so that any pattern observed is tested for generalization across both script-divergence type and language family/region, rather than reported from a single case or a same-family repeat of it.</w:t>
      </w:r>
    </w:p>
    <w:p w14:paraId="6CB5D46A" w14:textId="77777777" w:rsidR="0016320C" w:rsidRPr="00641E64" w:rsidRDefault="00000000">
      <w:pPr>
        <w:pStyle w:val="Heading1"/>
        <w:spacing w:before="360" w:after="160"/>
        <w:rPr>
          <w:rFonts w:ascii="Calibri" w:hAnsi="Calibri" w:cs="Calibri"/>
        </w:rPr>
      </w:pPr>
      <w:r w:rsidRPr="00641E64">
        <w:rPr>
          <w:rFonts w:ascii="Calibri" w:hAnsi="Calibri" w:cs="Calibri"/>
        </w:rPr>
        <w:t>2. Background and Motivation</w:t>
      </w:r>
    </w:p>
    <w:p w14:paraId="16A2EAE9" w14:textId="77777777" w:rsidR="0016320C" w:rsidRPr="00641E64" w:rsidRDefault="00000000">
      <w:pPr>
        <w:pStyle w:val="Heading2"/>
        <w:spacing w:before="240" w:after="120"/>
        <w:rPr>
          <w:rFonts w:ascii="Calibri" w:hAnsi="Calibri" w:cs="Calibri"/>
        </w:rPr>
      </w:pPr>
      <w:r w:rsidRPr="00641E64">
        <w:rPr>
          <w:rFonts w:ascii="Calibri" w:hAnsi="Calibri" w:cs="Calibri"/>
        </w:rPr>
        <w:t>2.1 Linguistic Basis for the Urdu–Hindi Pair</w:t>
      </w:r>
    </w:p>
    <w:p w14:paraId="031A9EA0" w14:textId="77777777" w:rsidR="0016320C" w:rsidRPr="00641E64" w:rsidRDefault="00000000">
      <w:pPr>
        <w:spacing w:after="160"/>
        <w:rPr>
          <w:rFonts w:ascii="Calibri" w:hAnsi="Calibri" w:cs="Calibri"/>
        </w:rPr>
      </w:pPr>
      <w:r w:rsidRPr="00641E64">
        <w:rPr>
          <w:rFonts w:ascii="Calibri" w:hAnsi="Calibri" w:cs="Calibri"/>
        </w:rPr>
        <w:t xml:space="preserve">Urdu and Hindi share phonology, grammar, SOV word order, fusional morphology, and postpositional case-marking, and are mutually intelligible in spoken form; they are often described as one spoken language (Hindustani) realized as two literary standards. Their divergence is almost entirely orthographic: Urdu is written in </w:t>
      </w:r>
      <w:r w:rsidRPr="00641E64">
        <w:rPr>
          <w:rFonts w:ascii="Calibri" w:hAnsi="Calibri" w:cs="Calibri"/>
        </w:rPr>
        <w:lastRenderedPageBreak/>
        <w:t>Nastaliq, a calligraphic Perso-Arabic script, while Hindi is written in Devanagari. This combination — near-total typological overlap alongside near-total script divergence — is unusually clean for isolating script effects on multilingual representations from confounding typological effects, since typology is held effectively constant while script is not.</w:t>
      </w:r>
    </w:p>
    <w:p w14:paraId="2F441985" w14:textId="77777777" w:rsidR="0016320C" w:rsidRPr="00641E64" w:rsidRDefault="00000000">
      <w:pPr>
        <w:pStyle w:val="Heading2"/>
        <w:spacing w:before="240" w:after="120"/>
        <w:rPr>
          <w:rFonts w:ascii="Calibri" w:hAnsi="Calibri" w:cs="Calibri"/>
        </w:rPr>
      </w:pPr>
      <w:r w:rsidRPr="00641E64">
        <w:rPr>
          <w:rFonts w:ascii="Calibri" w:hAnsi="Calibri" w:cs="Calibri"/>
        </w:rPr>
        <w:t>2.2 Linguistic Basis for the Central Kanuri Arabic/Latin Pair</w:t>
      </w:r>
    </w:p>
    <w:p w14:paraId="6293E267" w14:textId="77777777" w:rsidR="0016320C" w:rsidRPr="00641E64" w:rsidRDefault="00000000">
      <w:pPr>
        <w:spacing w:after="160"/>
        <w:rPr>
          <w:rFonts w:ascii="Calibri" w:hAnsi="Calibri" w:cs="Calibri"/>
        </w:rPr>
      </w:pPr>
      <w:r w:rsidRPr="00641E64">
        <w:rPr>
          <w:rFonts w:ascii="Calibri" w:hAnsi="Calibri" w:cs="Calibri"/>
        </w:rPr>
        <w:t>Central Kanuri (a Nilo-Saharan language of the Lake Chad Basin, spoken across Nigeria, Niger, Chad, and Cameroon) is written natively in both an Arabic-derived Ajami script and a standardized Latin orthography, with the Ajami tradition historically dominant and the Latin orthography formalized more recently for education and print. This gives a second, structurally different flavor of script divergence from Urdu–Hindi: a single language rather than two related languages, digraphic rather than bilingual. Critically, it is also a genuinely independent test case rather than a same-region echo of the primary pair: Kanuri sits in a different language family (Nilo-Saharan, versus Indo-Aryan for Urdu–Hindi) and a different region (West/Central Africa, versus South Asia), so testing both pairs strengthens the generalization claim along two dimensions at once — script-divergence type and language family/region — rather than one. If the two pairs behave differently, that divergence becomes a finding in its own right rather than being smoothed over as noise.</w:t>
      </w:r>
    </w:p>
    <w:p w14:paraId="5E616727" w14:textId="77777777" w:rsidR="0016320C" w:rsidRPr="00641E64" w:rsidRDefault="00000000">
      <w:pPr>
        <w:pStyle w:val="Heading2"/>
        <w:spacing w:before="240" w:after="120"/>
        <w:rPr>
          <w:rFonts w:ascii="Calibri" w:hAnsi="Calibri" w:cs="Calibri"/>
        </w:rPr>
      </w:pPr>
      <w:r w:rsidRPr="00641E64">
        <w:rPr>
          <w:rFonts w:ascii="Calibri" w:hAnsi="Calibri" w:cs="Calibri"/>
        </w:rPr>
        <w:t>2.3 An Open Disagreement in the Literature</w:t>
      </w:r>
    </w:p>
    <w:p w14:paraId="59BF25EC" w14:textId="77777777" w:rsidR="0016320C" w:rsidRPr="00641E64" w:rsidRDefault="00000000">
      <w:pPr>
        <w:spacing w:after="160"/>
        <w:rPr>
          <w:rFonts w:ascii="Calibri" w:hAnsi="Calibri" w:cs="Calibri"/>
        </w:rPr>
      </w:pPr>
      <w:r w:rsidRPr="00641E64">
        <w:rPr>
          <w:rFonts w:ascii="Calibri" w:hAnsi="Calibri" w:cs="Calibri"/>
        </w:rPr>
        <w:t>A further motivation is a genuine unresolved disagreement between Pires, Schlinger, and Garrette (2019) and Del and Fishel (2021) on how multilingual BERT represents Urdu and Hindi relative to other language pairs. Rather than treating this disagreement as the contribution itself, this proposal treats its reconciliation as a necessary prerequisite step (Method A) that must be settled before the paper's actual contribution (Method B) is interpretable.</w:t>
      </w:r>
    </w:p>
    <w:p w14:paraId="151EB803" w14:textId="77777777" w:rsidR="0016320C" w:rsidRPr="00641E64" w:rsidRDefault="00000000">
      <w:pPr>
        <w:pStyle w:val="Heading1"/>
        <w:spacing w:before="360" w:after="160"/>
        <w:rPr>
          <w:rFonts w:ascii="Calibri" w:hAnsi="Calibri" w:cs="Calibri"/>
        </w:rPr>
      </w:pPr>
      <w:r w:rsidRPr="00641E64">
        <w:rPr>
          <w:rFonts w:ascii="Calibri" w:hAnsi="Calibri" w:cs="Calibri"/>
        </w:rPr>
        <w:t>3. Problem Statement</w:t>
      </w:r>
    </w:p>
    <w:p w14:paraId="5686066F" w14:textId="77777777" w:rsidR="0016320C" w:rsidRPr="00641E64" w:rsidRDefault="00000000">
      <w:pPr>
        <w:spacing w:after="160"/>
        <w:rPr>
          <w:rFonts w:ascii="Calibri" w:hAnsi="Calibri" w:cs="Calibri"/>
        </w:rPr>
      </w:pPr>
      <w:r w:rsidRPr="00641E64">
        <w:rPr>
          <w:rFonts w:ascii="Calibri" w:hAnsi="Calibri" w:cs="Calibri"/>
        </w:rPr>
        <w:t>Tokenization fertility is routinely cited in the multilingual NLP literature as an explanatory mechanism for degraded cross-lingual representations in low-resource-script languages. However, because fertility is definitionally equivalent to subtoken count, and mean-pooling more subtoken vectors mechanically shifts the resulting sentence representation regardless of the language involved, no existing study has cleanly separated the fertility effect from this pooling artifact. Without this separation, a widely repeated causal claim in the field rests on an unverified mechanism. This proposal addresses that gap directly, on frozen encoders, with zero fine-tuning, using a matched control built from each tokenizer's own native stochastic segmentation mode.</w:t>
      </w:r>
    </w:p>
    <w:p w14:paraId="6EB1A4C4" w14:textId="77777777" w:rsidR="0016320C" w:rsidRPr="00641E64" w:rsidRDefault="00000000">
      <w:pPr>
        <w:pStyle w:val="Heading1"/>
        <w:spacing w:before="360" w:after="160"/>
        <w:rPr>
          <w:rFonts w:ascii="Calibri" w:hAnsi="Calibri" w:cs="Calibri"/>
        </w:rPr>
      </w:pPr>
      <w:r w:rsidRPr="00641E64">
        <w:rPr>
          <w:rFonts w:ascii="Calibri" w:hAnsi="Calibri" w:cs="Calibri"/>
        </w:rPr>
        <w:t>4. Research Questions</w:t>
      </w:r>
    </w:p>
    <w:p w14:paraId="300AE83E"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RQ1: Once the mean-pooling artifact is held constant via a count-matched stochastic-segmentation control, does tokenization fertility independently predict degradation in cross-lingual sentence representations produced by frozen mBERT and XLM-R?</w:t>
      </w:r>
    </w:p>
    <w:p w14:paraId="2D7C61E0"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RQ2: Does this relationship — if present — hold consistently across two structurally different forms of script divergence (two related languages in two scripts, versus one language in two scripts), or does it diverge between them? Because mBERT shows an elevated UNK rate on Central Kanuri relative to its Urdu baseline (Section 7.1.1), any divergence observed specifically in the mBERT results is interpreted jointly with that confound rather than attributed to script-divergence type alone; the cleaner test of this question is the XLM-R comparison, where both pairs are UNK-clean, and RQ2's answer is reported separately by model rather than pooled across them.</w:t>
      </w:r>
    </w:p>
    <w:p w14:paraId="17C38F91"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RQ3: Do previously reported cross-lingual similarity findings for Urdu–Hindi (Pires et al., 2019; Del &amp; Fishel, 2021) reproduce under an independent re-implementation, and does the choice of similarity metric (CKA as primary, cosine as secondary) affect the conclusion drawn?</w:t>
      </w:r>
    </w:p>
    <w:p w14:paraId="44676233" w14:textId="77777777" w:rsidR="0016320C" w:rsidRPr="00641E64" w:rsidRDefault="00000000">
      <w:pPr>
        <w:spacing w:after="160"/>
        <w:rPr>
          <w:rFonts w:ascii="Calibri" w:hAnsi="Calibri" w:cs="Calibri"/>
        </w:rPr>
      </w:pPr>
      <w:r w:rsidRPr="00641E64">
        <w:rPr>
          <w:rFonts w:ascii="Calibri" w:hAnsi="Calibri" w:cs="Calibri"/>
        </w:rPr>
        <w:t>A fourth question — whether fertility improves statistical fit over subtoken count alone once both are modeled jointly — was considered in earlier drafts but is cut from the active research questions in this revision; see Section 7.3.4 and the Revision Note above for rationale.</w:t>
      </w:r>
    </w:p>
    <w:p w14:paraId="4D2F2507" w14:textId="77777777" w:rsidR="0016320C" w:rsidRPr="00641E64" w:rsidRDefault="00000000">
      <w:pPr>
        <w:pStyle w:val="Heading1"/>
        <w:spacing w:before="360" w:after="160"/>
        <w:rPr>
          <w:rFonts w:ascii="Calibri" w:hAnsi="Calibri" w:cs="Calibri"/>
        </w:rPr>
      </w:pPr>
      <w:r w:rsidRPr="00641E64">
        <w:rPr>
          <w:rFonts w:ascii="Calibri" w:hAnsi="Calibri" w:cs="Calibri"/>
        </w:rPr>
        <w:t>5. Research Objectives</w:t>
      </w:r>
    </w:p>
    <w:p w14:paraId="24AC69F7"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To reconcile conflicting prior findings on Urdu–Hindi cross-lingual representational similarity by independently reproducing the relevant baseline pipeline before drawing any new conclusions (Method A).</w:t>
      </w:r>
    </w:p>
    <w:p w14:paraId="0569FC34"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lastRenderedPageBreak/>
        <w:t>To design and implement a matched subword-regularization control that isolates tokenization fertility from the mean-pooling confound, applied identically to WordPiece (mBERT) and SentencePiece/BPE (XLM-R) tokenizers (Method B).</w:t>
      </w:r>
    </w:p>
    <w:p w14:paraId="4DFD17B4"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To test this isolation method across two script-divergent language pairs drawn from different language families and regions — Urdu–Hindi (Indo-Aryan, South Asia) and Central Kanuri Arabic/Latin (Nilo-Saharan, Lake Chad Basin) — to assess whether any observed effect generalizes beyond a single language pair or a single language family, with the secondary pair analyzed at a pre-committed, lighter statistical depth.</w:t>
      </w:r>
    </w:p>
    <w:p w14:paraId="018332CE"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To quantify the robustness of the result using CKA as the primary similarity metric and anisotropy-corrected cosine similarity as a secondary check, corrected for multiple comparisons via Benjamini–Hochberg FDR, including a pre-registered equivalence test (TOST) for interpreting null results.</w:t>
      </w:r>
    </w:p>
    <w:p w14:paraId="2140B738"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To produce a fully reproducible, publicly released research artifact — code, pre-registration, and result data — that allows the matched-control method to be applied to additional script-divergent language pairs without rebuilding the pipeline.</w:t>
      </w:r>
    </w:p>
    <w:p w14:paraId="4AC1A388" w14:textId="77777777" w:rsidR="0016320C" w:rsidRPr="00641E64" w:rsidRDefault="00000000">
      <w:pPr>
        <w:pStyle w:val="Heading1"/>
        <w:spacing w:before="360" w:after="160"/>
        <w:rPr>
          <w:rFonts w:ascii="Calibri" w:hAnsi="Calibri" w:cs="Calibri"/>
        </w:rPr>
      </w:pPr>
      <w:r w:rsidRPr="00641E64">
        <w:rPr>
          <w:rFonts w:ascii="Calibri" w:hAnsi="Calibri" w:cs="Calibri"/>
        </w:rPr>
        <w:t>6. Literature Review</w:t>
      </w:r>
    </w:p>
    <w:p w14:paraId="01AB62A0" w14:textId="77777777" w:rsidR="0016320C" w:rsidRPr="00641E64" w:rsidRDefault="00000000">
      <w:pPr>
        <w:spacing w:after="160"/>
        <w:rPr>
          <w:rFonts w:ascii="Calibri" w:hAnsi="Calibri" w:cs="Calibri"/>
        </w:rPr>
      </w:pPr>
      <w:r w:rsidRPr="00641E64">
        <w:rPr>
          <w:rFonts w:ascii="Calibri" w:hAnsi="Calibri" w:cs="Calibri"/>
        </w:rPr>
        <w:t>A structured search against approximately 20 candidate overlapping papers was carried out prior to finalizing this proposal, so that the design below reflects a settled reading of the literature rather than an open question. The review is organized around the four functions this literature plays in the study: foundational baselines, the core gap being addressed, methodological tools being reused or adapted, and adjacent work that was deliberately excluded from the contribution.</w:t>
      </w:r>
    </w:p>
    <w:p w14:paraId="26F35790" w14:textId="77777777" w:rsidR="0016320C" w:rsidRPr="00641E64" w:rsidRDefault="00000000">
      <w:pPr>
        <w:pStyle w:val="Heading2"/>
        <w:spacing w:before="240" w:after="120"/>
        <w:rPr>
          <w:rFonts w:ascii="Calibri" w:hAnsi="Calibri" w:cs="Calibri"/>
        </w:rPr>
      </w:pPr>
      <w:r w:rsidRPr="00641E64">
        <w:rPr>
          <w:rFonts w:ascii="Calibri" w:hAnsi="Calibri" w:cs="Calibri"/>
        </w:rPr>
        <w:t>6.1 Foundational Cross-Lingual Representation Literature</w:t>
      </w:r>
    </w:p>
    <w:p w14:paraId="6072F512" w14:textId="77777777" w:rsidR="0016320C" w:rsidRPr="00641E64" w:rsidRDefault="00000000">
      <w:pPr>
        <w:spacing w:after="160"/>
        <w:rPr>
          <w:rFonts w:ascii="Calibri" w:hAnsi="Calibri" w:cs="Calibri"/>
        </w:rPr>
      </w:pPr>
      <w:r w:rsidRPr="00641E64">
        <w:rPr>
          <w:rFonts w:ascii="Calibri" w:hAnsi="Calibri" w:cs="Calibri"/>
        </w:rPr>
        <w:t>Pires, Schlinger, and Garrette (2019) first showed that multilingual BERT transfers cross-lingually well beyond what shared vocabulary alone would predict, but reported comparatively weak performance for some script-divergent pairs. Del and Fishel (2021) revisited this using CKA/CCA/SVCCA-based similarity measures and reported partially conflicting conclusions specifically for Urdu–Hindi. This unresolved disagreement is the direct motivation for the reconciliation baseline (Method A) proposed in Section 7.1: the disagreement is treated as a prerequisite to settle, not as the contribution.</w:t>
      </w:r>
    </w:p>
    <w:p w14:paraId="3530A881" w14:textId="77777777" w:rsidR="0016320C" w:rsidRPr="00641E64" w:rsidRDefault="00000000">
      <w:pPr>
        <w:spacing w:after="160"/>
        <w:rPr>
          <w:rFonts w:ascii="Calibri" w:hAnsi="Calibri" w:cs="Calibri"/>
        </w:rPr>
      </w:pPr>
      <w:r w:rsidRPr="00641E64">
        <w:rPr>
          <w:rFonts w:ascii="Calibri" w:hAnsi="Calibri" w:cs="Calibri"/>
        </w:rPr>
        <w:t>Kornblith, Norouzi, Lee, and Hinton (2019) introduced Centered Kernel Alignment (CKA) as a similarity index for neural network representations, which underlies both the original baseline studies and the primary metric adopted in Method A of this proposal. Ethayarajh (2019) established that contextual embedding spaces are frequently anisotropic, which is directly relevant to interpreting pooled cosine similarity later in the design.</w:t>
      </w:r>
    </w:p>
    <w:p w14:paraId="26BD2519" w14:textId="77777777" w:rsidR="0016320C" w:rsidRPr="00641E64" w:rsidRDefault="00000000">
      <w:pPr>
        <w:pStyle w:val="Heading2"/>
        <w:spacing w:before="240" w:after="120"/>
        <w:rPr>
          <w:rFonts w:ascii="Calibri" w:hAnsi="Calibri" w:cs="Calibri"/>
        </w:rPr>
      </w:pPr>
      <w:r w:rsidRPr="00641E64">
        <w:rPr>
          <w:rFonts w:ascii="Calibri" w:hAnsi="Calibri" w:cs="Calibri"/>
        </w:rPr>
        <w:t>6.2 The Core Gap: Fertility Versus the Pooling Confound</w:t>
      </w:r>
    </w:p>
    <w:p w14:paraId="4144E774" w14:textId="77777777" w:rsidR="0016320C" w:rsidRPr="00641E64" w:rsidRDefault="00000000">
      <w:pPr>
        <w:spacing w:after="160"/>
        <w:rPr>
          <w:rFonts w:ascii="Calibri" w:hAnsi="Calibri" w:cs="Calibri"/>
        </w:rPr>
      </w:pPr>
      <w:r w:rsidRPr="00641E64">
        <w:rPr>
          <w:rFonts w:ascii="Calibri" w:hAnsi="Calibri" w:cs="Calibri"/>
        </w:rPr>
        <w:t>No prior work was found that implements a matched physical control isolating tokenization fertility from mean-pooling on frozen encoders — this is the central gap the proposed study fills. DEPART (2026) was initially flagged as the closest related work, but on verification against the published paper (Uppadhyay et al., Microsoft Research India), it decomposes multilingual LLM benchmark-accuracy variance via a Bayesian hierarchical framework, using script, language family, and typological distance as predictors of downstream task performance; it does not address tokenization fertility, mean-pooling, or CKA at all. It is therefore removed as a direct comparator here and retained, if at all, only as adjacent context on multilingual performance disparity more broadly — a distinct question from the representational-geometry isolation this proposal targets. “Beyond Fertility” / STRR (2025) proposes a whole-word retention metric as an alternative to fertility itself; it is a distinct metric contribution and is treated in this proposal as background/future work rather than a competing method.</w:t>
      </w:r>
    </w:p>
    <w:p w14:paraId="0B702FE6" w14:textId="77777777" w:rsidR="0016320C" w:rsidRPr="00641E64" w:rsidRDefault="00000000">
      <w:pPr>
        <w:spacing w:after="160"/>
        <w:rPr>
          <w:rFonts w:ascii="Calibri" w:hAnsi="Calibri" w:cs="Calibri"/>
        </w:rPr>
      </w:pPr>
      <w:r w:rsidRPr="00641E64">
        <w:rPr>
          <w:rFonts w:ascii="Calibri" w:hAnsi="Calibri" w:cs="Calibri"/>
        </w:rPr>
        <w:t>Mitra and Kumar (2026) provide a formal proof that mean-pooled cosine similarity is not length-invariant under anisotropy, and validate this empirically outside the Urdu–Hindi domain. This result directly strengthens the motivation for the proposed study: it gives a formal mechanism for exactly the pooling artifact this proposal isolates, and is treated as required citation and required methodological consideration (Section 7.1) rather than a competing claim.</w:t>
      </w:r>
    </w:p>
    <w:p w14:paraId="69EA4D77" w14:textId="77777777" w:rsidR="0016320C" w:rsidRPr="00641E64" w:rsidRDefault="00000000">
      <w:pPr>
        <w:pStyle w:val="Heading2"/>
        <w:spacing w:before="240" w:after="120"/>
        <w:rPr>
          <w:rFonts w:ascii="Calibri" w:hAnsi="Calibri" w:cs="Calibri"/>
        </w:rPr>
      </w:pPr>
      <w:r w:rsidRPr="00641E64">
        <w:rPr>
          <w:rFonts w:ascii="Calibri" w:hAnsi="Calibri" w:cs="Calibri"/>
        </w:rPr>
        <w:lastRenderedPageBreak/>
        <w:t>6.3 Methodological Literature Being Reused or Adapted</w:t>
      </w:r>
    </w:p>
    <w:p w14:paraId="5CAAAFEF" w14:textId="77777777" w:rsidR="0016320C" w:rsidRPr="00641E64" w:rsidRDefault="00000000">
      <w:pPr>
        <w:spacing w:after="160"/>
        <w:rPr>
          <w:rFonts w:ascii="Calibri" w:hAnsi="Calibri" w:cs="Calibri"/>
        </w:rPr>
      </w:pPr>
      <w:r w:rsidRPr="00641E64">
        <w:rPr>
          <w:rFonts w:ascii="Calibri" w:hAnsi="Calibri" w:cs="Calibri"/>
        </w:rPr>
        <w:t>Del and Fishel's own 2022 AACL follow-up work argues that CKA/CCA can under-report similarity that other measures — including their proposed Average Neuron-Wise Correlation (ANC) — are able to detect. This concern is treated as a required read when finalizing the metric set for Method A. In this revision, ANC itself is not adopted into the active analysis pipeline (see Section 8); it is retained as a documented future extension rather than a third active metric, in order to keep the primary-metric designation (CKA) unambiguous and to avoid an additional layer of metric multiplicity.</w:t>
      </w:r>
    </w:p>
    <w:p w14:paraId="1B2C5EA2" w14:textId="77777777" w:rsidR="0016320C" w:rsidRPr="00641E64" w:rsidRDefault="00000000">
      <w:pPr>
        <w:spacing w:after="160"/>
        <w:rPr>
          <w:rFonts w:ascii="Calibri" w:hAnsi="Calibri" w:cs="Calibri"/>
        </w:rPr>
      </w:pPr>
      <w:r w:rsidRPr="00641E64">
        <w:rPr>
          <w:rFonts w:ascii="Calibri" w:hAnsi="Calibri" w:cs="Calibri"/>
        </w:rPr>
        <w:t>Kudo (2018) and Provilkov, Emelianenko, and Voita (2020) established the stochastic subword-sampling techniques — SentencePiece regularization and BPE-Dropout — that make a matched control possible on the XLM-R side. Hiraoka (2022) provides the WordPiece-side equivalent, MaxMatch-Dropout, needed for mBERT. Cognetta, Zouhar, and Okazaki (2024) show that both BPE-Dropout and MaxMatch-Dropout are heavily biased toward the canonical tokenization — empirically, BPE-Dropout places roughly 97.8% of its probability mass on the single default segmentation — which means an uncorrected “matched alternative” risks being closer to canonical-plus-small-perturbation than a genuinely different valid segmentation. Their uniform-sampling algorithm is proposed for adoption in this study as a bias correction (Section 7.3.3).</w:t>
      </w:r>
    </w:p>
    <w:p w14:paraId="10373B88" w14:textId="77777777" w:rsidR="0016320C" w:rsidRPr="00641E64" w:rsidRDefault="00000000">
      <w:pPr>
        <w:spacing w:after="160"/>
        <w:rPr>
          <w:rFonts w:ascii="Calibri" w:hAnsi="Calibri" w:cs="Calibri"/>
        </w:rPr>
      </w:pPr>
      <w:r w:rsidRPr="00641E64">
        <w:rPr>
          <w:rFonts w:ascii="Calibri" w:hAnsi="Calibri" w:cs="Calibri"/>
        </w:rPr>
        <w:t>Rust, Pfeiffer, Vulic, Ruder, and Gurevych (2021) examine tokenizer quality and monolingual performance across multilingual models, providing broader context for why tokenizer behavior is treated as a first-class variable rather than an implementation detail in this design.</w:t>
      </w:r>
    </w:p>
    <w:p w14:paraId="31F3793E" w14:textId="77777777" w:rsidR="0016320C" w:rsidRPr="00641E64" w:rsidRDefault="00000000">
      <w:pPr>
        <w:pStyle w:val="Heading2"/>
        <w:spacing w:before="240" w:after="120"/>
        <w:rPr>
          <w:rFonts w:ascii="Calibri" w:hAnsi="Calibri" w:cs="Calibri"/>
        </w:rPr>
      </w:pPr>
      <w:r w:rsidRPr="00641E64">
        <w:rPr>
          <w:rFonts w:ascii="Calibri" w:hAnsi="Calibri" w:cs="Calibri"/>
        </w:rPr>
        <w:t>6.4 Linguistic Grounding for the Orthographic-Asymmetry Limitation</w:t>
      </w:r>
    </w:p>
    <w:p w14:paraId="647F1923" w14:textId="77777777" w:rsidR="0016320C" w:rsidRPr="00641E64" w:rsidRDefault="00000000">
      <w:pPr>
        <w:spacing w:after="160"/>
        <w:rPr>
          <w:rFonts w:ascii="Calibri" w:hAnsi="Calibri" w:cs="Calibri"/>
        </w:rPr>
      </w:pPr>
      <w:r w:rsidRPr="00641E64">
        <w:rPr>
          <w:rFonts w:ascii="Calibri" w:hAnsi="Calibri" w:cs="Calibri"/>
        </w:rPr>
        <w:t>Existing rule-based work on Urdu tokenization (2024/2025) documents izafat constructions, enclitics, and noun-noun compounding as sources of tokenization difficulty specific to Urdu. This work is cited as linguistic grounding for a limitation acknowledged later in this proposal (Section 10): whitespace-based word-boundary segmentation is a noisier proxy for Urdu than for Hindi, given less standardized orthographic conventions around these constructions.</w:t>
      </w:r>
    </w:p>
    <w:p w14:paraId="7AF436D7" w14:textId="77777777" w:rsidR="0016320C" w:rsidRPr="00641E64" w:rsidRDefault="00000000">
      <w:pPr>
        <w:pStyle w:val="Heading2"/>
        <w:spacing w:before="240" w:after="120"/>
        <w:rPr>
          <w:rFonts w:ascii="Calibri" w:hAnsi="Calibri" w:cs="Calibri"/>
        </w:rPr>
      </w:pPr>
      <w:r w:rsidRPr="00641E64">
        <w:rPr>
          <w:rFonts w:ascii="Calibri" w:hAnsi="Calibri" w:cs="Calibri"/>
        </w:rPr>
        <w:t>6.5 Adjacent Work Explicitly Excluded from Scope</w:t>
      </w:r>
    </w:p>
    <w:p w14:paraId="05E8E23A" w14:textId="77777777" w:rsidR="0016320C" w:rsidRPr="00641E64" w:rsidRDefault="00000000">
      <w:pPr>
        <w:spacing w:after="160"/>
        <w:rPr>
          <w:rFonts w:ascii="Calibri" w:hAnsi="Calibri" w:cs="Calibri"/>
        </w:rPr>
      </w:pPr>
      <w:r w:rsidRPr="00641E64">
        <w:rPr>
          <w:rFonts w:ascii="Calibri" w:hAnsi="Calibri" w:cs="Calibri"/>
        </w:rPr>
        <w:t>Two areas were identified during the review and deliberately excluded from the contribution. First, tokenizer or vocabulary augmentation/replacement for Nastaliq or Indic scripts (e.g., BrahmicTokenizer-131K, Parallel Tokenizers, TokSuite, and related Indic tokenization surveys) is a crowded, saturated space; this proposal does not build or adapt a tokenizer and treats that direction as explicitly out of scope. Second, Gigant et al. (2026), which decomposes subword-versus-byte pretraining dynamics on monolingual English data, was assessed and found not relevant — it has no multilingual angle, no frozen-model probing, and no CKA-based analysis, and is therefore excluded rather than cited.</w:t>
      </w:r>
    </w:p>
    <w:p w14:paraId="523B71F5" w14:textId="77777777" w:rsidR="0016320C" w:rsidRPr="00641E64" w:rsidRDefault="00000000">
      <w:pPr>
        <w:pStyle w:val="Heading1"/>
        <w:spacing w:before="360" w:after="160"/>
        <w:rPr>
          <w:rFonts w:ascii="Calibri" w:hAnsi="Calibri" w:cs="Calibri"/>
        </w:rPr>
      </w:pPr>
      <w:r w:rsidRPr="00641E64">
        <w:rPr>
          <w:rFonts w:ascii="Calibri" w:hAnsi="Calibri" w:cs="Calibri"/>
        </w:rPr>
        <w:t>7. Research Design and Methodology</w:t>
      </w:r>
    </w:p>
    <w:p w14:paraId="4D8FA842" w14:textId="77777777" w:rsidR="0016320C" w:rsidRPr="00641E64" w:rsidRDefault="00000000">
      <w:pPr>
        <w:spacing w:after="160"/>
        <w:rPr>
          <w:rFonts w:ascii="Calibri" w:hAnsi="Calibri" w:cs="Calibri"/>
        </w:rPr>
      </w:pPr>
      <w:r w:rsidRPr="00641E64">
        <w:rPr>
          <w:rFonts w:ascii="Calibri" w:hAnsi="Calibri" w:cs="Calibri"/>
        </w:rPr>
        <w:t>The study uses a purely observational, representational-analysis design on frozen pretrained encoders: no fine-tuning, no new text generation, and no human subjects are involved at any stage. The design proceeds in two methodological phases — a reconciliation baseline (Method A) that must clear before the core contribution is interpretable, and the matched subword-regularization test itself (Method B).</w:t>
      </w:r>
    </w:p>
    <w:p w14:paraId="1B36C72B" w14:textId="77777777" w:rsidR="0016320C" w:rsidRPr="00641E64" w:rsidRDefault="00000000">
      <w:pPr>
        <w:pStyle w:val="Heading2"/>
        <w:spacing w:before="240" w:after="120"/>
        <w:rPr>
          <w:rFonts w:ascii="Calibri" w:hAnsi="Calibri" w:cs="Calibri"/>
        </w:rPr>
      </w:pPr>
      <w:r w:rsidRPr="00641E64">
        <w:rPr>
          <w:rFonts w:ascii="Calibri" w:hAnsi="Calibri" w:cs="Calibri"/>
        </w:rPr>
        <w:t>7.1 Models and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358"/>
      </w:tblGrid>
      <w:tr w:rsidR="0016320C" w:rsidRPr="00641E64" w14:paraId="3B6B0455"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1F837246" w14:textId="77777777" w:rsidR="0016320C" w:rsidRPr="00641E64" w:rsidRDefault="00000000">
            <w:pPr>
              <w:rPr>
                <w:rFonts w:ascii="Calibri" w:hAnsi="Calibri" w:cs="Calibri"/>
              </w:rPr>
            </w:pPr>
            <w:r w:rsidRPr="00641E64">
              <w:rPr>
                <w:rFonts w:ascii="Calibri" w:hAnsi="Calibri" w:cs="Calibri"/>
                <w:b/>
                <w:bCs/>
              </w:rPr>
              <w:t>Model 1</w:t>
            </w:r>
          </w:p>
        </w:tc>
        <w:tc>
          <w:tcPr>
            <w:tcW w:w="3400" w:type="pct"/>
            <w:tcMar>
              <w:top w:w="80" w:type="dxa"/>
              <w:left w:w="120" w:type="dxa"/>
              <w:bottom w:w="80" w:type="dxa"/>
              <w:right w:w="120" w:type="dxa"/>
            </w:tcMar>
          </w:tcPr>
          <w:p w14:paraId="10C39D02" w14:textId="77777777" w:rsidR="0016320C" w:rsidRPr="00641E64" w:rsidRDefault="00000000">
            <w:pPr>
              <w:rPr>
                <w:rFonts w:ascii="Calibri" w:hAnsi="Calibri" w:cs="Calibri"/>
              </w:rPr>
            </w:pPr>
            <w:r w:rsidRPr="00641E64">
              <w:rPr>
                <w:rFonts w:ascii="Calibri" w:hAnsi="Calibri" w:cs="Calibri"/>
              </w:rPr>
              <w:t>mBERT (bert-base-multilingual-cased, WordPiece) — Devlin et al., 2019</w:t>
            </w:r>
          </w:p>
        </w:tc>
      </w:tr>
      <w:tr w:rsidR="0016320C" w:rsidRPr="00641E64" w14:paraId="4DF0AC6F"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139209F9" w14:textId="77777777" w:rsidR="0016320C" w:rsidRPr="00641E64" w:rsidRDefault="00000000">
            <w:pPr>
              <w:rPr>
                <w:rFonts w:ascii="Calibri" w:hAnsi="Calibri" w:cs="Calibri"/>
              </w:rPr>
            </w:pPr>
            <w:r w:rsidRPr="00641E64">
              <w:rPr>
                <w:rFonts w:ascii="Calibri" w:hAnsi="Calibri" w:cs="Calibri"/>
                <w:b/>
                <w:bCs/>
              </w:rPr>
              <w:t>Model 2</w:t>
            </w:r>
          </w:p>
        </w:tc>
        <w:tc>
          <w:tcPr>
            <w:tcW w:w="3400" w:type="pct"/>
            <w:tcMar>
              <w:top w:w="80" w:type="dxa"/>
              <w:left w:w="120" w:type="dxa"/>
              <w:bottom w:w="80" w:type="dxa"/>
              <w:right w:w="120" w:type="dxa"/>
            </w:tcMar>
          </w:tcPr>
          <w:p w14:paraId="649547CF" w14:textId="77777777" w:rsidR="0016320C" w:rsidRPr="00641E64" w:rsidRDefault="00000000">
            <w:pPr>
              <w:rPr>
                <w:rFonts w:ascii="Calibri" w:hAnsi="Calibri" w:cs="Calibri"/>
              </w:rPr>
            </w:pPr>
            <w:r w:rsidRPr="00641E64">
              <w:rPr>
                <w:rFonts w:ascii="Calibri" w:hAnsi="Calibri" w:cs="Calibri"/>
              </w:rPr>
              <w:t>XLM-R (SentencePiece/BPE) — Conneau et al., 2020</w:t>
            </w:r>
          </w:p>
        </w:tc>
      </w:tr>
      <w:tr w:rsidR="0016320C" w:rsidRPr="00641E64" w14:paraId="68806448"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25140F2B" w14:textId="77777777" w:rsidR="0016320C" w:rsidRPr="00641E64" w:rsidRDefault="00000000">
            <w:pPr>
              <w:rPr>
                <w:rFonts w:ascii="Calibri" w:hAnsi="Calibri" w:cs="Calibri"/>
              </w:rPr>
            </w:pPr>
            <w:r w:rsidRPr="00641E64">
              <w:rPr>
                <w:rFonts w:ascii="Calibri" w:hAnsi="Calibri" w:cs="Calibri"/>
                <w:b/>
                <w:bCs/>
              </w:rPr>
              <w:t>Corpus</w:t>
            </w:r>
          </w:p>
        </w:tc>
        <w:tc>
          <w:tcPr>
            <w:tcW w:w="3400" w:type="pct"/>
            <w:tcMar>
              <w:top w:w="80" w:type="dxa"/>
              <w:left w:w="120" w:type="dxa"/>
              <w:bottom w:w="80" w:type="dxa"/>
              <w:right w:w="120" w:type="dxa"/>
            </w:tcMar>
          </w:tcPr>
          <w:p w14:paraId="0D96AD3B" w14:textId="77777777" w:rsidR="0016320C" w:rsidRPr="00641E64" w:rsidRDefault="00000000">
            <w:pPr>
              <w:rPr>
                <w:rFonts w:ascii="Calibri" w:hAnsi="Calibri" w:cs="Calibri"/>
              </w:rPr>
            </w:pPr>
            <w:r w:rsidRPr="00641E64">
              <w:rPr>
                <w:rFonts w:ascii="Calibri" w:hAnsi="Calibri" w:cs="Calibri"/>
              </w:rPr>
              <w:t>FLORES-200 (facebook/flores, HuggingFace Datasets) — public parallel corpus</w:t>
            </w:r>
          </w:p>
        </w:tc>
      </w:tr>
      <w:tr w:rsidR="0016320C" w:rsidRPr="00641E64" w14:paraId="0445C82B"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209412AC" w14:textId="77777777" w:rsidR="0016320C" w:rsidRPr="00641E64" w:rsidRDefault="00000000">
            <w:pPr>
              <w:rPr>
                <w:rFonts w:ascii="Calibri" w:hAnsi="Calibri" w:cs="Calibri"/>
              </w:rPr>
            </w:pPr>
            <w:r w:rsidRPr="00641E64">
              <w:rPr>
                <w:rFonts w:ascii="Calibri" w:hAnsi="Calibri" w:cs="Calibri"/>
                <w:b/>
                <w:bCs/>
              </w:rPr>
              <w:lastRenderedPageBreak/>
              <w:t>Primary pair</w:t>
            </w:r>
          </w:p>
        </w:tc>
        <w:tc>
          <w:tcPr>
            <w:tcW w:w="3400" w:type="pct"/>
            <w:tcMar>
              <w:top w:w="80" w:type="dxa"/>
              <w:left w:w="120" w:type="dxa"/>
              <w:bottom w:w="80" w:type="dxa"/>
              <w:right w:w="120" w:type="dxa"/>
            </w:tcMar>
          </w:tcPr>
          <w:p w14:paraId="6B9D1544" w14:textId="77777777" w:rsidR="0016320C" w:rsidRPr="00641E64" w:rsidRDefault="00000000">
            <w:pPr>
              <w:rPr>
                <w:rFonts w:ascii="Calibri" w:hAnsi="Calibri" w:cs="Calibri"/>
              </w:rPr>
            </w:pPr>
            <w:r w:rsidRPr="00641E64">
              <w:rPr>
                <w:rFonts w:ascii="Calibri" w:hAnsi="Calibri" w:cs="Calibri"/>
              </w:rPr>
              <w:t>Nastaliq Urdu, Devanagari Hindi, English (pivot)</w:t>
            </w:r>
          </w:p>
        </w:tc>
      </w:tr>
      <w:tr w:rsidR="0016320C" w:rsidRPr="00641E64" w14:paraId="1B4544AA"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041CD3D8" w14:textId="77777777" w:rsidR="0016320C" w:rsidRPr="00641E64" w:rsidRDefault="00000000">
            <w:pPr>
              <w:rPr>
                <w:rFonts w:ascii="Calibri" w:hAnsi="Calibri" w:cs="Calibri"/>
              </w:rPr>
            </w:pPr>
            <w:r w:rsidRPr="00641E64">
              <w:rPr>
                <w:rFonts w:ascii="Calibri" w:hAnsi="Calibri" w:cs="Calibri"/>
                <w:b/>
                <w:bCs/>
              </w:rPr>
              <w:t>Secondary pair</w:t>
            </w:r>
          </w:p>
        </w:tc>
        <w:tc>
          <w:tcPr>
            <w:tcW w:w="3400" w:type="pct"/>
            <w:tcMar>
              <w:top w:w="80" w:type="dxa"/>
              <w:left w:w="120" w:type="dxa"/>
              <w:bottom w:w="80" w:type="dxa"/>
              <w:right w:w="120" w:type="dxa"/>
            </w:tcMar>
          </w:tcPr>
          <w:p w14:paraId="60F7BE1D" w14:textId="77777777" w:rsidR="0016320C" w:rsidRPr="00641E64" w:rsidRDefault="00000000">
            <w:pPr>
              <w:rPr>
                <w:rFonts w:ascii="Calibri" w:hAnsi="Calibri" w:cs="Calibri"/>
              </w:rPr>
            </w:pPr>
            <w:r w:rsidRPr="00641E64">
              <w:rPr>
                <w:rFonts w:ascii="Calibri" w:hAnsi="Calibri" w:cs="Calibri"/>
              </w:rPr>
              <w:t>Central Kanuri (Arabic/Ajami, knc_Arab), Central Kanuri (Latin, knc_Latn), English (pivot) — same corpus family</w:t>
            </w:r>
          </w:p>
        </w:tc>
      </w:tr>
      <w:tr w:rsidR="0016320C" w:rsidRPr="00641E64" w14:paraId="0695B6BC"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4B67F756" w14:textId="77777777" w:rsidR="0016320C" w:rsidRPr="00641E64" w:rsidRDefault="00000000">
            <w:pPr>
              <w:rPr>
                <w:rFonts w:ascii="Calibri" w:hAnsi="Calibri" w:cs="Calibri"/>
              </w:rPr>
            </w:pPr>
            <w:r w:rsidRPr="00641E64">
              <w:rPr>
                <w:rFonts w:ascii="Calibri" w:hAnsi="Calibri" w:cs="Calibri"/>
                <w:b/>
                <w:bCs/>
              </w:rPr>
              <w:t>Primary-pair sample size</w:t>
            </w:r>
          </w:p>
        </w:tc>
        <w:tc>
          <w:tcPr>
            <w:tcW w:w="3400" w:type="pct"/>
            <w:tcMar>
              <w:top w:w="80" w:type="dxa"/>
              <w:left w:w="120" w:type="dxa"/>
              <w:bottom w:w="80" w:type="dxa"/>
              <w:right w:w="120" w:type="dxa"/>
            </w:tcMar>
          </w:tcPr>
          <w:p w14:paraId="6E888651" w14:textId="77777777" w:rsidR="0016320C" w:rsidRPr="00641E64" w:rsidRDefault="00000000">
            <w:pPr>
              <w:rPr>
                <w:rFonts w:ascii="Calibri" w:hAnsi="Calibri" w:cs="Calibri"/>
              </w:rPr>
            </w:pPr>
            <w:r w:rsidRPr="00641E64">
              <w:rPr>
                <w:rFonts w:ascii="Calibri" w:hAnsi="Calibri" w:cs="Calibri"/>
              </w:rPr>
              <w:t>997 (dev) + 1,012 (devtest) = 2,009 sentence pairs per language</w:t>
            </w:r>
          </w:p>
        </w:tc>
      </w:tr>
      <w:tr w:rsidR="0016320C" w:rsidRPr="00641E64" w14:paraId="368EA2F4"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388FED97" w14:textId="77777777" w:rsidR="0016320C" w:rsidRPr="00641E64" w:rsidRDefault="00000000">
            <w:pPr>
              <w:rPr>
                <w:rFonts w:ascii="Calibri" w:hAnsi="Calibri" w:cs="Calibri"/>
              </w:rPr>
            </w:pPr>
            <w:r w:rsidRPr="00641E64">
              <w:rPr>
                <w:rFonts w:ascii="Calibri" w:hAnsi="Calibri" w:cs="Calibri"/>
                <w:b/>
                <w:bCs/>
              </w:rPr>
              <w:t>Secondary-pair sample size &amp; depth</w:t>
            </w:r>
          </w:p>
        </w:tc>
        <w:tc>
          <w:tcPr>
            <w:tcW w:w="3400" w:type="pct"/>
            <w:tcMar>
              <w:top w:w="80" w:type="dxa"/>
              <w:left w:w="120" w:type="dxa"/>
              <w:bottom w:w="80" w:type="dxa"/>
              <w:right w:w="120" w:type="dxa"/>
            </w:tcMar>
          </w:tcPr>
          <w:p w14:paraId="049A828A" w14:textId="77777777" w:rsidR="0016320C" w:rsidRPr="00641E64" w:rsidRDefault="00000000">
            <w:pPr>
              <w:rPr>
                <w:rFonts w:ascii="Calibri" w:hAnsi="Calibri" w:cs="Calibri"/>
              </w:rPr>
            </w:pPr>
            <w:r w:rsidRPr="00641E64">
              <w:rPr>
                <w:rFonts w:ascii="Calibri" w:hAnsi="Calibri" w:cs="Calibri"/>
              </w:rPr>
              <w:t>997 (dev) + 1,012 (devtest) = 2,009 sentence pairs per language — confirmed identical split structure to the primary pair. Committed up front (not left to an interim decision) to a lighter, preliminary-depth statistical treatment: primary metric (CKA) and the core matched-control comparison are run in full, but per-layer FDR-corrected significance testing and the TOST equivalence test are reported for the primary pair only, with the secondary pair reported as a descriptive robustness check.</w:t>
            </w:r>
          </w:p>
        </w:tc>
      </w:tr>
    </w:tbl>
    <w:p w14:paraId="190E34AC" w14:textId="77777777" w:rsidR="0016320C" w:rsidRPr="00641E64" w:rsidRDefault="00000000">
      <w:pPr>
        <w:spacing w:after="160"/>
        <w:rPr>
          <w:rFonts w:ascii="Calibri" w:hAnsi="Calibri" w:cs="Calibri"/>
        </w:rPr>
      </w:pPr>
      <w:r w:rsidRPr="00641E64">
        <w:rPr>
          <w:rFonts w:ascii="Calibri" w:hAnsi="Calibri" w:cs="Calibri"/>
        </w:rPr>
        <w:t>Split sizes and Central Kanuri Arabic/Latin coverage were verified directly against the dataset rather than assumed, since dataset cards are occasionally restructured; the secondary-pair splits match the primary pair exactly (997 dev, 1,012 devtest). Committing the secondary pair to preliminary depth from the outset — rather than deciding at a checkpoint based on remaining runway — removes a scheduling decision that could otherwise be read as outcome-adjacent, even though the original intent was always schedule-based rather than results-based.</w:t>
      </w:r>
    </w:p>
    <w:p w14:paraId="51076FA4" w14:textId="77777777" w:rsidR="0016320C" w:rsidRPr="00641E64" w:rsidRDefault="00000000">
      <w:pPr>
        <w:pStyle w:val="Heading2"/>
        <w:spacing w:before="240" w:after="120"/>
        <w:rPr>
          <w:rFonts w:ascii="Calibri" w:hAnsi="Calibri" w:cs="Calibri"/>
        </w:rPr>
      </w:pPr>
      <w:r w:rsidRPr="00641E64">
        <w:rPr>
          <w:rFonts w:ascii="Calibri" w:hAnsi="Calibri" w:cs="Calibri"/>
        </w:rPr>
        <w:t>7.1.1 Tokenizer Viability Pre-Check (Fertility/UNK Screening)</w:t>
      </w:r>
    </w:p>
    <w:p w14:paraId="2552D985" w14:textId="77777777" w:rsidR="0016320C" w:rsidRPr="00641E64" w:rsidRDefault="00000000">
      <w:pPr>
        <w:spacing w:after="160"/>
        <w:rPr>
          <w:rFonts w:ascii="Calibri" w:hAnsi="Calibri" w:cs="Calibri"/>
        </w:rPr>
      </w:pPr>
      <w:r w:rsidRPr="00641E64">
        <w:rPr>
          <w:rFonts w:ascii="Calibri" w:hAnsi="Calibri" w:cs="Calibri"/>
        </w:rPr>
        <w:t>Before committing to any secondary-pair candidate, tokenizer fertility and UNK (unknown-token) rate were measured empirically for mBERT (bert-base-multilingual-cased) and XLM-R (xlm-roberta-base) against the FLORES-200/FLORES+ dev split (997 sentences), with Urdu as a known-healthy baseline for comparison. This pre-check is treated as a hard gate: a candidate pair with a non-trivial UNK rate or extreme fertility inflation would mean the model cannot see most of the input, making any downstream CKA/cosine/nearest-neighbor comparison for that pair uninterpretable rather than merely noisy.</w:t>
      </w:r>
    </w:p>
    <w:p w14:paraId="766F8F37"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Urdu baseline (both models healthy): mBERT fertility 1.76, UNK 0.13%; XLM-R fertility 1.36, UNK 0.00%.</w:t>
      </w:r>
    </w:p>
    <w:p w14:paraId="30D63142"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Tamasheq (taq_Latn/taq_Tfng) was screened first as a candidate and rejected: mBERT showed a 69.6% UNK rate and XLM-R a 47.1% UNK rate on the Tifinagh variant, with Llama 3.1 8B showing 0% UNK but a fertility of 12.71 (vs. 3.00 for Urdu) — evidence of silent byte-fallback shredding rather than genuine subword tokenization. All three failure modes were disqualifying, and Tamasheq was dropped from consideration.</w:t>
      </w:r>
    </w:p>
    <w:p w14:paraId="242C899E"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Central Kanuri (knc_Arab/knc_Latn) was screened next and passed, with one caveat: XLM-R is clean on both scripts (Arabic fertility 4.29, UNK 0.02%; Latin fertility 2.50, UNK 0.00%), and mBERT is usable but shows an elevated UNK rate relative to the Urdu baseline (Arabic fertility 3.51, UNK 3.98%; Latin fertility 2.13, UNK 7.97%). Fertility is elevated across the board relative to Urdu, consistent with Kanuri's lower representation in pretraining data, and is not itself disqualifying.</w:t>
      </w:r>
    </w:p>
    <w:p w14:paraId="5BA847AA" w14:textId="77777777" w:rsidR="0016320C" w:rsidRPr="00641E64" w:rsidRDefault="00000000">
      <w:pPr>
        <w:spacing w:after="160"/>
        <w:rPr>
          <w:rFonts w:ascii="Calibri" w:hAnsi="Calibri" w:cs="Calibri"/>
        </w:rPr>
      </w:pPr>
      <w:r w:rsidRPr="00641E64">
        <w:rPr>
          <w:rFonts w:ascii="Calibri" w:hAnsi="Calibri" w:cs="Calibri"/>
        </w:rPr>
        <w:t>Central Kanuri Arabic/Latin is adopted as the secondary pair on this basis. The mBERT UNK-rate caveat is carried forward explicitly rather than absorbed silently: mBERT-on-Kanuri results are reported as lower-confidence relative to XLM-R-on-Kanuri, and the generalization claim in Section 9 is qualified accordingly rather than stated as holding uniformly across both model families for this pair (see Section 10).</w:t>
      </w:r>
    </w:p>
    <w:p w14:paraId="61D239B8" w14:textId="77777777" w:rsidR="0016320C" w:rsidRPr="00641E64" w:rsidRDefault="00000000">
      <w:pPr>
        <w:pStyle w:val="Heading2"/>
        <w:spacing w:before="240" w:after="120"/>
        <w:rPr>
          <w:rFonts w:ascii="Calibri" w:hAnsi="Calibri" w:cs="Calibri"/>
        </w:rPr>
      </w:pPr>
      <w:r w:rsidRPr="00641E64">
        <w:rPr>
          <w:rFonts w:ascii="Calibri" w:hAnsi="Calibri" w:cs="Calibri"/>
        </w:rPr>
        <w:t>7.2 Method A — Reconciliation Baseline (Prerequisite)</w:t>
      </w:r>
    </w:p>
    <w:p w14:paraId="58FD3670" w14:textId="77777777" w:rsidR="0016320C" w:rsidRPr="00641E64" w:rsidRDefault="00000000">
      <w:pPr>
        <w:spacing w:after="160"/>
        <w:rPr>
          <w:rFonts w:ascii="Calibri" w:hAnsi="Calibri" w:cs="Calibri"/>
        </w:rPr>
      </w:pPr>
      <w:r w:rsidRPr="00641E64">
        <w:rPr>
          <w:rFonts w:ascii="Calibri" w:hAnsi="Calibri" w:cs="Calibri"/>
        </w:rPr>
        <w:t>Before Method B can be interpreted, this phase settles whether Pires et al. (2019) and Del and Fishel (2021) actually disagree on Urdu–Hindi. Rather than rebuilding this pipeline from scratch, the study reuses Del and Fishel's public implementation (the xsim codebase), which already covers mBERT/XLM-R embedding extraction, mean- and CLS-pooling, and CKA/CCA/SVCCA computation.</w:t>
      </w:r>
    </w:p>
    <w:p w14:paraId="051E446D"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 lightweight smoke test is run first — the forked pipeline is executed end-to-end on a trivial toy input purely to confirm it runs, surfacing any broken plumbing early rather than after a full reproduction attempt.</w:t>
      </w:r>
    </w:p>
    <w:p w14:paraId="7533C5FD"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lastRenderedPageBreak/>
        <w:t>As a sanity checkpoint, Del and Fishel's published Urdu/Hindi/Swahili/Thai CKA-outlier clustering is reproduced before any new number from the fork is trusted. An unresolved reproduction is not carried forward into the next phase.</w:t>
      </w:r>
    </w:p>
    <w:p w14:paraId="5E3F642F"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Required output: raw pairwise CKA (primary metric) and anisotropy-corrected cosine similarity (secondary metric), plus nearest-neighbor accuracy, computed identically across layers and models, for Urdu×Hindi and separately for Kanuri-Arabic×Kanuri-Latin.</w:t>
      </w:r>
    </w:p>
    <w:p w14:paraId="40F340DB"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 token-level, position-aligned CKA (computed without any pooling step) is reported alongside the standard pooled CKA, directly testing whether Method A's own baseline carries residual length/fertility sensitivity of the kind formalized by Mitra and Kumar (2026).</w:t>
      </w:r>
    </w:p>
    <w:p w14:paraId="4F0BECF8"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ANC (Del &amp; Fishel, 2022) is not run as part of the active analysis in this revision; it is noted as a candidate future extension given the original authors' own documented reliability concerns about CKA/CCA, but is excluded here to keep CKA as the unambiguous primary metric (see Revision Note and Section 8).</w:t>
      </w:r>
    </w:p>
    <w:p w14:paraId="178ED703" w14:textId="77777777" w:rsidR="0016320C" w:rsidRPr="00641E64" w:rsidRDefault="00000000">
      <w:pPr>
        <w:pStyle w:val="Heading2"/>
        <w:spacing w:before="240" w:after="120"/>
        <w:rPr>
          <w:rFonts w:ascii="Calibri" w:hAnsi="Calibri" w:cs="Calibri"/>
        </w:rPr>
      </w:pPr>
      <w:r w:rsidRPr="00641E64">
        <w:rPr>
          <w:rFonts w:ascii="Calibri" w:hAnsi="Calibri" w:cs="Calibri"/>
        </w:rPr>
        <w:t>7.3 Method B — Matched Subword-Regularization Test (Core Contribution)</w:t>
      </w:r>
    </w:p>
    <w:p w14:paraId="5DDB5DAA" w14:textId="77777777" w:rsidR="0016320C" w:rsidRPr="00641E64" w:rsidRDefault="00000000">
      <w:pPr>
        <w:spacing w:after="160"/>
        <w:rPr>
          <w:rFonts w:ascii="Calibri" w:hAnsi="Calibri" w:cs="Calibri"/>
        </w:rPr>
      </w:pPr>
      <w:r w:rsidRPr="00641E64">
        <w:rPr>
          <w:rFonts w:ascii="Calibri" w:hAnsi="Calibri" w:cs="Calibri"/>
        </w:rPr>
        <w:t>This phase constitutes the paper's actual contribution: a matched control that isolates the fertility effect from the pooling artifact, applied symmetrically to both tokenizer families.</w:t>
      </w:r>
    </w:p>
    <w:p w14:paraId="43A518DA" w14:textId="77777777" w:rsidR="0016320C" w:rsidRPr="00641E64" w:rsidRDefault="00000000">
      <w:pPr>
        <w:pStyle w:val="Heading2"/>
        <w:spacing w:before="240" w:after="120"/>
        <w:rPr>
          <w:rFonts w:ascii="Calibri" w:hAnsi="Calibri" w:cs="Calibri"/>
        </w:rPr>
      </w:pPr>
      <w:r w:rsidRPr="00641E64">
        <w:rPr>
          <w:rFonts w:ascii="Calibri" w:hAnsi="Calibri" w:cs="Calibri"/>
        </w:rPr>
        <w:t>7.3.1 XLM-R side (SentencePiece/BPE)</w:t>
      </w:r>
    </w:p>
    <w:p w14:paraId="2FB731B9" w14:textId="77777777" w:rsidR="0016320C" w:rsidRPr="00641E64" w:rsidRDefault="00000000">
      <w:pPr>
        <w:spacing w:after="160"/>
        <w:rPr>
          <w:rFonts w:ascii="Calibri" w:hAnsi="Calibri" w:cs="Calibri"/>
        </w:rPr>
      </w:pPr>
      <w:r w:rsidRPr="00641E64">
        <w:rPr>
          <w:rFonts w:ascii="Calibri" w:hAnsi="Calibri" w:cs="Calibri"/>
        </w:rPr>
        <w:t>XLM-R's tokenizer exposes stochastic segmentation directly via SentencePiece's sampling mode (enable_sampling with a BPE-dropout probability, alpha), which samples alternate valid segmentations of the same word. This behavior is verified empirically by manually inspecting sampled segmentations on real Urdu, Hindi, and Kanuri words before being trusted at scale, rather than assumed to match documentation.</w:t>
      </w:r>
    </w:p>
    <w:p w14:paraId="21FB4779" w14:textId="77777777" w:rsidR="0016320C" w:rsidRPr="00641E64" w:rsidRDefault="00000000">
      <w:pPr>
        <w:pStyle w:val="Heading2"/>
        <w:spacing w:before="240" w:after="120"/>
        <w:rPr>
          <w:rFonts w:ascii="Calibri" w:hAnsi="Calibri" w:cs="Calibri"/>
        </w:rPr>
      </w:pPr>
      <w:r w:rsidRPr="00641E64">
        <w:rPr>
          <w:rFonts w:ascii="Calibri" w:hAnsi="Calibri" w:cs="Calibri"/>
        </w:rPr>
        <w:t>7.3.2 mBERT side (WordPiece)</w:t>
      </w:r>
    </w:p>
    <w:p w14:paraId="3FF1A873" w14:textId="77777777" w:rsidR="0016320C" w:rsidRPr="00641E64" w:rsidRDefault="00000000">
      <w:pPr>
        <w:spacing w:after="160"/>
        <w:rPr>
          <w:rFonts w:ascii="Calibri" w:hAnsi="Calibri" w:cs="Calibri"/>
        </w:rPr>
      </w:pPr>
      <w:r w:rsidRPr="00641E64">
        <w:rPr>
          <w:rFonts w:ascii="Calibri" w:hAnsi="Calibri" w:cs="Calibri"/>
        </w:rPr>
        <w:t>The WordPiece equivalent is provided by Hiraoka's public MaxMatch-Dropout implementation. As a smaller research codebase rather than a drop-in library, real adaptation effort is budgeted, and its compatibility with mBERT's WordPiece vocabulary file is verified before it is committed to as the pipeline.</w:t>
      </w:r>
    </w:p>
    <w:p w14:paraId="34D82629" w14:textId="77777777" w:rsidR="0016320C" w:rsidRPr="00641E64" w:rsidRDefault="00000000">
      <w:pPr>
        <w:pStyle w:val="Heading2"/>
        <w:spacing w:before="240" w:after="120"/>
        <w:rPr>
          <w:rFonts w:ascii="Calibri" w:hAnsi="Calibri" w:cs="Calibri"/>
        </w:rPr>
      </w:pPr>
      <w:r w:rsidRPr="00641E64">
        <w:rPr>
          <w:rFonts w:ascii="Calibri" w:hAnsi="Calibri" w:cs="Calibri"/>
        </w:rPr>
        <w:t>7.3.3 Sampling-Bias Correction</w:t>
      </w:r>
    </w:p>
    <w:p w14:paraId="633CB953" w14:textId="77777777" w:rsidR="0016320C" w:rsidRPr="00641E64" w:rsidRDefault="00000000">
      <w:pPr>
        <w:spacing w:after="160"/>
        <w:rPr>
          <w:rFonts w:ascii="Calibri" w:hAnsi="Calibri" w:cs="Calibri"/>
        </w:rPr>
      </w:pPr>
      <w:r w:rsidRPr="00641E64">
        <w:rPr>
          <w:rFonts w:ascii="Calibri" w:hAnsi="Calibri" w:cs="Calibri"/>
        </w:rPr>
        <w:t>Because Cognetta et al. (2024) show both stochastic samplers are heavily biased toward the canonical tokenization, this design either (a) adopts their uniform-sampling algorithm (finite-state-transducer lattice sampling) as the matched-control sampler for both tokenizers, subject to a time-boxed feasibility check early in the schedule, or (b) if that is not implemented in time, states the asymmetric sampling-bias limitation explicitly and treats any cross-model difference in the real-versus-matched comparison with corresponding caution.</w:t>
      </w:r>
    </w:p>
    <w:p w14:paraId="2B9E9B77" w14:textId="77777777" w:rsidR="0016320C" w:rsidRPr="00641E64" w:rsidRDefault="00000000">
      <w:pPr>
        <w:pStyle w:val="Heading2"/>
        <w:spacing w:before="240" w:after="120"/>
        <w:rPr>
          <w:rFonts w:ascii="Calibri" w:hAnsi="Calibri" w:cs="Calibri"/>
        </w:rPr>
      </w:pPr>
      <w:r w:rsidRPr="00641E64">
        <w:rPr>
          <w:rFonts w:ascii="Calibri" w:hAnsi="Calibri" w:cs="Calibri"/>
        </w:rPr>
        <w:t>7.3.4 Count-Matching Procedure</w:t>
      </w:r>
    </w:p>
    <w:p w14:paraId="7EBEF6CC" w14:textId="77777777" w:rsidR="0016320C" w:rsidRPr="00641E64" w:rsidRDefault="00000000">
      <w:pPr>
        <w:spacing w:after="160"/>
        <w:rPr>
          <w:rFonts w:ascii="Calibri" w:hAnsi="Calibri" w:cs="Calibri"/>
        </w:rPr>
      </w:pPr>
      <w:r w:rsidRPr="00641E64">
        <w:rPr>
          <w:rFonts w:ascii="Calibri" w:hAnsi="Calibri" w:cs="Calibri"/>
        </w:rPr>
        <w:t>The core matched-control procedure is piloted on a small subset (a few hundred sentence pairs) before being scaled to the full dataset, so that any asymmetry in discard rates is caught and addressed before the full run rather than after.</w:t>
      </w:r>
    </w:p>
    <w:p w14:paraId="7F0EF6C1"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Each word's default (greedy) subtoken split is recorded.</w:t>
      </w:r>
    </w:p>
    <w:p w14:paraId="7C1D33AF"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An alternative segmentation is sampled via the tokenizer's native stochastic mode (or the uniform-sampling replacement).</w:t>
      </w:r>
    </w:p>
    <w:p w14:paraId="0754BE3C"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If the alternative's piece count does not equal the real split's count, the word is resampled until matched or discarded from the computation — mismatched counts are never admitted.</w:t>
      </w:r>
    </w:p>
    <w:p w14:paraId="5912A870"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Real and matched-alternative representations are mean-pooled per sentence, and CKA (primary) and cosine similarity (secondary) to the reference-language sentence are computed for both.</w:t>
      </w:r>
    </w:p>
    <w:p w14:paraId="3BD4A3B5"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Degradation is compared between real tokenization and the count-matched alternative.</w:t>
      </w:r>
    </w:p>
    <w:p w14:paraId="67993A7B" w14:textId="77777777" w:rsidR="0016320C" w:rsidRPr="00641E64" w:rsidRDefault="00000000">
      <w:pPr>
        <w:spacing w:after="160"/>
        <w:rPr>
          <w:rFonts w:ascii="Calibri" w:hAnsi="Calibri" w:cs="Calibri"/>
        </w:rPr>
      </w:pPr>
      <w:r w:rsidRPr="00641E64">
        <w:rPr>
          <w:rFonts w:ascii="Calibri" w:hAnsi="Calibri" w:cs="Calibri"/>
        </w:rPr>
        <w:lastRenderedPageBreak/>
        <w:t>The per-language discard rate is logged for every pair run; if discard rates are asymmetric between languages, this is reported as a limitation rather than absorbed silently.</w:t>
      </w:r>
    </w:p>
    <w:p w14:paraId="7C6577D1" w14:textId="77777777" w:rsidR="0016320C" w:rsidRPr="00641E64" w:rsidRDefault="00000000">
      <w:pPr>
        <w:spacing w:after="160"/>
        <w:rPr>
          <w:rFonts w:ascii="Calibri" w:hAnsi="Calibri" w:cs="Calibri"/>
        </w:rPr>
      </w:pPr>
      <w:r w:rsidRPr="00641E64">
        <w:rPr>
          <w:rFonts w:ascii="Calibri" w:hAnsi="Calibri" w:cs="Calibri"/>
        </w:rPr>
        <w:t>Beyond the aggregate rate, discarded words are checked for systematic selection bias rather than assumed to be a random subsample: discard rate is reported as a function of corpus word-frequency quartile and of the real segmentation's subtoken count for each language pair. This directly tests whether the retained (matched) sample is skewed toward shorter or higher-frequency words relative to the full word distribution — if so, the real-versus-matched comparison would be evaluated on an easier-than-representative sample, which is reported as an explicit limitation on the matched control's fidelity rather than absorbed silently alongside the raw discard rate.</w:t>
      </w:r>
    </w:p>
    <w:p w14:paraId="5BB285C9" w14:textId="77777777" w:rsidR="0016320C" w:rsidRPr="00641E64" w:rsidRDefault="00000000">
      <w:pPr>
        <w:spacing w:after="160"/>
        <w:rPr>
          <w:rFonts w:ascii="Calibri" w:hAnsi="Calibri" w:cs="Calibri"/>
        </w:rPr>
      </w:pPr>
      <w:r w:rsidRPr="00641E64">
        <w:rPr>
          <w:rFonts w:ascii="Calibri" w:hAnsi="Calibri" w:cs="Calibri"/>
        </w:rPr>
        <w:t>Note on scope (v6): a secondary, non-headline check — modeling representational similarity on subtoken count alone versus subtoken count plus a fertility differential, to test via likelihood-ratio or partial R² whether fertility improves fit beyond subtoken count — was included in earlier drafts and is cut from this revision. Fertility and subtoken count are highly correlated by construction, so a nested-model comparison between them risks an underpowered or unstable result; rather than budget it as time-permitting, it is removed and left as explicit future work (Section 10).</w:t>
      </w:r>
    </w:p>
    <w:p w14:paraId="6AC34968" w14:textId="77777777" w:rsidR="0016320C" w:rsidRPr="00641E64" w:rsidRDefault="00000000">
      <w:pPr>
        <w:pStyle w:val="Heading1"/>
        <w:spacing w:before="360" w:after="160"/>
        <w:rPr>
          <w:rFonts w:ascii="Calibri" w:hAnsi="Calibri" w:cs="Calibri"/>
        </w:rPr>
      </w:pPr>
      <w:r w:rsidRPr="00641E64">
        <w:rPr>
          <w:rFonts w:ascii="Calibri" w:hAnsi="Calibri" w:cs="Calibri"/>
        </w:rPr>
        <w:t>8. Statistical and Robustness Plan</w:t>
      </w:r>
    </w:p>
    <w:p w14:paraId="60E40F5E"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CKA is the designated primary similarity metric for all confirmatory analysis; anisotropy-corrected cosine similarity is reported as a pre-planned secondary check. This designation is fixed before either language pair's results are seen, so that a significant finding on a non-primary metric cannot be substituted for a null result on the primary one.</w:t>
      </w:r>
    </w:p>
    <w:p w14:paraId="282E7B44"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Per-layer regression p-values (primary metric) are corrected using Benjamini–Hochberg FDR at α = 0.05, applied as one family per (model × outcome variable × language pair) combination, justified because adjacent transformer layers are positively dependent — the condition under which the BH guarantee holds (Benjamini &amp; Yekutieli, 2001). This is the sole correction procedure used; the Benjamini–Yekutieli arbitrary-dependence correction, included as an appendix-level check in earlier drafts, is dropped from this revision to keep the correction procedure singular and unambiguous.</w:t>
      </w:r>
    </w:p>
    <w:p w14:paraId="1A3BABAF"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Token-level, pooling-free CKA is reported alongside pooled CKA/cosine for Method A, testing whether the length/fertility artifact formalized by Mitra and Kumar (2026) survives into the pooled-CKA pipeline this study's baseline inherits.</w:t>
      </w:r>
    </w:p>
    <w:p w14:paraId="7E361317"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ANC is not part of the active metric set in this revision (see Sections 6.3 and 7.2); it is noted as a candidate extension for future work rather than a third confirmatory index, to avoid metric-multiplicity beyond the designated primary/secondary pair.</w:t>
      </w:r>
    </w:p>
    <w:p w14:paraId="7B87543C"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The smallest-effect-size-of-interest for a formal equivalence test (TOST) is pre-specified before either language pair's results are seen. Where the real-versus-matched comparison is non-significant for a given pair, the TOST equivalence result against this pre-specified threshold is reported rather than treating a non-significant p-value as evidence of no effect.</w:t>
      </w:r>
    </w:p>
    <w:p w14:paraId="11B77DCE"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Per Section 7.1, full FDR-corrected significance testing and the TOST equivalence test are reported for the primary (Urdu–Hindi) pair; the secondary (Kanuri) pair is reported as a descriptive robustness check using the same primary/secondary metrics, without the full inferential machinery, consistent with its pre-committed preliminary depth.</w:t>
      </w:r>
    </w:p>
    <w:p w14:paraId="476212FD"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The full statistical plan is pre-registered on OSF before Method A or Method B is run on either language pair, including the primary-metric designation, the FDR family structure, and the TOST threshold.</w:t>
      </w:r>
    </w:p>
    <w:p w14:paraId="187F54DF" w14:textId="77777777" w:rsidR="0016320C" w:rsidRPr="00641E64" w:rsidRDefault="00000000">
      <w:pPr>
        <w:pStyle w:val="Heading1"/>
        <w:spacing w:before="360" w:after="160"/>
        <w:rPr>
          <w:rFonts w:ascii="Calibri" w:hAnsi="Calibri" w:cs="Calibri"/>
        </w:rPr>
      </w:pPr>
      <w:r w:rsidRPr="00641E64">
        <w:rPr>
          <w:rFonts w:ascii="Calibri" w:hAnsi="Calibri" w:cs="Calibri"/>
        </w:rPr>
        <w:t>9. Expected Outcomes and Contribution</w:t>
      </w:r>
    </w:p>
    <w:p w14:paraId="67E7A422" w14:textId="77777777" w:rsidR="0016320C" w:rsidRPr="00641E64" w:rsidRDefault="00000000">
      <w:pPr>
        <w:spacing w:after="160"/>
        <w:rPr>
          <w:rFonts w:ascii="Calibri" w:hAnsi="Calibri" w:cs="Calibri"/>
        </w:rPr>
      </w:pPr>
      <w:r w:rsidRPr="00641E64">
        <w:rPr>
          <w:rFonts w:ascii="Calibri" w:hAnsi="Calibri" w:cs="Calibri"/>
        </w:rPr>
        <w:t xml:space="preserve">This study provides the first direct predictive test of tokenization fertility as an explanatory mechanism for cross-lingual representational degradation on frozen mBERT and XLM-R, isolated from the mean-pooling confound via a matched subword-regularization control, and tested across two script-divergent language-pair conditions rather than </w:t>
      </w:r>
      <w:r w:rsidRPr="00641E64">
        <w:rPr>
          <w:rFonts w:ascii="Calibri" w:hAnsi="Calibri" w:cs="Calibri"/>
        </w:rPr>
        <w:lastRenderedPageBreak/>
        <w:t>one. All three possible write-ups below are drafted before results exist, so that the paper's framing is fixed in advance rather than chosen after seeing which outcome looks most favorable.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6358"/>
      </w:tblGrid>
      <w:tr w:rsidR="0016320C" w:rsidRPr="00641E64" w14:paraId="663AF480"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3C90A43D" w14:textId="77777777" w:rsidR="0016320C" w:rsidRPr="00641E64" w:rsidRDefault="00000000">
            <w:pPr>
              <w:rPr>
                <w:rFonts w:ascii="Calibri" w:hAnsi="Calibri" w:cs="Calibri"/>
              </w:rPr>
            </w:pPr>
            <w:r w:rsidRPr="00641E64">
              <w:rPr>
                <w:rFonts w:ascii="Calibri" w:hAnsi="Calibri" w:cs="Calibri"/>
                <w:b/>
                <w:bCs/>
              </w:rPr>
              <w:t>Positive result (one or both pairs)</w:t>
            </w:r>
          </w:p>
        </w:tc>
        <w:tc>
          <w:tcPr>
            <w:tcW w:w="3400" w:type="pct"/>
            <w:tcMar>
              <w:top w:w="80" w:type="dxa"/>
              <w:left w:w="120" w:type="dxa"/>
              <w:bottom w:w="80" w:type="dxa"/>
              <w:right w:w="120" w:type="dxa"/>
            </w:tcMar>
          </w:tcPr>
          <w:p w14:paraId="13F9839E" w14:textId="77777777" w:rsidR="0016320C" w:rsidRPr="00641E64" w:rsidRDefault="00000000">
            <w:pPr>
              <w:rPr>
                <w:rFonts w:ascii="Calibri" w:hAnsi="Calibri" w:cs="Calibri"/>
              </w:rPr>
            </w:pPr>
            <w:r w:rsidRPr="00641E64">
              <w:rPr>
                <w:rFonts w:ascii="Calibri" w:hAnsi="Calibri" w:cs="Calibri"/>
              </w:rPr>
              <w:t>Fertility predicts degradation beyond the matched control — first clean mechanistic evidence for a widely assumed effect, with an initial read on whether it generalizes across script-divergence types.</w:t>
            </w:r>
          </w:p>
        </w:tc>
      </w:tr>
      <w:tr w:rsidR="0016320C" w:rsidRPr="00641E64" w14:paraId="2030F9DA"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7EC2C3DD" w14:textId="77777777" w:rsidR="0016320C" w:rsidRPr="00641E64" w:rsidRDefault="00000000">
            <w:pPr>
              <w:rPr>
                <w:rFonts w:ascii="Calibri" w:hAnsi="Calibri" w:cs="Calibri"/>
              </w:rPr>
            </w:pPr>
            <w:r w:rsidRPr="00641E64">
              <w:rPr>
                <w:rFonts w:ascii="Calibri" w:hAnsi="Calibri" w:cs="Calibri"/>
                <w:b/>
                <w:bCs/>
              </w:rPr>
              <w:t>Null result (one or both pairs)</w:t>
            </w:r>
          </w:p>
        </w:tc>
        <w:tc>
          <w:tcPr>
            <w:tcW w:w="3400" w:type="pct"/>
            <w:tcMar>
              <w:top w:w="80" w:type="dxa"/>
              <w:left w:w="120" w:type="dxa"/>
              <w:bottom w:w="80" w:type="dxa"/>
              <w:right w:w="120" w:type="dxa"/>
            </w:tcMar>
          </w:tcPr>
          <w:p w14:paraId="10E0EEAC" w14:textId="77777777" w:rsidR="0016320C" w:rsidRPr="00641E64" w:rsidRDefault="00000000">
            <w:pPr>
              <w:rPr>
                <w:rFonts w:ascii="Calibri" w:hAnsi="Calibri" w:cs="Calibri"/>
              </w:rPr>
            </w:pPr>
            <w:r w:rsidRPr="00641E64">
              <w:rPr>
                <w:rFonts w:ascii="Calibri" w:hAnsi="Calibri" w:cs="Calibri"/>
              </w:rPr>
              <w:t>The matched control degrades representations just as much as real tokenization — evidence that a commonly cited explanation is substantially a pooling artifact, redirecting where script-related degradation should be studied.</w:t>
            </w:r>
          </w:p>
        </w:tc>
      </w:tr>
      <w:tr w:rsidR="0016320C" w:rsidRPr="00641E64" w14:paraId="35B5762C" w14:textId="77777777">
        <w:tblPrEx>
          <w:tblCellMar>
            <w:top w:w="0" w:type="dxa"/>
            <w:bottom w:w="0" w:type="dxa"/>
          </w:tblCellMar>
        </w:tblPrEx>
        <w:tc>
          <w:tcPr>
            <w:tcW w:w="1600" w:type="pct"/>
            <w:shd w:val="clear" w:color="auto" w:fill="EFEFEF"/>
            <w:tcMar>
              <w:top w:w="80" w:type="dxa"/>
              <w:left w:w="120" w:type="dxa"/>
              <w:bottom w:w="80" w:type="dxa"/>
              <w:right w:w="120" w:type="dxa"/>
            </w:tcMar>
          </w:tcPr>
          <w:p w14:paraId="11EDF0F9" w14:textId="77777777" w:rsidR="0016320C" w:rsidRPr="00641E64" w:rsidRDefault="00000000">
            <w:pPr>
              <w:rPr>
                <w:rFonts w:ascii="Calibri" w:hAnsi="Calibri" w:cs="Calibri"/>
              </w:rPr>
            </w:pPr>
            <w:r w:rsidRPr="00641E64">
              <w:rPr>
                <w:rFonts w:ascii="Calibri" w:hAnsi="Calibri" w:cs="Calibri"/>
                <w:b/>
                <w:bCs/>
              </w:rPr>
              <w:t>Divergent result across pairs</w:t>
            </w:r>
          </w:p>
        </w:tc>
        <w:tc>
          <w:tcPr>
            <w:tcW w:w="3400" w:type="pct"/>
            <w:tcMar>
              <w:top w:w="80" w:type="dxa"/>
              <w:left w:w="120" w:type="dxa"/>
              <w:bottom w:w="80" w:type="dxa"/>
              <w:right w:w="120" w:type="dxa"/>
            </w:tcMar>
          </w:tcPr>
          <w:p w14:paraId="70422C96" w14:textId="77777777" w:rsidR="0016320C" w:rsidRPr="00641E64" w:rsidRDefault="00000000">
            <w:pPr>
              <w:rPr>
                <w:rFonts w:ascii="Calibri" w:hAnsi="Calibri" w:cs="Calibri"/>
              </w:rPr>
            </w:pPr>
            <w:r w:rsidRPr="00641E64">
              <w:rPr>
                <w:rFonts w:ascii="Calibri" w:hAnsi="Calibri" w:cs="Calibri"/>
              </w:rPr>
              <w:t>An effect present in one pair but not the other is itself a finding — it suggests the mechanism is modulated by something beyond script divergence alone, and becomes the natural next step for future work.</w:t>
            </w:r>
          </w:p>
        </w:tc>
      </w:tr>
    </w:tbl>
    <w:p w14:paraId="0D833D3F" w14:textId="77777777" w:rsidR="0016320C" w:rsidRPr="00641E64" w:rsidRDefault="00000000">
      <w:pPr>
        <w:pStyle w:val="Heading1"/>
        <w:spacing w:before="360" w:after="160"/>
        <w:rPr>
          <w:rFonts w:ascii="Calibri" w:hAnsi="Calibri" w:cs="Calibri"/>
        </w:rPr>
      </w:pPr>
      <w:r w:rsidRPr="00641E64">
        <w:rPr>
          <w:rFonts w:ascii="Calibri" w:hAnsi="Calibri" w:cs="Calibri"/>
        </w:rPr>
        <w:t>10. Limitations</w:t>
      </w:r>
    </w:p>
    <w:p w14:paraId="7ED14365"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The design cannot fully separate which valid segmentation a tokenizer defaults to from that segmentation's pretraining-frequency familiarity; this is stated explicitly rather than resolved within the current design.</w:t>
      </w:r>
    </w:p>
    <w:p w14:paraId="3D136BA8"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The count-matching procedure discards words whose sampled alternative never matches the real segmentation's piece count (Section 7.3.4). If discarded words are systematically shorter, longer, rarer, or more frequent than retained ones, the matched sample is not a clean random subsample of the real distribution; this is checked directly by reporting discard rate against word frequency and subtoken count, and any resulting skew is treated as a limitation on the matched control's representativeness rather than assumed away.</w:t>
      </w:r>
    </w:p>
    <w:p w14:paraId="2D15F083"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If the uniform-sampling replacement is not adopted, BPE-Dropout/MaxMatch-Dropout sampling bias may asymmetrically affect the two models' matched-control fidelity.</w:t>
      </w:r>
    </w:p>
    <w:p w14:paraId="3DB89B52"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Whitespace segmentation is a noisy proxy for word boundaries, and this noise may be asymmetric between Urdu and Hindi given less standardized orthographic conventions around enclitics, izafat constructions, and compound postpositions in Urdu.</w:t>
      </w:r>
    </w:p>
    <w:p w14:paraId="6E2B686F"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mBERT and XLM-R are not frontier models; results are not claimed to generalize to decoder-only or byte-level-BPE tokenizers.</w:t>
      </w:r>
    </w:p>
    <w:p w14:paraId="12526DC0"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Two language pairs constitute evidence toward generalization, not proof of it. Urdu–Hindi and Central Kanuri Arabic/Latin are deliberately different flavors of script divergence, drawn from different language families and regions (Indo-Aryan/South Asia versus Nilo-Saharan/Lake Chad Basin), and a divergence between them is itself informative — but two pairs cannot establish generalization across script families more broadly, since Brahmic, Perso-Arabic, and Nilo-Saharan Arabic/Latin (Ajami) script pairings are each represented by only one comparison point in this design. Broader multi-family generalization, including script pairs with no shared graphemic ancestry to either Perso-Arabic or Devanagari (e.g., Tifinagh-based pairs, which were screened and found tokenizer-nonviable for this study; see Section 7.1.1), is retained as future work rather than claimed here.</w:t>
      </w:r>
    </w:p>
    <w:p w14:paraId="7F49294D"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mBERT shows an elevated tokenizer UNK rate on Central Kanuri relative to its Urdu baseline (3.98% on the Arabic/Ajami variant, 7.97% on the Latin variant, versus 0.13% for Urdu; see Section 7.1.1). This is not disqualifying, but it means mBERT-on-Kanuri results carry a documented confound that XLM-R-on-Kanuri does not: a non-trivial share of tokens are mapped to &lt;unk&gt;, which can shift mean-pooled representations independently of the language-specific signal under study. mBERT-on-Kanuri findings are reported as lower-confidence and are not treated as equally strong evidence for cross-model generalization as the XLM-R-on-Kanuri or either model's Urdu–Hindi results.</w:t>
      </w:r>
    </w:p>
    <w:p w14:paraId="34C264E9"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 xml:space="preserve">The secondary (Kanuri) pair is analyzed at a pre-committed, lighter statistical depth (Section 7.1): full FDR-corrected inference and the TOST equivalence test are reported for the primary pair only. This is a deliberate scope trade-off for a workshop-length submission, not an assessment that the secondary pair's </w:t>
      </w:r>
      <w:r w:rsidRPr="00641E64">
        <w:rPr>
          <w:rFonts w:ascii="Calibri" w:hAnsi="Calibri" w:cs="Calibri"/>
        </w:rPr>
        <w:lastRenderedPageBreak/>
        <w:t>results are less real — but it does mean claims about the secondary pair carry weaker formal statistical backing than claims about the primary pair, and are framed accordingly in any write-up.</w:t>
      </w:r>
    </w:p>
    <w:p w14:paraId="20A614E4"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Two analyses considered in earlier drafts are cut from the active plan and left as explicit future work: a third similarity metric (ANC), and a nested-model test of whether fertility improves fit over subtoken count alone (the latter cut in part because fertility and subtoken count are highly correlated by construction, which would have made that specific comparison statistically fragile).</w:t>
      </w:r>
    </w:p>
    <w:p w14:paraId="1E7C24EE" w14:textId="77777777" w:rsidR="0016320C" w:rsidRPr="00641E64" w:rsidRDefault="00000000">
      <w:pPr>
        <w:pStyle w:val="Heading1"/>
        <w:spacing w:before="360" w:after="160"/>
        <w:rPr>
          <w:rFonts w:ascii="Calibri" w:hAnsi="Calibri" w:cs="Calibri"/>
        </w:rPr>
      </w:pPr>
      <w:r w:rsidRPr="00641E64">
        <w:rPr>
          <w:rFonts w:ascii="Calibri" w:hAnsi="Calibri" w:cs="Calibri"/>
        </w:rPr>
        <w:t>11. Ethical Considerations</w:t>
      </w:r>
    </w:p>
    <w:p w14:paraId="1BA1777C" w14:textId="77777777" w:rsidR="0016320C" w:rsidRPr="00641E64" w:rsidRDefault="00000000">
      <w:pPr>
        <w:spacing w:after="160"/>
        <w:rPr>
          <w:rFonts w:ascii="Calibri" w:hAnsi="Calibri" w:cs="Calibri"/>
        </w:rPr>
      </w:pPr>
      <w:r w:rsidRPr="00641E64">
        <w:rPr>
          <w:rFonts w:ascii="Calibri" w:hAnsi="Calibri" w:cs="Calibri"/>
        </w:rPr>
        <w:t>This research analyzes frozen, publicly released models on public, licensed parallel corpora (FLORES-200). No user data, fine-tuning, or generation of new text in Urdu, Hindi, or Kanuri is involved beyond model-internal activation extraction. The findings concern representational geometry rather than model outputs, and are not intended to support claims about downstream task performance without separate, dedicated task-level evaluation. No human subjects are involved at any stage of this study.</w:t>
      </w:r>
    </w:p>
    <w:p w14:paraId="1C718C4B" w14:textId="77777777" w:rsidR="0016320C" w:rsidRPr="00641E64" w:rsidRDefault="00000000">
      <w:pPr>
        <w:pStyle w:val="Heading1"/>
        <w:spacing w:before="360" w:after="160"/>
        <w:rPr>
          <w:rFonts w:ascii="Calibri" w:hAnsi="Calibri" w:cs="Calibri"/>
        </w:rPr>
      </w:pPr>
      <w:r w:rsidRPr="00641E64">
        <w:rPr>
          <w:rFonts w:ascii="Calibri" w:hAnsi="Calibri" w:cs="Calibri"/>
        </w:rPr>
        <w:t>12. Project Timeline</w:t>
      </w:r>
    </w:p>
    <w:p w14:paraId="4B1FCE38" w14:textId="77777777" w:rsidR="0016320C" w:rsidRPr="00641E64" w:rsidRDefault="00000000">
      <w:pPr>
        <w:spacing w:after="160"/>
        <w:rPr>
          <w:rFonts w:ascii="Calibri" w:hAnsi="Calibri" w:cs="Calibri"/>
        </w:rPr>
      </w:pPr>
      <w:r w:rsidRPr="00641E64">
        <w:rPr>
          <w:rFonts w:ascii="Calibri" w:hAnsi="Calibri" w:cs="Calibri"/>
        </w:rPr>
        <w:t>The project is scoped to an internal 38-day execution window (July 19 – August 25, 2026), with a buffer through August 30, 2026 reserved strictly for unresolved technical issues or feedback incorporation. Progress is tracked against five hard weekly checkpoints; work does not proceed past a checkpoint that has not cleared.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1403"/>
        <w:gridCol w:w="5143"/>
      </w:tblGrid>
      <w:tr w:rsidR="0016320C" w:rsidRPr="00641E64" w14:paraId="10D9B41E" w14:textId="77777777">
        <w:tblPrEx>
          <w:tblCellMar>
            <w:top w:w="0" w:type="dxa"/>
            <w:bottom w:w="0" w:type="dxa"/>
          </w:tblCellMar>
        </w:tblPrEx>
        <w:tc>
          <w:tcPr>
            <w:tcW w:w="1500" w:type="pct"/>
            <w:shd w:val="clear" w:color="auto" w:fill="EFEFEF"/>
            <w:tcMar>
              <w:top w:w="80" w:type="dxa"/>
              <w:left w:w="120" w:type="dxa"/>
              <w:bottom w:w="80" w:type="dxa"/>
              <w:right w:w="120" w:type="dxa"/>
            </w:tcMar>
          </w:tcPr>
          <w:p w14:paraId="1E37244B" w14:textId="77777777" w:rsidR="0016320C" w:rsidRPr="00641E64" w:rsidRDefault="00000000">
            <w:pPr>
              <w:rPr>
                <w:rFonts w:ascii="Calibri" w:hAnsi="Calibri" w:cs="Calibri"/>
              </w:rPr>
            </w:pPr>
            <w:r w:rsidRPr="00641E64">
              <w:rPr>
                <w:rFonts w:ascii="Calibri" w:hAnsi="Calibri" w:cs="Calibri"/>
                <w:b/>
                <w:bCs/>
              </w:rPr>
              <w:t>Phase</w:t>
            </w:r>
          </w:p>
        </w:tc>
        <w:tc>
          <w:tcPr>
            <w:tcW w:w="750" w:type="pct"/>
            <w:shd w:val="clear" w:color="auto" w:fill="EFEFEF"/>
            <w:tcMar>
              <w:top w:w="80" w:type="dxa"/>
              <w:left w:w="120" w:type="dxa"/>
              <w:bottom w:w="80" w:type="dxa"/>
              <w:right w:w="120" w:type="dxa"/>
            </w:tcMar>
          </w:tcPr>
          <w:p w14:paraId="447824F1" w14:textId="77777777" w:rsidR="0016320C" w:rsidRPr="00641E64" w:rsidRDefault="00000000">
            <w:pPr>
              <w:rPr>
                <w:rFonts w:ascii="Calibri" w:hAnsi="Calibri" w:cs="Calibri"/>
              </w:rPr>
            </w:pPr>
            <w:r w:rsidRPr="00641E64">
              <w:rPr>
                <w:rFonts w:ascii="Calibri" w:hAnsi="Calibri" w:cs="Calibri"/>
                <w:b/>
                <w:bCs/>
              </w:rPr>
              <w:t>Approx. Days</w:t>
            </w:r>
          </w:p>
        </w:tc>
        <w:tc>
          <w:tcPr>
            <w:tcW w:w="2750" w:type="pct"/>
            <w:shd w:val="clear" w:color="auto" w:fill="EFEFEF"/>
            <w:tcMar>
              <w:top w:w="80" w:type="dxa"/>
              <w:left w:w="120" w:type="dxa"/>
              <w:bottom w:w="80" w:type="dxa"/>
              <w:right w:w="120" w:type="dxa"/>
            </w:tcMar>
          </w:tcPr>
          <w:p w14:paraId="502E0745" w14:textId="77777777" w:rsidR="0016320C" w:rsidRPr="00641E64" w:rsidRDefault="00000000">
            <w:pPr>
              <w:rPr>
                <w:rFonts w:ascii="Calibri" w:hAnsi="Calibri" w:cs="Calibri"/>
              </w:rPr>
            </w:pPr>
            <w:r w:rsidRPr="00641E64">
              <w:rPr>
                <w:rFonts w:ascii="Calibri" w:hAnsi="Calibri" w:cs="Calibri"/>
                <w:b/>
                <w:bCs/>
              </w:rPr>
              <w:t>Milestone</w:t>
            </w:r>
          </w:p>
        </w:tc>
      </w:tr>
      <w:tr w:rsidR="0016320C" w:rsidRPr="00641E64" w14:paraId="7C5990BA" w14:textId="77777777">
        <w:tblPrEx>
          <w:tblCellMar>
            <w:top w:w="0" w:type="dxa"/>
            <w:bottom w:w="0" w:type="dxa"/>
          </w:tblCellMar>
        </w:tblPrEx>
        <w:tc>
          <w:tcPr>
            <w:tcW w:w="1500" w:type="pct"/>
            <w:tcMar>
              <w:top w:w="80" w:type="dxa"/>
              <w:left w:w="120" w:type="dxa"/>
              <w:bottom w:w="80" w:type="dxa"/>
              <w:right w:w="120" w:type="dxa"/>
            </w:tcMar>
          </w:tcPr>
          <w:p w14:paraId="0ADF9268" w14:textId="77777777" w:rsidR="0016320C" w:rsidRPr="00641E64" w:rsidRDefault="00000000">
            <w:pPr>
              <w:rPr>
                <w:rFonts w:ascii="Calibri" w:hAnsi="Calibri" w:cs="Calibri"/>
              </w:rPr>
            </w:pPr>
            <w:r w:rsidRPr="00641E64">
              <w:rPr>
                <w:rFonts w:ascii="Calibri" w:hAnsi="Calibri" w:cs="Calibri"/>
              </w:rPr>
              <w:t>Setup &amp; pre-registration</w:t>
            </w:r>
          </w:p>
        </w:tc>
        <w:tc>
          <w:tcPr>
            <w:tcW w:w="750" w:type="pct"/>
            <w:tcMar>
              <w:top w:w="80" w:type="dxa"/>
              <w:left w:w="120" w:type="dxa"/>
              <w:bottom w:w="80" w:type="dxa"/>
              <w:right w:w="120" w:type="dxa"/>
            </w:tcMar>
          </w:tcPr>
          <w:p w14:paraId="3E005967" w14:textId="77777777" w:rsidR="0016320C" w:rsidRPr="00641E64" w:rsidRDefault="00000000">
            <w:pPr>
              <w:rPr>
                <w:rFonts w:ascii="Calibri" w:hAnsi="Calibri" w:cs="Calibri"/>
              </w:rPr>
            </w:pPr>
            <w:r w:rsidRPr="00641E64">
              <w:rPr>
                <w:rFonts w:ascii="Calibri" w:hAnsi="Calibri" w:cs="Calibri"/>
              </w:rPr>
              <w:t>1–2</w:t>
            </w:r>
          </w:p>
        </w:tc>
        <w:tc>
          <w:tcPr>
            <w:tcW w:w="2750" w:type="pct"/>
            <w:tcMar>
              <w:top w:w="80" w:type="dxa"/>
              <w:left w:w="120" w:type="dxa"/>
              <w:bottom w:w="80" w:type="dxa"/>
              <w:right w:w="120" w:type="dxa"/>
            </w:tcMar>
          </w:tcPr>
          <w:p w14:paraId="2E72920C" w14:textId="77777777" w:rsidR="0016320C" w:rsidRPr="00641E64" w:rsidRDefault="00000000">
            <w:pPr>
              <w:rPr>
                <w:rFonts w:ascii="Calibri" w:hAnsi="Calibri" w:cs="Calibri"/>
              </w:rPr>
            </w:pPr>
            <w:r w:rsidRPr="00641E64">
              <w:rPr>
                <w:rFonts w:ascii="Calibri" w:hAnsi="Calibri" w:cs="Calibri"/>
              </w:rPr>
              <w:t>Team/scope locked; OSF pre-registration finalized (incl. primary-metric designation and FDR plan); pipeline smoke test passed</w:t>
            </w:r>
          </w:p>
        </w:tc>
      </w:tr>
      <w:tr w:rsidR="0016320C" w:rsidRPr="00641E64" w14:paraId="1FFD2A24" w14:textId="77777777">
        <w:tblPrEx>
          <w:tblCellMar>
            <w:top w:w="0" w:type="dxa"/>
            <w:bottom w:w="0" w:type="dxa"/>
          </w:tblCellMar>
        </w:tblPrEx>
        <w:tc>
          <w:tcPr>
            <w:tcW w:w="1500" w:type="pct"/>
            <w:tcMar>
              <w:top w:w="80" w:type="dxa"/>
              <w:left w:w="120" w:type="dxa"/>
              <w:bottom w:w="80" w:type="dxa"/>
              <w:right w:w="120" w:type="dxa"/>
            </w:tcMar>
          </w:tcPr>
          <w:p w14:paraId="13121C85" w14:textId="77777777" w:rsidR="0016320C" w:rsidRPr="00641E64" w:rsidRDefault="00000000">
            <w:pPr>
              <w:rPr>
                <w:rFonts w:ascii="Calibri" w:hAnsi="Calibri" w:cs="Calibri"/>
              </w:rPr>
            </w:pPr>
            <w:r w:rsidRPr="00641E64">
              <w:rPr>
                <w:rFonts w:ascii="Calibri" w:hAnsi="Calibri" w:cs="Calibri"/>
              </w:rPr>
              <w:t>Baseline reproduction (Method A)</w:t>
            </w:r>
          </w:p>
        </w:tc>
        <w:tc>
          <w:tcPr>
            <w:tcW w:w="750" w:type="pct"/>
            <w:tcMar>
              <w:top w:w="80" w:type="dxa"/>
              <w:left w:w="120" w:type="dxa"/>
              <w:bottom w:w="80" w:type="dxa"/>
              <w:right w:w="120" w:type="dxa"/>
            </w:tcMar>
          </w:tcPr>
          <w:p w14:paraId="38DCD1FD" w14:textId="77777777" w:rsidR="0016320C" w:rsidRPr="00641E64" w:rsidRDefault="00000000">
            <w:pPr>
              <w:rPr>
                <w:rFonts w:ascii="Calibri" w:hAnsi="Calibri" w:cs="Calibri"/>
              </w:rPr>
            </w:pPr>
            <w:r w:rsidRPr="00641E64">
              <w:rPr>
                <w:rFonts w:ascii="Calibri" w:hAnsi="Calibri" w:cs="Calibri"/>
              </w:rPr>
              <w:t>3–10</w:t>
            </w:r>
          </w:p>
        </w:tc>
        <w:tc>
          <w:tcPr>
            <w:tcW w:w="2750" w:type="pct"/>
            <w:tcMar>
              <w:top w:w="80" w:type="dxa"/>
              <w:left w:w="120" w:type="dxa"/>
              <w:bottom w:w="80" w:type="dxa"/>
              <w:right w:w="120" w:type="dxa"/>
            </w:tcMar>
          </w:tcPr>
          <w:p w14:paraId="0A70AF2E" w14:textId="77777777" w:rsidR="0016320C" w:rsidRPr="00641E64" w:rsidRDefault="00000000">
            <w:pPr>
              <w:rPr>
                <w:rFonts w:ascii="Calibri" w:hAnsi="Calibri" w:cs="Calibri"/>
              </w:rPr>
            </w:pPr>
            <w:r w:rsidRPr="00641E64">
              <w:rPr>
                <w:rFonts w:ascii="Calibri" w:hAnsi="Calibri" w:cs="Calibri"/>
              </w:rPr>
              <w:t>Week 1 checkpoint: Urdu–Hindi reconciliation baseline reproduced and validated</w:t>
            </w:r>
          </w:p>
        </w:tc>
      </w:tr>
      <w:tr w:rsidR="0016320C" w:rsidRPr="00641E64" w14:paraId="3B9919DF" w14:textId="77777777">
        <w:tblPrEx>
          <w:tblCellMar>
            <w:top w:w="0" w:type="dxa"/>
            <w:bottom w:w="0" w:type="dxa"/>
          </w:tblCellMar>
        </w:tblPrEx>
        <w:tc>
          <w:tcPr>
            <w:tcW w:w="1500" w:type="pct"/>
            <w:tcMar>
              <w:top w:w="80" w:type="dxa"/>
              <w:left w:w="120" w:type="dxa"/>
              <w:bottom w:w="80" w:type="dxa"/>
              <w:right w:w="120" w:type="dxa"/>
            </w:tcMar>
          </w:tcPr>
          <w:p w14:paraId="4E4663EB" w14:textId="77777777" w:rsidR="0016320C" w:rsidRPr="00641E64" w:rsidRDefault="00000000">
            <w:pPr>
              <w:rPr>
                <w:rFonts w:ascii="Calibri" w:hAnsi="Calibri" w:cs="Calibri"/>
              </w:rPr>
            </w:pPr>
            <w:r w:rsidRPr="00641E64">
              <w:rPr>
                <w:rFonts w:ascii="Calibri" w:hAnsi="Calibri" w:cs="Calibri"/>
              </w:rPr>
              <w:t>Matched-control test, primary pair (Method B)</w:t>
            </w:r>
          </w:p>
        </w:tc>
        <w:tc>
          <w:tcPr>
            <w:tcW w:w="750" w:type="pct"/>
            <w:tcMar>
              <w:top w:w="80" w:type="dxa"/>
              <w:left w:w="120" w:type="dxa"/>
              <w:bottom w:w="80" w:type="dxa"/>
              <w:right w:w="120" w:type="dxa"/>
            </w:tcMar>
          </w:tcPr>
          <w:p w14:paraId="7D741B17" w14:textId="77777777" w:rsidR="0016320C" w:rsidRPr="00641E64" w:rsidRDefault="00000000">
            <w:pPr>
              <w:rPr>
                <w:rFonts w:ascii="Calibri" w:hAnsi="Calibri" w:cs="Calibri"/>
              </w:rPr>
            </w:pPr>
            <w:r w:rsidRPr="00641E64">
              <w:rPr>
                <w:rFonts w:ascii="Calibri" w:hAnsi="Calibri" w:cs="Calibri"/>
              </w:rPr>
              <w:t>11–18</w:t>
            </w:r>
          </w:p>
        </w:tc>
        <w:tc>
          <w:tcPr>
            <w:tcW w:w="2750" w:type="pct"/>
            <w:tcMar>
              <w:top w:w="80" w:type="dxa"/>
              <w:left w:w="120" w:type="dxa"/>
              <w:bottom w:w="80" w:type="dxa"/>
              <w:right w:w="120" w:type="dxa"/>
            </w:tcMar>
          </w:tcPr>
          <w:p w14:paraId="6A4030B2" w14:textId="77777777" w:rsidR="0016320C" w:rsidRPr="00641E64" w:rsidRDefault="00000000">
            <w:pPr>
              <w:rPr>
                <w:rFonts w:ascii="Calibri" w:hAnsi="Calibri" w:cs="Calibri"/>
              </w:rPr>
            </w:pPr>
            <w:r w:rsidRPr="00641E64">
              <w:rPr>
                <w:rFonts w:ascii="Calibri" w:hAnsi="Calibri" w:cs="Calibri"/>
              </w:rPr>
              <w:t>Week 2 checkpoint: pilot discard-rate check cleared; full primary-pair run and statistics complete</w:t>
            </w:r>
          </w:p>
        </w:tc>
      </w:tr>
      <w:tr w:rsidR="0016320C" w:rsidRPr="00641E64" w14:paraId="34936B0D" w14:textId="77777777">
        <w:tblPrEx>
          <w:tblCellMar>
            <w:top w:w="0" w:type="dxa"/>
            <w:bottom w:w="0" w:type="dxa"/>
          </w:tblCellMar>
        </w:tblPrEx>
        <w:tc>
          <w:tcPr>
            <w:tcW w:w="1500" w:type="pct"/>
            <w:tcMar>
              <w:top w:w="80" w:type="dxa"/>
              <w:left w:w="120" w:type="dxa"/>
              <w:bottom w:w="80" w:type="dxa"/>
              <w:right w:w="120" w:type="dxa"/>
            </w:tcMar>
          </w:tcPr>
          <w:p w14:paraId="7B82477D" w14:textId="77777777" w:rsidR="0016320C" w:rsidRPr="00641E64" w:rsidRDefault="00000000">
            <w:pPr>
              <w:rPr>
                <w:rFonts w:ascii="Calibri" w:hAnsi="Calibri" w:cs="Calibri"/>
              </w:rPr>
            </w:pPr>
            <w:r w:rsidRPr="00641E64">
              <w:rPr>
                <w:rFonts w:ascii="Calibri" w:hAnsi="Calibri" w:cs="Calibri"/>
              </w:rPr>
              <w:t>Secondary pair (Central Kanuri Arabic/Latin)</w:t>
            </w:r>
          </w:p>
        </w:tc>
        <w:tc>
          <w:tcPr>
            <w:tcW w:w="750" w:type="pct"/>
            <w:tcMar>
              <w:top w:w="80" w:type="dxa"/>
              <w:left w:w="120" w:type="dxa"/>
              <w:bottom w:w="80" w:type="dxa"/>
              <w:right w:w="120" w:type="dxa"/>
            </w:tcMar>
          </w:tcPr>
          <w:p w14:paraId="4FFD918D" w14:textId="77777777" w:rsidR="0016320C" w:rsidRPr="00641E64" w:rsidRDefault="00000000">
            <w:pPr>
              <w:rPr>
                <w:rFonts w:ascii="Calibri" w:hAnsi="Calibri" w:cs="Calibri"/>
              </w:rPr>
            </w:pPr>
            <w:r w:rsidRPr="00641E64">
              <w:rPr>
                <w:rFonts w:ascii="Calibri" w:hAnsi="Calibri" w:cs="Calibri"/>
              </w:rPr>
              <w:t>19–27</w:t>
            </w:r>
          </w:p>
        </w:tc>
        <w:tc>
          <w:tcPr>
            <w:tcW w:w="2750" w:type="pct"/>
            <w:tcMar>
              <w:top w:w="80" w:type="dxa"/>
              <w:left w:w="120" w:type="dxa"/>
              <w:bottom w:w="80" w:type="dxa"/>
              <w:right w:w="120" w:type="dxa"/>
            </w:tcMar>
          </w:tcPr>
          <w:p w14:paraId="4DC5B3E6" w14:textId="77777777" w:rsidR="0016320C" w:rsidRPr="00641E64" w:rsidRDefault="00000000">
            <w:pPr>
              <w:rPr>
                <w:rFonts w:ascii="Calibri" w:hAnsi="Calibri" w:cs="Calibri"/>
              </w:rPr>
            </w:pPr>
            <w:r w:rsidRPr="00641E64">
              <w:rPr>
                <w:rFonts w:ascii="Calibri" w:hAnsi="Calibri" w:cs="Calibri"/>
              </w:rPr>
              <w:t>Week 3 checkpoint: preliminary-depth secondary-pair results produced (depth pre-committed, not decided at this checkpoint)</w:t>
            </w:r>
          </w:p>
        </w:tc>
      </w:tr>
      <w:tr w:rsidR="0016320C" w:rsidRPr="00641E64" w14:paraId="7EC19708" w14:textId="77777777">
        <w:tblPrEx>
          <w:tblCellMar>
            <w:top w:w="0" w:type="dxa"/>
            <w:bottom w:w="0" w:type="dxa"/>
          </w:tblCellMar>
        </w:tblPrEx>
        <w:tc>
          <w:tcPr>
            <w:tcW w:w="1500" w:type="pct"/>
            <w:tcMar>
              <w:top w:w="80" w:type="dxa"/>
              <w:left w:w="120" w:type="dxa"/>
              <w:bottom w:w="80" w:type="dxa"/>
              <w:right w:w="120" w:type="dxa"/>
            </w:tcMar>
          </w:tcPr>
          <w:p w14:paraId="167EAC2A" w14:textId="77777777" w:rsidR="0016320C" w:rsidRPr="00641E64" w:rsidRDefault="00000000">
            <w:pPr>
              <w:rPr>
                <w:rFonts w:ascii="Calibri" w:hAnsi="Calibri" w:cs="Calibri"/>
              </w:rPr>
            </w:pPr>
            <w:r w:rsidRPr="00641E64">
              <w:rPr>
                <w:rFonts w:ascii="Calibri" w:hAnsi="Calibri" w:cs="Calibri"/>
              </w:rPr>
              <w:t>Cross-pair analysis</w:t>
            </w:r>
          </w:p>
        </w:tc>
        <w:tc>
          <w:tcPr>
            <w:tcW w:w="750" w:type="pct"/>
            <w:tcMar>
              <w:top w:w="80" w:type="dxa"/>
              <w:left w:w="120" w:type="dxa"/>
              <w:bottom w:w="80" w:type="dxa"/>
              <w:right w:w="120" w:type="dxa"/>
            </w:tcMar>
          </w:tcPr>
          <w:p w14:paraId="149F83F4" w14:textId="77777777" w:rsidR="0016320C" w:rsidRPr="00641E64" w:rsidRDefault="00000000">
            <w:pPr>
              <w:rPr>
                <w:rFonts w:ascii="Calibri" w:hAnsi="Calibri" w:cs="Calibri"/>
              </w:rPr>
            </w:pPr>
            <w:r w:rsidRPr="00641E64">
              <w:rPr>
                <w:rFonts w:ascii="Calibri" w:hAnsi="Calibri" w:cs="Calibri"/>
              </w:rPr>
              <w:t>26–28</w:t>
            </w:r>
          </w:p>
        </w:tc>
        <w:tc>
          <w:tcPr>
            <w:tcW w:w="2750" w:type="pct"/>
            <w:tcMar>
              <w:top w:w="80" w:type="dxa"/>
              <w:left w:w="120" w:type="dxa"/>
              <w:bottom w:w="80" w:type="dxa"/>
              <w:right w:w="120" w:type="dxa"/>
            </w:tcMar>
          </w:tcPr>
          <w:p w14:paraId="4695E010" w14:textId="77777777" w:rsidR="0016320C" w:rsidRPr="00641E64" w:rsidRDefault="00000000">
            <w:pPr>
              <w:rPr>
                <w:rFonts w:ascii="Calibri" w:hAnsi="Calibri" w:cs="Calibri"/>
              </w:rPr>
            </w:pPr>
            <w:r w:rsidRPr="00641E64">
              <w:rPr>
                <w:rFonts w:ascii="Calibri" w:hAnsi="Calibri" w:cs="Calibri"/>
              </w:rPr>
              <w:t>Week 4 checkpoint: three-way outcome (positive/null/divergent) determined</w:t>
            </w:r>
          </w:p>
        </w:tc>
      </w:tr>
      <w:tr w:rsidR="0016320C" w:rsidRPr="00641E64" w14:paraId="6809817E" w14:textId="77777777">
        <w:tblPrEx>
          <w:tblCellMar>
            <w:top w:w="0" w:type="dxa"/>
            <w:bottom w:w="0" w:type="dxa"/>
          </w:tblCellMar>
        </w:tblPrEx>
        <w:tc>
          <w:tcPr>
            <w:tcW w:w="1500" w:type="pct"/>
            <w:tcMar>
              <w:top w:w="80" w:type="dxa"/>
              <w:left w:w="120" w:type="dxa"/>
              <w:bottom w:w="80" w:type="dxa"/>
              <w:right w:w="120" w:type="dxa"/>
            </w:tcMar>
          </w:tcPr>
          <w:p w14:paraId="63CC0A36" w14:textId="77777777" w:rsidR="0016320C" w:rsidRPr="00641E64" w:rsidRDefault="00000000">
            <w:pPr>
              <w:rPr>
                <w:rFonts w:ascii="Calibri" w:hAnsi="Calibri" w:cs="Calibri"/>
              </w:rPr>
            </w:pPr>
            <w:r w:rsidRPr="00641E64">
              <w:rPr>
                <w:rFonts w:ascii="Calibri" w:hAnsi="Calibri" w:cs="Calibri"/>
              </w:rPr>
              <w:t>Writing and internal review</w:t>
            </w:r>
          </w:p>
        </w:tc>
        <w:tc>
          <w:tcPr>
            <w:tcW w:w="750" w:type="pct"/>
            <w:tcMar>
              <w:top w:w="80" w:type="dxa"/>
              <w:left w:w="120" w:type="dxa"/>
              <w:bottom w:w="80" w:type="dxa"/>
              <w:right w:w="120" w:type="dxa"/>
            </w:tcMar>
          </w:tcPr>
          <w:p w14:paraId="25B0A0A5" w14:textId="77777777" w:rsidR="0016320C" w:rsidRPr="00641E64" w:rsidRDefault="00000000">
            <w:pPr>
              <w:rPr>
                <w:rFonts w:ascii="Calibri" w:hAnsi="Calibri" w:cs="Calibri"/>
              </w:rPr>
            </w:pPr>
            <w:r w:rsidRPr="00641E64">
              <w:rPr>
                <w:rFonts w:ascii="Calibri" w:hAnsi="Calibri" w:cs="Calibri"/>
              </w:rPr>
              <w:t>29–37</w:t>
            </w:r>
          </w:p>
        </w:tc>
        <w:tc>
          <w:tcPr>
            <w:tcW w:w="2750" w:type="pct"/>
            <w:tcMar>
              <w:top w:w="80" w:type="dxa"/>
              <w:left w:w="120" w:type="dxa"/>
              <w:bottom w:w="80" w:type="dxa"/>
              <w:right w:w="120" w:type="dxa"/>
            </w:tcMar>
          </w:tcPr>
          <w:p w14:paraId="040FAA6B" w14:textId="77777777" w:rsidR="0016320C" w:rsidRPr="00641E64" w:rsidRDefault="00000000">
            <w:pPr>
              <w:rPr>
                <w:rFonts w:ascii="Calibri" w:hAnsi="Calibri" w:cs="Calibri"/>
              </w:rPr>
            </w:pPr>
            <w:r w:rsidRPr="00641E64">
              <w:rPr>
                <w:rFonts w:ascii="Calibri" w:hAnsi="Calibri" w:cs="Calibri"/>
              </w:rPr>
              <w:t>Week 5 checkpoint: full draft assembled and self-reviewed; internal review completed</w:t>
            </w:r>
          </w:p>
        </w:tc>
      </w:tr>
      <w:tr w:rsidR="0016320C" w:rsidRPr="00641E64" w14:paraId="47ED99DB" w14:textId="77777777">
        <w:tblPrEx>
          <w:tblCellMar>
            <w:top w:w="0" w:type="dxa"/>
            <w:bottom w:w="0" w:type="dxa"/>
          </w:tblCellMar>
        </w:tblPrEx>
        <w:tc>
          <w:tcPr>
            <w:tcW w:w="1500" w:type="pct"/>
            <w:tcMar>
              <w:top w:w="80" w:type="dxa"/>
              <w:left w:w="120" w:type="dxa"/>
              <w:bottom w:w="80" w:type="dxa"/>
              <w:right w:w="120" w:type="dxa"/>
            </w:tcMar>
          </w:tcPr>
          <w:p w14:paraId="4FB9A892" w14:textId="77777777" w:rsidR="0016320C" w:rsidRPr="00641E64" w:rsidRDefault="00000000">
            <w:pPr>
              <w:rPr>
                <w:rFonts w:ascii="Calibri" w:hAnsi="Calibri" w:cs="Calibri"/>
              </w:rPr>
            </w:pPr>
            <w:r w:rsidRPr="00641E64">
              <w:rPr>
                <w:rFonts w:ascii="Calibri" w:hAnsi="Calibri" w:cs="Calibri"/>
              </w:rPr>
              <w:t>Finalization</w:t>
            </w:r>
          </w:p>
        </w:tc>
        <w:tc>
          <w:tcPr>
            <w:tcW w:w="750" w:type="pct"/>
            <w:tcMar>
              <w:top w:w="80" w:type="dxa"/>
              <w:left w:w="120" w:type="dxa"/>
              <w:bottom w:w="80" w:type="dxa"/>
              <w:right w:w="120" w:type="dxa"/>
            </w:tcMar>
          </w:tcPr>
          <w:p w14:paraId="2084D52A" w14:textId="77777777" w:rsidR="0016320C" w:rsidRPr="00641E64" w:rsidRDefault="00000000">
            <w:pPr>
              <w:rPr>
                <w:rFonts w:ascii="Calibri" w:hAnsi="Calibri" w:cs="Calibri"/>
              </w:rPr>
            </w:pPr>
            <w:r w:rsidRPr="00641E64">
              <w:rPr>
                <w:rFonts w:ascii="Calibri" w:hAnsi="Calibri" w:cs="Calibri"/>
              </w:rPr>
              <w:t>38 (+buffer to 30 Aug)</w:t>
            </w:r>
          </w:p>
        </w:tc>
        <w:tc>
          <w:tcPr>
            <w:tcW w:w="2750" w:type="pct"/>
            <w:tcMar>
              <w:top w:w="80" w:type="dxa"/>
              <w:left w:w="120" w:type="dxa"/>
              <w:bottom w:w="80" w:type="dxa"/>
              <w:right w:w="120" w:type="dxa"/>
            </w:tcMar>
          </w:tcPr>
          <w:p w14:paraId="22F263DB" w14:textId="77777777" w:rsidR="0016320C" w:rsidRPr="00641E64" w:rsidRDefault="00000000">
            <w:pPr>
              <w:rPr>
                <w:rFonts w:ascii="Calibri" w:hAnsi="Calibri" w:cs="Calibri"/>
              </w:rPr>
            </w:pPr>
            <w:r w:rsidRPr="00641E64">
              <w:rPr>
                <w:rFonts w:ascii="Calibri" w:hAnsi="Calibri" w:cs="Calibri"/>
              </w:rPr>
              <w:t>Draft frozen; citations verified; held for a confirmed open venue call</w:t>
            </w:r>
          </w:p>
        </w:tc>
      </w:tr>
    </w:tbl>
    <w:p w14:paraId="01344379" w14:textId="77777777" w:rsidR="0016320C" w:rsidRPr="00641E64" w:rsidRDefault="00000000">
      <w:pPr>
        <w:spacing w:after="160"/>
        <w:rPr>
          <w:rFonts w:ascii="Calibri" w:hAnsi="Calibri" w:cs="Calibri"/>
        </w:rPr>
      </w:pPr>
      <w:r w:rsidRPr="00641E64">
        <w:rPr>
          <w:rFonts w:ascii="Calibri" w:hAnsi="Calibri" w:cs="Calibri"/>
        </w:rPr>
        <w:t>Full day-by-day task assignments, the pass/proceed-with-discrepancy/stop decision rule for the Method A reproduction, and pre-committed fallback contingencies (including a collaborator-fallback scope-reduction order and a contingency for promoting the secondary pair should the primary-pair reproduction fail) are maintained in the underlying execution protocol and are available on request.</w:t>
      </w:r>
    </w:p>
    <w:p w14:paraId="4D0D356C" w14:textId="77777777" w:rsidR="0016320C" w:rsidRPr="00641E64" w:rsidRDefault="00000000">
      <w:pPr>
        <w:pStyle w:val="Heading1"/>
        <w:spacing w:before="360" w:after="160"/>
        <w:rPr>
          <w:rFonts w:ascii="Calibri" w:hAnsi="Calibri" w:cs="Calibri"/>
        </w:rPr>
      </w:pPr>
      <w:r w:rsidRPr="00641E64">
        <w:rPr>
          <w:rFonts w:ascii="Calibri" w:hAnsi="Calibri" w:cs="Calibri"/>
        </w:rPr>
        <w:t>13. Deliverables</w:t>
      </w:r>
    </w:p>
    <w:p w14:paraId="0EC7607B" w14:textId="77777777" w:rsidR="0016320C" w:rsidRPr="00641E64" w:rsidRDefault="00000000">
      <w:pPr>
        <w:spacing w:after="160"/>
        <w:rPr>
          <w:rFonts w:ascii="Calibri" w:hAnsi="Calibri" w:cs="Calibri"/>
        </w:rPr>
      </w:pPr>
      <w:r w:rsidRPr="00641E64">
        <w:rPr>
          <w:rFonts w:ascii="Calibri" w:hAnsi="Calibri" w:cs="Calibri"/>
        </w:rPr>
        <w:lastRenderedPageBreak/>
        <w:t>Beyond the written paper, the project is scoped to produce the following reproducibility artifacts, in descending priority:</w:t>
      </w:r>
    </w:p>
    <w:p w14:paraId="11CD115F"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 public code repository containing the extended baseline-reproduction pipeline, the matched-control implementation for both tokenizer families, count-matching and discard-rate-logging scripts, and the full statistical analysis scripts.</w:t>
      </w:r>
    </w:p>
    <w:p w14:paraId="03203651"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 public OSF pre-registration documenting the hypotheses, primary analysis plan, primary/secondary metric designation, and equivalence-test threshold, timestamped before any results exist.</w:t>
      </w:r>
    </w:p>
    <w:p w14:paraId="05D07BE0"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Released result artifacts (CSV/JSON): per-sentence, per-layer similarity values; per-word real-versus-matched segmentation samples; and per-language discard-rate logs for both pairs — enabling a third party to apply the matched-control method to a new language pair without rebuilding the pipeline.</w:t>
      </w:r>
    </w:p>
    <w:p w14:paraId="2A2CE791" w14:textId="77777777" w:rsidR="0016320C" w:rsidRPr="00641E64" w:rsidRDefault="00000000">
      <w:pPr>
        <w:pStyle w:val="ListParagraph"/>
        <w:numPr>
          <w:ilvl w:val="0"/>
          <w:numId w:val="1"/>
        </w:numPr>
        <w:spacing w:after="100"/>
        <w:rPr>
          <w:rFonts w:ascii="Calibri" w:hAnsi="Calibri" w:cs="Calibri"/>
        </w:rPr>
      </w:pPr>
      <w:r w:rsidRPr="00641E64">
        <w:rPr>
          <w:rFonts w:ascii="Calibri" w:hAnsi="Calibri" w:cs="Calibri"/>
        </w:rPr>
        <w:t>An optional lightweight interactive dashboard for browsing per-layer degradation curves and example segmentations, built only after the paper itself is finalized and only if time remains.</w:t>
      </w:r>
    </w:p>
    <w:p w14:paraId="17BC7013" w14:textId="77777777" w:rsidR="0016320C" w:rsidRPr="00641E64" w:rsidRDefault="00000000">
      <w:pPr>
        <w:spacing w:after="160"/>
        <w:rPr>
          <w:rFonts w:ascii="Calibri" w:hAnsi="Calibri" w:cs="Calibri"/>
        </w:rPr>
      </w:pPr>
      <w:r w:rsidRPr="00641E64">
        <w:rPr>
          <w:rFonts w:ascii="Calibri" w:hAnsi="Calibri" w:cs="Calibri"/>
        </w:rPr>
        <w:t>This project does not produce a deployed or user-facing tool; the underlying work is a frozen-model representational analysis rather than a system end users interact with.</w:t>
      </w:r>
    </w:p>
    <w:p w14:paraId="33243B4B" w14:textId="77777777" w:rsidR="0016320C" w:rsidRPr="00641E64" w:rsidRDefault="00000000">
      <w:pPr>
        <w:pStyle w:val="Heading1"/>
        <w:spacing w:before="360" w:after="160"/>
        <w:rPr>
          <w:rFonts w:ascii="Calibri" w:hAnsi="Calibri" w:cs="Calibri"/>
        </w:rPr>
      </w:pPr>
      <w:r w:rsidRPr="00641E64">
        <w:rPr>
          <w:rFonts w:ascii="Calibri" w:hAnsi="Calibri" w:cs="Calibri"/>
        </w:rPr>
        <w:t>14. References</w:t>
      </w:r>
    </w:p>
    <w:p w14:paraId="100378CA" w14:textId="77777777" w:rsidR="0016320C" w:rsidRPr="00641E64" w:rsidRDefault="00000000">
      <w:pPr>
        <w:spacing w:after="160"/>
        <w:rPr>
          <w:rFonts w:ascii="Calibri" w:hAnsi="Calibri" w:cs="Calibri"/>
        </w:rPr>
      </w:pPr>
      <w:r w:rsidRPr="00641E64">
        <w:rPr>
          <w:rFonts w:ascii="Calibri" w:hAnsi="Calibri" w:cs="Calibri"/>
        </w:rPr>
        <w:t>Benjamini, Y., &amp; Yekutieli, D. (2001). The Control of the False Discovery Rate in Multiple Testing under Dependency.</w:t>
      </w:r>
    </w:p>
    <w:p w14:paraId="703D929E" w14:textId="77777777" w:rsidR="0016320C" w:rsidRPr="00641E64" w:rsidRDefault="00000000">
      <w:pPr>
        <w:spacing w:after="160"/>
        <w:rPr>
          <w:rFonts w:ascii="Calibri" w:hAnsi="Calibri" w:cs="Calibri"/>
        </w:rPr>
      </w:pPr>
      <w:r w:rsidRPr="00641E64">
        <w:rPr>
          <w:rFonts w:ascii="Calibri" w:hAnsi="Calibri" w:cs="Calibri"/>
        </w:rPr>
        <w:t>Cognetta, M., Zouhar, V., &amp; Okazaki, N. (2024). Distributional Properties of Subword Regularization. EMNLP 2024, arXiv:2408.11443.</w:t>
      </w:r>
    </w:p>
    <w:p w14:paraId="052EA68F" w14:textId="77777777" w:rsidR="0016320C" w:rsidRPr="00641E64" w:rsidRDefault="00000000">
      <w:pPr>
        <w:spacing w:after="160"/>
        <w:rPr>
          <w:rFonts w:ascii="Calibri" w:hAnsi="Calibri" w:cs="Calibri"/>
        </w:rPr>
      </w:pPr>
      <w:r w:rsidRPr="00641E64">
        <w:rPr>
          <w:rFonts w:ascii="Calibri" w:hAnsi="Calibri" w:cs="Calibri"/>
        </w:rPr>
        <w:t>Conneau, A., et al. (2020). Unsupervised Cross-lingual Representation Learning at Scale (XLM-R).</w:t>
      </w:r>
    </w:p>
    <w:p w14:paraId="69B86E13" w14:textId="77777777" w:rsidR="0016320C" w:rsidRPr="00641E64" w:rsidRDefault="00000000">
      <w:pPr>
        <w:spacing w:after="160"/>
        <w:rPr>
          <w:rFonts w:ascii="Calibri" w:hAnsi="Calibri" w:cs="Calibri"/>
        </w:rPr>
      </w:pPr>
      <w:r w:rsidRPr="00641E64">
        <w:rPr>
          <w:rFonts w:ascii="Calibri" w:hAnsi="Calibri" w:cs="Calibri"/>
        </w:rPr>
        <w:t>Del, M., &amp; Fishel, M. (2021). Similarity of Sentence Representations in Multilingual LMs: Resolving Conflicting Literature and a Case Study of Baltic Languages. arXiv:2109.01207.</w:t>
      </w:r>
    </w:p>
    <w:p w14:paraId="6363BC98" w14:textId="77777777" w:rsidR="0016320C" w:rsidRPr="00641E64" w:rsidRDefault="00000000">
      <w:pPr>
        <w:spacing w:after="160"/>
        <w:rPr>
          <w:rFonts w:ascii="Calibri" w:hAnsi="Calibri" w:cs="Calibri"/>
        </w:rPr>
      </w:pPr>
      <w:r w:rsidRPr="00641E64">
        <w:rPr>
          <w:rFonts w:ascii="Calibri" w:hAnsi="Calibri" w:cs="Calibri"/>
        </w:rPr>
        <w:t>Del, M., &amp; Fishel, M. (2022). Cross-lingual Similarity of Multilingual Representations Revisited. AACL-IJCNLP 2022, pp. 185–195.</w:t>
      </w:r>
    </w:p>
    <w:p w14:paraId="0447106E" w14:textId="77777777" w:rsidR="0016320C" w:rsidRPr="00641E64" w:rsidRDefault="00000000">
      <w:pPr>
        <w:spacing w:after="160"/>
        <w:rPr>
          <w:rFonts w:ascii="Calibri" w:hAnsi="Calibri" w:cs="Calibri"/>
        </w:rPr>
      </w:pPr>
      <w:r w:rsidRPr="00641E64">
        <w:rPr>
          <w:rFonts w:ascii="Calibri" w:hAnsi="Calibri" w:cs="Calibri"/>
        </w:rPr>
        <w:t>Uppadhyay, M., Kodali, P., Chitale, P., Ramaprasad, R., Beniwal, H., &amp; Sitaram, S. (2026). DEPART: DEcomposing PARiTy across Multilingual LLMs. arXiv:2605.28163. [Cited only as adjacent context on multilingual disparity; verified not to address fertility, mean-pooling, or CKA — see Section 6.2.]</w:t>
      </w:r>
    </w:p>
    <w:p w14:paraId="354DED15" w14:textId="77777777" w:rsidR="0016320C" w:rsidRPr="00641E64" w:rsidRDefault="00000000">
      <w:pPr>
        <w:spacing w:after="160"/>
        <w:rPr>
          <w:rFonts w:ascii="Calibri" w:hAnsi="Calibri" w:cs="Calibri"/>
        </w:rPr>
      </w:pPr>
      <w:r w:rsidRPr="00641E64">
        <w:rPr>
          <w:rFonts w:ascii="Calibri" w:hAnsi="Calibri" w:cs="Calibri"/>
        </w:rPr>
        <w:t>Devlin, J., et al. (2019). BERT: Pre-training of Deep Bidirectional Transformers for Language Understanding.</w:t>
      </w:r>
    </w:p>
    <w:p w14:paraId="098CFD0C" w14:textId="77777777" w:rsidR="0016320C" w:rsidRPr="00641E64" w:rsidRDefault="00000000">
      <w:pPr>
        <w:spacing w:after="160"/>
        <w:rPr>
          <w:rFonts w:ascii="Calibri" w:hAnsi="Calibri" w:cs="Calibri"/>
        </w:rPr>
      </w:pPr>
      <w:r w:rsidRPr="00641E64">
        <w:rPr>
          <w:rFonts w:ascii="Calibri" w:hAnsi="Calibri" w:cs="Calibri"/>
        </w:rPr>
        <w:t>Ethayarajh, K. (2019). How Contextual are Contextualized Word Representations? EMNLP 2019.</w:t>
      </w:r>
    </w:p>
    <w:p w14:paraId="00D4749A" w14:textId="77777777" w:rsidR="0016320C" w:rsidRPr="00641E64" w:rsidRDefault="00000000">
      <w:pPr>
        <w:spacing w:after="160"/>
        <w:rPr>
          <w:rFonts w:ascii="Calibri" w:hAnsi="Calibri" w:cs="Calibri"/>
        </w:rPr>
      </w:pPr>
      <w:r w:rsidRPr="00641E64">
        <w:rPr>
          <w:rFonts w:ascii="Calibri" w:hAnsi="Calibri" w:cs="Calibri"/>
        </w:rPr>
        <w:t>Fujinuma, Y., Boyd-Graber, J., &amp; Paul, M. (2022). Match the Script, Adapt if Multilingual. [Future work only.]</w:t>
      </w:r>
    </w:p>
    <w:p w14:paraId="7189F71B" w14:textId="77777777" w:rsidR="0016320C" w:rsidRPr="00641E64" w:rsidRDefault="00000000">
      <w:pPr>
        <w:spacing w:after="160"/>
        <w:rPr>
          <w:rFonts w:ascii="Calibri" w:hAnsi="Calibri" w:cs="Calibri"/>
        </w:rPr>
      </w:pPr>
      <w:r w:rsidRPr="00641E64">
        <w:rPr>
          <w:rFonts w:ascii="Calibri" w:hAnsi="Calibri" w:cs="Calibri"/>
        </w:rPr>
        <w:t>Hiraoka, T. (2022). MaxMatch-Dropout: Subword Regularization for WordPiece. COLING 2022, arXiv:2209.04126.</w:t>
      </w:r>
    </w:p>
    <w:p w14:paraId="54D9CBBB" w14:textId="77777777" w:rsidR="0016320C" w:rsidRPr="00641E64" w:rsidRDefault="00000000">
      <w:pPr>
        <w:spacing w:after="160"/>
        <w:rPr>
          <w:rFonts w:ascii="Calibri" w:hAnsi="Calibri" w:cs="Calibri"/>
        </w:rPr>
      </w:pPr>
      <w:r w:rsidRPr="00641E64">
        <w:rPr>
          <w:rFonts w:ascii="Calibri" w:hAnsi="Calibri" w:cs="Calibri"/>
        </w:rPr>
        <w:t>Kornblith, S., Norouzi, M., Lee, H., &amp; Hinton, G. (2019). Similarity of Neural Network Representations Revisited (CKA). ICML 2019.</w:t>
      </w:r>
    </w:p>
    <w:p w14:paraId="4269B327" w14:textId="77777777" w:rsidR="0016320C" w:rsidRPr="00641E64" w:rsidRDefault="00000000">
      <w:pPr>
        <w:spacing w:after="160"/>
        <w:rPr>
          <w:rFonts w:ascii="Calibri" w:hAnsi="Calibri" w:cs="Calibri"/>
        </w:rPr>
      </w:pPr>
      <w:r w:rsidRPr="00641E64">
        <w:rPr>
          <w:rFonts w:ascii="Calibri" w:hAnsi="Calibri" w:cs="Calibri"/>
        </w:rPr>
        <w:t>Kudo, T. (2018). Subword Regularization: Improving Neural Network Translation Models with Multiple Subword Candidates. ACL 2018.</w:t>
      </w:r>
    </w:p>
    <w:p w14:paraId="6C0AC06C" w14:textId="77777777" w:rsidR="0016320C" w:rsidRPr="00641E64" w:rsidRDefault="00000000">
      <w:pPr>
        <w:spacing w:after="160"/>
        <w:rPr>
          <w:rFonts w:ascii="Calibri" w:hAnsi="Calibri" w:cs="Calibri"/>
        </w:rPr>
      </w:pPr>
      <w:r w:rsidRPr="00641E64">
        <w:rPr>
          <w:rFonts w:ascii="Calibri" w:hAnsi="Calibri" w:cs="Calibri"/>
        </w:rPr>
        <w:t>Mitra, S., &amp; Kumar, D. (2026). Mean-Pooled Cosine Similarity is Not Length-Invariant: Theory and Cross-Domain Evidence for a Length-Invariant Alternative. Preprint, arXiv:2605.07345.</w:t>
      </w:r>
    </w:p>
    <w:p w14:paraId="7384E698" w14:textId="77777777" w:rsidR="0016320C" w:rsidRPr="00641E64" w:rsidRDefault="00000000">
      <w:pPr>
        <w:spacing w:after="160"/>
        <w:rPr>
          <w:rFonts w:ascii="Calibri" w:hAnsi="Calibri" w:cs="Calibri"/>
        </w:rPr>
      </w:pPr>
      <w:r w:rsidRPr="00641E64">
        <w:rPr>
          <w:rFonts w:ascii="Calibri" w:hAnsi="Calibri" w:cs="Calibri"/>
        </w:rPr>
        <w:t>Moosa, I. T., et al. (2023). Does Transliteration Help Multilingual Language Modeling?</w:t>
      </w:r>
    </w:p>
    <w:p w14:paraId="4C8F3CB2" w14:textId="77777777" w:rsidR="0016320C" w:rsidRPr="00641E64" w:rsidRDefault="00000000">
      <w:pPr>
        <w:spacing w:after="160"/>
        <w:rPr>
          <w:rFonts w:ascii="Calibri" w:hAnsi="Calibri" w:cs="Calibri"/>
        </w:rPr>
      </w:pPr>
      <w:r w:rsidRPr="00641E64">
        <w:rPr>
          <w:rFonts w:ascii="Calibri" w:hAnsi="Calibri" w:cs="Calibri"/>
        </w:rPr>
        <w:t>Pires, T., Schlinger, E., &amp; Garrette, D. (2019). How Multilingual is Multilingual BERT?</w:t>
      </w:r>
    </w:p>
    <w:p w14:paraId="2E184CA9" w14:textId="77777777" w:rsidR="0016320C" w:rsidRPr="00641E64" w:rsidRDefault="00000000">
      <w:pPr>
        <w:spacing w:after="160"/>
        <w:rPr>
          <w:rFonts w:ascii="Calibri" w:hAnsi="Calibri" w:cs="Calibri"/>
        </w:rPr>
      </w:pPr>
      <w:r w:rsidRPr="00641E64">
        <w:rPr>
          <w:rFonts w:ascii="Calibri" w:hAnsi="Calibri" w:cs="Calibri"/>
        </w:rPr>
        <w:lastRenderedPageBreak/>
        <w:t>Provilkov, I., Emelianenko, D., &amp; Voita, E. (2020). BPE-Dropout: Simple and Effective Subword Regularization. ACL 2020.</w:t>
      </w:r>
    </w:p>
    <w:p w14:paraId="7541BA9F" w14:textId="77777777" w:rsidR="0016320C" w:rsidRPr="00641E64" w:rsidRDefault="00000000">
      <w:pPr>
        <w:spacing w:after="160"/>
        <w:rPr>
          <w:rFonts w:ascii="Calibri" w:hAnsi="Calibri" w:cs="Calibri"/>
        </w:rPr>
      </w:pPr>
      <w:r w:rsidRPr="00641E64">
        <w:rPr>
          <w:rFonts w:ascii="Calibri" w:hAnsi="Calibri" w:cs="Calibri"/>
        </w:rPr>
        <w:t>Reimers, N., &amp; Gurevych, I. (2019). Sentence-BERT: Sentence Embeddings using Siamese BERT-Networks.</w:t>
      </w:r>
    </w:p>
    <w:p w14:paraId="75A14DAF" w14:textId="77777777" w:rsidR="0016320C" w:rsidRPr="00641E64" w:rsidRDefault="00000000">
      <w:pPr>
        <w:spacing w:after="160"/>
        <w:rPr>
          <w:rFonts w:ascii="Calibri" w:hAnsi="Calibri" w:cs="Calibri"/>
        </w:rPr>
      </w:pPr>
      <w:r w:rsidRPr="00641E64">
        <w:rPr>
          <w:rFonts w:ascii="Calibri" w:hAnsi="Calibri" w:cs="Calibri"/>
        </w:rPr>
        <w:t>Rust, P., Pfeiffer, J., Vulic, I., Ruder, S., &amp; Gurevych, I. (2021). How Good is Your Tokenizer? On the Monolingual Performance of Multilingual Language Models.</w:t>
      </w:r>
    </w:p>
    <w:p w14:paraId="482E3061" w14:textId="77777777" w:rsidR="0016320C" w:rsidRPr="00641E64" w:rsidRDefault="00000000">
      <w:pPr>
        <w:spacing w:after="160"/>
        <w:rPr>
          <w:rFonts w:ascii="Calibri" w:hAnsi="Calibri" w:cs="Calibri"/>
        </w:rPr>
      </w:pPr>
      <w:r w:rsidRPr="00641E64">
        <w:rPr>
          <w:rFonts w:ascii="Calibri" w:hAnsi="Calibri" w:cs="Calibri"/>
        </w:rPr>
        <w:t>"Optimizing Urdu Text Tokenization: Morphological Rules for Compound Word Identification" (2024/2025). [Izafat/enclitic grounding.]</w:t>
      </w:r>
    </w:p>
    <w:p w14:paraId="2F02D22E" w14:textId="77777777" w:rsidR="0016320C" w:rsidRPr="00641E64" w:rsidRDefault="00000000">
      <w:pPr>
        <w:spacing w:after="160"/>
        <w:rPr>
          <w:rFonts w:ascii="Calibri" w:hAnsi="Calibri" w:cs="Calibri"/>
        </w:rPr>
      </w:pPr>
      <w:r w:rsidRPr="00641E64">
        <w:rPr>
          <w:rFonts w:ascii="Calibri" w:hAnsi="Calibri" w:cs="Calibri"/>
        </w:rPr>
        <w:t>"Beyond Fertility" (2025) / STRR. arXiv:2510.09947. NeurIPS 2025 workshop. [Future work only.]</w:t>
      </w:r>
    </w:p>
    <w:sectPr w:rsidR="0016320C" w:rsidRPr="00641E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12825"/>
    <w:multiLevelType w:val="hybridMultilevel"/>
    <w:tmpl w:val="8B445142"/>
    <w:lvl w:ilvl="0" w:tplc="D5A82474">
      <w:start w:val="1"/>
      <w:numFmt w:val="bullet"/>
      <w:lvlText w:val="●"/>
      <w:lvlJc w:val="left"/>
      <w:pPr>
        <w:ind w:left="720" w:hanging="360"/>
      </w:pPr>
    </w:lvl>
    <w:lvl w:ilvl="1" w:tplc="E68E58CA">
      <w:start w:val="1"/>
      <w:numFmt w:val="bullet"/>
      <w:lvlText w:val="○"/>
      <w:lvlJc w:val="left"/>
      <w:pPr>
        <w:ind w:left="1440" w:hanging="360"/>
      </w:pPr>
    </w:lvl>
    <w:lvl w:ilvl="2" w:tplc="C3FAFD1E">
      <w:start w:val="1"/>
      <w:numFmt w:val="bullet"/>
      <w:lvlText w:val="■"/>
      <w:lvlJc w:val="left"/>
      <w:pPr>
        <w:ind w:left="2160" w:hanging="360"/>
      </w:pPr>
    </w:lvl>
    <w:lvl w:ilvl="3" w:tplc="0DC0F6B6">
      <w:start w:val="1"/>
      <w:numFmt w:val="bullet"/>
      <w:lvlText w:val="●"/>
      <w:lvlJc w:val="left"/>
      <w:pPr>
        <w:ind w:left="2880" w:hanging="360"/>
      </w:pPr>
    </w:lvl>
    <w:lvl w:ilvl="4" w:tplc="600C3F6C">
      <w:start w:val="1"/>
      <w:numFmt w:val="bullet"/>
      <w:lvlText w:val="○"/>
      <w:lvlJc w:val="left"/>
      <w:pPr>
        <w:ind w:left="3600" w:hanging="360"/>
      </w:pPr>
    </w:lvl>
    <w:lvl w:ilvl="5" w:tplc="7620035C">
      <w:start w:val="1"/>
      <w:numFmt w:val="bullet"/>
      <w:lvlText w:val="■"/>
      <w:lvlJc w:val="left"/>
      <w:pPr>
        <w:ind w:left="4320" w:hanging="360"/>
      </w:pPr>
    </w:lvl>
    <w:lvl w:ilvl="6" w:tplc="59DA896C">
      <w:start w:val="1"/>
      <w:numFmt w:val="bullet"/>
      <w:lvlText w:val="●"/>
      <w:lvlJc w:val="left"/>
      <w:pPr>
        <w:ind w:left="5040" w:hanging="360"/>
      </w:pPr>
    </w:lvl>
    <w:lvl w:ilvl="7" w:tplc="764CE364">
      <w:start w:val="1"/>
      <w:numFmt w:val="bullet"/>
      <w:lvlText w:val="●"/>
      <w:lvlJc w:val="left"/>
      <w:pPr>
        <w:ind w:left="5760" w:hanging="360"/>
      </w:pPr>
    </w:lvl>
    <w:lvl w:ilvl="8" w:tplc="2342EC36">
      <w:start w:val="1"/>
      <w:numFmt w:val="bullet"/>
      <w:lvlText w:val="●"/>
      <w:lvlJc w:val="left"/>
      <w:pPr>
        <w:ind w:left="6480" w:hanging="360"/>
      </w:pPr>
    </w:lvl>
  </w:abstractNum>
  <w:num w:numId="1" w16cid:durableId="8430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20C"/>
    <w:rsid w:val="0016320C"/>
    <w:rsid w:val="00641E64"/>
    <w:rsid w:val="00FE0BB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959A"/>
  <w15:docId w15:val="{6F9E4CF8-0523-442C-A48B-DEE3EB3E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6107</Words>
  <Characters>34811</Characters>
  <Application>Microsoft Office Word</Application>
  <DocSecurity>0</DocSecurity>
  <Lines>290</Lines>
  <Paragraphs>81</Paragraphs>
  <ScaleCrop>false</ScaleCrop>
  <Company/>
  <LinksUpToDate>false</LinksUpToDate>
  <CharactersWithSpaces>40837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Ahmed FAST NU LAHORE</cp:lastModifiedBy>
  <cp:revision>2</cp:revision>
  <dcterms:created xsi:type="dcterms:W3CDTF">2026-07-24T23:40:00Z</dcterms:created>
  <dcterms:modified xsi:type="dcterms:W3CDTF">2026-07-26T16:10:00Z</dcterms:modified>
</cp:coreProperties>
</file>