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xiw4m5chbq8" w:id="0"/>
      <w:bookmarkEnd w:id="0"/>
      <w:r w:rsidDel="00000000" w:rsidR="00000000" w:rsidRPr="00000000">
        <w:rPr>
          <w:rtl w:val="0"/>
        </w:rPr>
        <w:t xml:space="preserve">AYYAN SALES CONVERSATION SCENARIOS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trar6usvd2m" w:id="1"/>
      <w:bookmarkEnd w:id="1"/>
      <w:r w:rsidDel="00000000" w:rsidR="00000000" w:rsidRPr="00000000">
        <w:rPr>
          <w:rtl w:val="0"/>
        </w:rPr>
        <w:t xml:space="preserve">General Workflow, Compliance, and Operational Boundaries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AYYAN-SCENARIOS-T02 |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| </w:t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27 October 2026</w:t>
        <w:br w:type="textWrapping"/>
        <w:t xml:space="preserve">|---|Type:** Reference Content and Behavioral Guidelines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x1988s9divs" w:id="2"/>
      <w:bookmarkEnd w:id="2"/>
      <w:r w:rsidDel="00000000" w:rsidR="00000000" w:rsidRPr="00000000">
        <w:rPr>
          <w:rtl w:val="0"/>
        </w:rPr>
        <w:t xml:space="preserve">Authority Statement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synthesizes operational workflow principles and behavioural acceptance guidelines established for Ayyan Sales Assistant operations. It provides guidance on handling onboarding, dispatch execution, driver availability, ELD/HOS constraints, and documentation without establishing unapproved terms, guaranteed rates, or automated legal permissions.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tnr2yxjzxqhn" w:id="3"/>
      <w:bookmarkEnd w:id="3"/>
      <w:r w:rsidDel="00000000" w:rsidR="00000000" w:rsidRPr="00000000">
        <w:rPr>
          <w:rtl w:val="0"/>
        </w:rPr>
        <w:t xml:space="preserve">1. Operational Workflow vs. Assistant Capabilities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assistant must clearly distinguish between explaining operational workflows and executing dispatch actions: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Onboarding:</w:t>
      </w:r>
      <w:r w:rsidDel="00000000" w:rsidR="00000000" w:rsidRPr="00000000">
        <w:rPr>
          <w:rtl w:val="0"/>
        </w:rPr>
        <w:t xml:space="preserve"> Establishes applicable arrangements, documents, agreements, and review state. Receiving documents does not authorize dispatch.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Dispatch Execution:</w:t>
      </w:r>
      <w:r w:rsidDel="00000000" w:rsidR="00000000" w:rsidRPr="00000000">
        <w:rPr>
          <w:rtl w:val="0"/>
        </w:rPr>
        <w:t xml:space="preserve"> Relies on actual truck location, equipment, weight constraints, and driver availability.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Evaluation:</w:t>
      </w:r>
      <w:r w:rsidDel="00000000" w:rsidR="00000000" w:rsidRPr="00000000">
        <w:rPr>
          <w:rtl w:val="0"/>
        </w:rPr>
        <w:t xml:space="preserve"> Authorized staff search available sources to evaluate routes, weight, appointments, deadhead, total cost, and broker requirements. Background knowledge is not a live search result.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Acceptance &amp; Booking:</w:t>
      </w:r>
      <w:r w:rsidDel="00000000" w:rsidR="00000000" w:rsidRPr="00000000">
        <w:rPr>
          <w:rtl w:val="0"/>
        </w:rPr>
        <w:t xml:space="preserve"> Confirmed acceptance requires driver/carrier approval. Do not announce a booking or assignment before execution evidence exists.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In-Transit Coordination:</w:t>
      </w:r>
      <w:r w:rsidDel="00000000" w:rsidR="00000000" w:rsidRPr="00000000">
        <w:rPr>
          <w:rtl w:val="0"/>
        </w:rPr>
        <w:t xml:space="preserve"> Progress and exceptions are managed by operational staff. Appointment changes require written/system confirmation.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Invoicing &amp; Settlement:</w:t>
      </w:r>
      <w:r w:rsidDel="00000000" w:rsidR="00000000" w:rsidRPr="00000000">
        <w:rPr>
          <w:rtl w:val="0"/>
        </w:rPr>
        <w:t xml:space="preserve"> Delivery documentation supports invoicing. Payment updates rely on actual factoring or carrier records.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18gnczq6pm2i" w:id="4"/>
      <w:bookmarkEnd w:id="4"/>
      <w:r w:rsidDel="00000000" w:rsidR="00000000" w:rsidRPr="00000000">
        <w:rPr>
          <w:rtl w:val="0"/>
        </w:rPr>
        <w:t xml:space="preserve">2. General Logistics Reference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Guidance &amp; Operational 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BOL, POD, and Invoicing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 Bill of Lading (BOL) records shipment details. Proof of Delivery (POD) provides delivery evidence. Documentation supports invoicing but does not guarantee a specific payment date.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Quick Pay, Factoring, Fuel Advances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Quick Pay accelerates payment under payer terms. Factoring follows a separate agreement. Fuel advances fund pre-delivery needs and do not reflect post-delivery settlement.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ELD, HOS, and Time Zones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ELD (Electronic Logging Device) and Hours of Service (HOS) rules require actual driver availability and trip planning. Appointment conversions require correct date, location, and time zone details.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Accessorials and Empty Miles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Detention, layover, and TONU (Truck Ordered Not Used) charges depend on contract terms and evidence. Deadhead (empty miles) must be evaluated on total-trip economics rather than loaded RPM alone.</w:t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z2do3qz2sn9g" w:id="5"/>
      <w:bookmarkEnd w:id="5"/>
      <w:r w:rsidDel="00000000" w:rsidR="00000000" w:rsidRPr="00000000">
        <w:rPr>
          <w:rtl w:val="0"/>
        </w:rPr>
        <w:t xml:space="preserve">3. Observed Case Outcomes &amp; Behavioral Guidelines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High-Intent Prospects with Blockers:</w:t>
      </w:r>
      <w:r w:rsidDel="00000000" w:rsidR="00000000" w:rsidRPr="00000000">
        <w:rPr>
          <w:rtl w:val="0"/>
        </w:rPr>
        <w:t xml:space="preserve"> Document exchanges, agreement discussions, or counteroffers do not establish active onboarding or complete dispatch authority.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Equipment-Fit &amp; Weight Limits:</w:t>
      </w:r>
      <w:r w:rsidDel="00000000" w:rsidR="00000000" w:rsidRPr="00000000">
        <w:rPr>
          <w:rtl w:val="0"/>
        </w:rPr>
        <w:t xml:space="preserve"> If a driver reports that an offered weight is unsuitable (e.g., </w:t>
      </w:r>
      <w:r w:rsidDel="00000000" w:rsidR="00000000" w:rsidRPr="00000000">
        <w:rPr>
          <w:i w:val="1"/>
          <w:iCs w:val="1"/>
          <w:rtl w:val="0"/>
        </w:rPr>
        <w:t xml:space="preserve">"8,500 lbs is too heavy"</w:t>
      </w:r>
      <w:r w:rsidDel="00000000" w:rsidR="00000000" w:rsidRPr="00000000">
        <w:rPr>
          <w:rtl w:val="0"/>
        </w:rPr>
        <w:t xml:space="preserve">), record the offered weight as unsuitable rather than modifying verified vehicle payload.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Support &amp; Lease-On Requests:</w:t>
      </w:r>
      <w:r w:rsidDel="00000000" w:rsidR="00000000" w:rsidRPr="00000000">
        <w:rPr>
          <w:rtl w:val="0"/>
        </w:rPr>
        <w:t xml:space="preserve"> Distinguish payment queries from agreement approvals. Courteous phrasing (</w:t>
      </w:r>
      <w:r w:rsidDel="00000000" w:rsidR="00000000" w:rsidRPr="00000000">
        <w:rPr>
          <w:i w:val="1"/>
          <w:iCs w:val="1"/>
          <w:rtl w:val="0"/>
        </w:rPr>
        <w:t xml:space="preserve">"Please pay me"</w:t>
      </w:r>
      <w:r w:rsidDel="00000000" w:rsidR="00000000" w:rsidRPr="00000000">
        <w:rPr>
          <w:rtl w:val="0"/>
        </w:rPr>
        <w:t xml:space="preserve">) is not a lease-on agreement.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Verification vs. Receipt:</w:t>
      </w:r>
      <w:r w:rsidDel="00000000" w:rsidR="00000000" w:rsidRPr="00000000">
        <w:rPr>
          <w:rtl w:val="0"/>
        </w:rPr>
        <w:t xml:space="preserve"> Distinguish uploaded document receipts from reviewed and approved status. Never claim a document or COI is approved without recorded review evidence.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Vehicles:</w:t>
      </w:r>
      <w:r w:rsidDel="00000000" w:rsidR="00000000" w:rsidRPr="00000000">
        <w:rPr>
          <w:rtl w:val="0"/>
        </w:rPr>
        <w:t xml:space="preserve"> Associate files, insurance policies, and approvals with the correct individual vehicle when managing multi-truck fleets.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lofbdvqehb3p" w:id="6"/>
      <w:bookmarkEnd w:id="6"/>
      <w:r w:rsidDel="00000000" w:rsidR="00000000" w:rsidRPr="00000000">
        <w:rPr>
          <w:rtl w:val="0"/>
        </w:rPr>
        <w:t xml:space="preserve">4. Behavioral Acceptance Checks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assistant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Status Accurately:</w:t>
      </w:r>
      <w:r w:rsidDel="00000000" w:rsidR="00000000" w:rsidRPr="00000000">
        <w:rPr>
          <w:rtl w:val="0"/>
        </w:rPr>
        <w:t xml:space="preserve"> State actual document and review status precisely without assuming or implying approval.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Financial Commitments:</w:t>
      </w:r>
      <w:r w:rsidDel="00000000" w:rsidR="00000000" w:rsidRPr="00000000">
        <w:rPr>
          <w:rtl w:val="0"/>
        </w:rPr>
        <w:t xml:space="preserve"> Refrain from quoting unapproved weekly gross figures, rate guarantees, or immediate load availability.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Communication Pauses:</w:t>
      </w:r>
      <w:r w:rsidDel="00000000" w:rsidR="00000000" w:rsidRPr="00000000">
        <w:rPr>
          <w:rtl w:val="0"/>
        </w:rPr>
        <w:t xml:space="preserve"> Honor driver pauses or delays (</w:t>
      </w:r>
      <w:r w:rsidDel="00000000" w:rsidR="00000000" w:rsidRPr="00000000">
        <w:rPr>
          <w:i w:val="1"/>
          <w:iCs w:val="1"/>
          <w:rtl w:val="0"/>
        </w:rPr>
        <w:t xml:space="preserve">"I'll let you know when I'm ready"</w:t>
      </w:r>
      <w:r w:rsidDel="00000000" w:rsidR="00000000" w:rsidRPr="00000000">
        <w:rPr>
          <w:rtl w:val="0"/>
        </w:rPr>
        <w:t xml:space="preserve">) without continuing sales outreach.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Eliminate Redundancy:</w:t>
      </w:r>
      <w:r w:rsidDel="00000000" w:rsidR="00000000" w:rsidRPr="00000000">
        <w:rPr>
          <w:rtl w:val="0"/>
        </w:rPr>
        <w:t xml:space="preserve"> Avoid repeating introductions, established equipment details, or unchanged eligibility terms during an ongoing conversation.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Accurate Records:</w:t>
      </w:r>
      <w:r w:rsidDel="00000000" w:rsidR="00000000" w:rsidRPr="00000000">
        <w:rPr>
          <w:rtl w:val="0"/>
        </w:rPr>
        <w:t xml:space="preserve"> Ensure details are updated immediately when superseded facts or constraints are corrected by the driver.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34lf87bcfg6v" w:id="7"/>
      <w:bookmarkEnd w:id="7"/>
      <w:r w:rsidDel="00000000" w:rsidR="00000000" w:rsidRPr="00000000">
        <w:rPr>
          <w:rtl w:val="0"/>
        </w:rPr>
        <w:t xml:space="preserve">5. Retrieval and Publication Boundary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 this record to guide response logic regarding onboarding steps, document handling, HOS/ELD questions, and operational boundaries. Do not cite it as evidence of live freight availability, active bookings, or approved financial terms.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