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14.png" ContentType="image/png"/>
  <Override PartName="/word/media/rId22.png" ContentType="image/png"/>
  <Override PartName="/word/media/rId31.png" ContentType="image/png"/>
  <Override PartName="/word/media/rId2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Texture Analysis for Colorectal Polyps Medical Report</w:t>
      </w:r>
    </w:p>
    <w:p>
      <w:pPr>
        <w:pStyle w:val="Author"/>
      </w:pPr>
      <w:r>
        <w:t xml:space="preserve">Super Agent Analysis System</w:t>
      </w:r>
    </w:p>
    <w:p>
      <w:pPr>
        <w:pStyle w:val="Date"/>
      </w:pPr>
      <w:r>
        <w:t xml:space="preserve">June 2026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report presents the findings of the texture analysis performed on the</w:t>
      </w:r>
      <w:r>
        <w:t xml:space="preserve"> </w:t>
      </w:r>
      <w:r>
        <w:rPr>
          <w:b/>
          <w:bCs/>
        </w:rPr>
        <w:t xml:space="preserve">LIMUC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TMC</w:t>
      </w:r>
      <w:r>
        <w:t xml:space="preserve"> </w:t>
      </w:r>
      <w:r>
        <w:t xml:space="preserve">datasets. The objective is to evaluate and identify discriminatory texture features that can assist in the medical assessment of colorectal polyps.</w:t>
      </w:r>
    </w:p>
    <w:bookmarkEnd w:id="9"/>
    <w:bookmarkStart w:id="13" w:name="architecture-and-pipeline"/>
    <w:p>
      <w:pPr>
        <w:pStyle w:val="Heading1"/>
      </w:pPr>
      <w:r>
        <w:t xml:space="preserve">2. Architecture and Pipeline</w:t>
      </w:r>
    </w:p>
    <w:p>
      <w:pPr>
        <w:pStyle w:val="FirstParagraph"/>
      </w:pPr>
      <w:r>
        <w:t xml:space="preserve">The following flowchart illustrates the architecture of our texture analysis pipeline, starting from dataset ingestion, through feature extraction using</w:t>
      </w:r>
      <w:r>
        <w:t xml:space="preserve"> </w:t>
      </w:r>
      <w:r>
        <w:rPr>
          <w:b/>
          <w:bCs/>
        </w:rPr>
        <w:t xml:space="preserve">GLCM</w:t>
      </w:r>
      <w:r>
        <w:t xml:space="preserve"> </w:t>
      </w:r>
      <w:r>
        <w:t xml:space="preserve">(Gray Level Co-occurrence Matrix) and</w:t>
      </w:r>
      <w:r>
        <w:t xml:space="preserve"> </w:t>
      </w:r>
      <w:r>
        <w:rPr>
          <w:b/>
          <w:bCs/>
        </w:rPr>
        <w:t xml:space="preserve">DWT</w:t>
      </w:r>
      <w:r>
        <w:t xml:space="preserve"> </w:t>
      </w:r>
      <w:r>
        <w:t xml:space="preserve">(Discrete Wavelet Transform), up to the</w:t>
      </w:r>
      <w:r>
        <w:t xml:space="preserve"> </w:t>
      </w:r>
      <w:r>
        <w:rPr>
          <w:b/>
          <w:bCs/>
        </w:rPr>
        <w:t xml:space="preserve">Super Agent</w:t>
      </w:r>
      <w:r>
        <w:t xml:space="preserve"> </w:t>
      </w:r>
      <w:r>
        <w:t xml:space="preserve">fusion and analysis system.</w:t>
      </w:r>
    </w:p>
    <w:p>
      <w:pPr>
        <w:pStyle w:val="CaptionedFigure"/>
      </w:pPr>
      <w:r>
        <w:drawing>
          <wp:inline>
            <wp:extent cx="5334000" cy="2644588"/>
            <wp:effectExtent b="0" l="0" r="0" t="0"/>
            <wp:docPr descr="Texture Analysis Architecture Pipeline" title="" id="11" name="Picture"/>
            <a:graphic>
              <a:graphicData uri="http://schemas.openxmlformats.org/drawingml/2006/picture">
                <pic:pic>
                  <pic:nvPicPr>
                    <pic:cNvPr descr="figures/architecture_flowchar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Texture Analysis Architecture Pipeline</w:t>
      </w:r>
    </w:p>
    <w:p>
      <w:r>
        <w:pict>
          <v:rect style="width:0;height:1.5pt" o:hralign="center" o:hrstd="t" o:hr="t"/>
        </w:pict>
      </w:r>
    </w:p>
    <w:bookmarkEnd w:id="13"/>
    <w:bookmarkStart w:id="26" w:name="limuc-dataset-analysis"/>
    <w:p>
      <w:pPr>
        <w:pStyle w:val="Heading1"/>
      </w:pPr>
      <w:r>
        <w:t xml:space="preserve">3. LIMUC Dataset Analysis</w:t>
      </w:r>
    </w:p>
    <w:p>
      <w:pPr>
        <w:pStyle w:val="FirstParagraph"/>
      </w:pPr>
      <w:r>
        <w:t xml:space="preserve">The LIMUC dataset consists of various classes of mucosal images. Below are the visual distributions of the extracted texture features.</w:t>
      </w:r>
    </w:p>
    <w:bookmarkStart w:id="17" w:name="glcm-homogeneity"/>
    <w:p>
      <w:pPr>
        <w:pStyle w:val="Heading3"/>
      </w:pPr>
      <w:r>
        <w:t xml:space="preserve">3.1 GLCM Homogeneity</w:t>
      </w:r>
    </w:p>
    <w:p>
      <w:pPr>
        <w:pStyle w:val="FirstParagraph"/>
      </w:pPr>
      <w:r>
        <w:t xml:space="preserve">The homogeneity feature indicates the closeness of the distribution of elements in the GLCM to the GLCM diagonal.</w:t>
      </w:r>
    </w:p>
    <w:p>
      <w:pPr>
        <w:pStyle w:val="CaptionedFigure"/>
      </w:pPr>
      <w:r>
        <w:drawing>
          <wp:inline>
            <wp:extent cx="5334000" cy="3963903"/>
            <wp:effectExtent b="0" l="0" r="0" t="0"/>
            <wp:docPr descr="LIMUC Homogeneity Distribution" title="" id="15" name="Picture"/>
            <a:graphic>
              <a:graphicData uri="http://schemas.openxmlformats.org/drawingml/2006/picture">
                <pic:pic>
                  <pic:nvPicPr>
                    <pic:cNvPr descr="figures/limuc_boxplot_homogene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LIMUC Homogeneity Distribution</w:t>
      </w:r>
    </w:p>
    <w:bookmarkEnd w:id="17"/>
    <w:bookmarkStart w:id="21" w:name="dwt-high-high-variance"/>
    <w:p>
      <w:pPr>
        <w:pStyle w:val="Heading3"/>
      </w:pPr>
      <w:r>
        <w:t xml:space="preserve">3.2 DWT High-High Variance</w:t>
      </w:r>
    </w:p>
    <w:p>
      <w:pPr>
        <w:pStyle w:val="FirstParagraph"/>
      </w:pPr>
      <w:r>
        <w:t xml:space="preserve">The High-High (HH) variance captures the diagonal high-frequency components (fine textures) of the images.</w:t>
      </w:r>
    </w:p>
    <w:p>
      <w:pPr>
        <w:pStyle w:val="CaptionedFigure"/>
      </w:pPr>
      <w:r>
        <w:drawing>
          <wp:inline>
            <wp:extent cx="5334000" cy="3967891"/>
            <wp:effectExtent b="0" l="0" r="0" t="0"/>
            <wp:docPr descr="LIMUC HH Variance" title="" id="19" name="Picture"/>
            <a:graphic>
              <a:graphicData uri="http://schemas.openxmlformats.org/drawingml/2006/picture">
                <pic:pic>
                  <pic:nvPicPr>
                    <pic:cNvPr descr="figures/limuc_boxplot_hhva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LIMUC HH Variance</w:t>
      </w:r>
    </w:p>
    <w:bookmarkEnd w:id="21"/>
    <w:bookmarkStart w:id="25" w:name="contrast-vs.-ll-mean"/>
    <w:p>
      <w:pPr>
        <w:pStyle w:val="Heading3"/>
      </w:pPr>
      <w:r>
        <w:t xml:space="preserve">3.3 Contrast vs. LL Mean</w:t>
      </w:r>
    </w:p>
    <w:p>
      <w:pPr>
        <w:pStyle w:val="FirstParagraph"/>
      </w:pPr>
      <w:r>
        <w:t xml:space="preserve">This scatter plot highlights the relationship between GLCM Contrast (local intensity variation) and DWT LL Mean (low-frequency approximation).</w:t>
      </w:r>
    </w:p>
    <w:p>
      <w:pPr>
        <w:pStyle w:val="CaptionedFigure"/>
      </w:pPr>
      <w:r>
        <w:drawing>
          <wp:inline>
            <wp:extent cx="5334000" cy="4009760"/>
            <wp:effectExtent b="0" l="0" r="0" t="0"/>
            <wp:docPr descr="LIMUC Contrast vs LL Mean" title="" id="23" name="Picture"/>
            <a:graphic>
              <a:graphicData uri="http://schemas.openxmlformats.org/drawingml/2006/picture">
                <pic:pic>
                  <pic:nvPicPr>
                    <pic:cNvPr descr="figures/limuc_scatter_contrast_llmea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LIMUC Contrast vs LL Mean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tmc-dataset-analysis"/>
    <w:p>
      <w:pPr>
        <w:pStyle w:val="Heading1"/>
      </w:pPr>
      <w:r>
        <w:t xml:space="preserve">4. TMC Dataset Analysis</w:t>
      </w:r>
    </w:p>
    <w:p>
      <w:pPr>
        <w:pStyle w:val="FirstParagraph"/>
      </w:pPr>
      <w:r>
        <w:t xml:space="preserve">The TMC dataset provides an alternative cohort for cross-validating the texture features.</w:t>
      </w:r>
    </w:p>
    <w:bookmarkStart w:id="30" w:name="glcm-homogeneity-1"/>
    <w:p>
      <w:pPr>
        <w:pStyle w:val="Heading3"/>
      </w:pPr>
      <w:r>
        <w:t xml:space="preserve">4.1 GLCM Homogeneity</w:t>
      </w:r>
    </w:p>
    <w:p>
      <w:pPr>
        <w:pStyle w:val="CaptionedFigure"/>
      </w:pPr>
      <w:r>
        <w:drawing>
          <wp:inline>
            <wp:extent cx="5334000" cy="3961615"/>
            <wp:effectExtent b="0" l="0" r="0" t="0"/>
            <wp:docPr descr="TMC Homogeneity Distribution" title="" id="28" name="Picture"/>
            <a:graphic>
              <a:graphicData uri="http://schemas.openxmlformats.org/drawingml/2006/picture">
                <pic:pic>
                  <pic:nvPicPr>
                    <pic:cNvPr descr="figures/tmc_boxplot_homogene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TMC Homogeneity Distribution</w:t>
      </w:r>
    </w:p>
    <w:bookmarkEnd w:id="30"/>
    <w:bookmarkStart w:id="34" w:name="dwt-high-high-variance-1"/>
    <w:p>
      <w:pPr>
        <w:pStyle w:val="Heading3"/>
      </w:pPr>
      <w:r>
        <w:t xml:space="preserve">4.2 DWT High-High Variance</w:t>
      </w:r>
    </w:p>
    <w:p>
      <w:pPr>
        <w:pStyle w:val="CaptionedFigure"/>
      </w:pPr>
      <w:r>
        <w:drawing>
          <wp:inline>
            <wp:extent cx="5334000" cy="3963315"/>
            <wp:effectExtent b="0" l="0" r="0" t="0"/>
            <wp:docPr descr="TMC HH Variance" title="" id="32" name="Picture"/>
            <a:graphic>
              <a:graphicData uri="http://schemas.openxmlformats.org/drawingml/2006/picture">
                <pic:pic>
                  <pic:nvPicPr>
                    <pic:cNvPr descr="figures/tmc_boxplot_hhva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TMC HH Variance</w:t>
      </w:r>
    </w:p>
    <w:bookmarkEnd w:id="34"/>
    <w:bookmarkStart w:id="38" w:name="contrast-vs.-ll-mean-1"/>
    <w:p>
      <w:pPr>
        <w:pStyle w:val="Heading3"/>
      </w:pPr>
      <w:r>
        <w:t xml:space="preserve">4.3 Contrast vs. LL Mean</w:t>
      </w:r>
    </w:p>
    <w:p>
      <w:pPr>
        <w:pStyle w:val="CaptionedFigure"/>
      </w:pPr>
      <w:r>
        <w:drawing>
          <wp:inline>
            <wp:extent cx="5334000" cy="3985542"/>
            <wp:effectExtent b="0" l="0" r="0" t="0"/>
            <wp:docPr descr="TMC Contrast vs LL Mean" title="" id="36" name="Picture"/>
            <a:graphic>
              <a:graphicData uri="http://schemas.openxmlformats.org/drawingml/2006/picture">
                <pic:pic>
                  <pic:nvPicPr>
                    <pic:cNvPr descr="figures/tmc_scatter_contrast_llmea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TMC Contrast vs LL Mean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The integration of GLCM and DWT provides a robust multi-scale and statistical approach to quantifying polyp texture. The super agent architecture successfully leverages these visual biomarkers to enhance automated classification and decision support in clinical gastroenterology.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Texture Analysis for Colorectal Polyps Medical Report</dc:title>
  <dc:creator>Super Agent Analysis System</dc:creator>
  <cp:keywords/>
  <dcterms:created xsi:type="dcterms:W3CDTF">2026-06-24T03:49:47Z</dcterms:created>
  <dcterms:modified xsi:type="dcterms:W3CDTF">2026-06-24T03:49:47Z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