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ColonoMind Final Consistent Results</w:t>
      </w:r>
    </w:p>
    <w:p>
      <w:pPr>
        <w:pStyle w:val="Heading1"/>
      </w:pPr>
      <w:r>
        <w:t>1. Performance Tables</w:t>
      </w:r>
    </w:p>
    <w:p>
      <w:pPr>
        <w:pStyle w:val="Heading2"/>
      </w:pPr>
      <w:r>
        <w:t>Table 1: Performance on NTUH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Accuracy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Precision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Recall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QWK</w:t>
            </w:r>
          </w:p>
        </w:tc>
      </w:tr>
      <w:tr>
        <w:tc>
          <w:tcPr>
            <w:tcW w:type="dxa" w:w="1440"/>
          </w:tcPr>
          <w:p>
            <w:r>
              <w:t>ResNet-50</w:t>
            </w:r>
          </w:p>
        </w:tc>
        <w:tc>
          <w:tcPr>
            <w:tcW w:type="dxa" w:w="1440"/>
          </w:tcPr>
          <w:p>
            <w:r>
              <w:t>70.35%</w:t>
            </w:r>
            <w:r>
              <w:br/>
              <w:t>(63.67%–76.26%)</w:t>
            </w:r>
          </w:p>
        </w:tc>
        <w:tc>
          <w:tcPr>
            <w:tcW w:type="dxa" w:w="1440"/>
          </w:tcPr>
          <w:p>
            <w:r>
              <w:t>67.17%</w:t>
            </w:r>
            <w:r>
              <w:br/>
              <w:t>(60.37%–73.32%)</w:t>
            </w:r>
          </w:p>
        </w:tc>
        <w:tc>
          <w:tcPr>
            <w:tcW w:type="dxa" w:w="1440"/>
          </w:tcPr>
          <w:p>
            <w:r>
              <w:t>66.73%</w:t>
            </w:r>
            <w:r>
              <w:br/>
              <w:t>(59.92%–72.91%)</w:t>
            </w:r>
          </w:p>
        </w:tc>
        <w:tc>
          <w:tcPr>
            <w:tcW w:type="dxa" w:w="1440"/>
          </w:tcPr>
          <w:p>
            <w:r>
              <w:t>66.99%</w:t>
            </w:r>
            <w:r>
              <w:br/>
              <w:t>(60.19%–73.15%)</w:t>
            </w:r>
          </w:p>
        </w:tc>
        <w:tc>
          <w:tcPr>
            <w:tcW w:type="dxa" w:w="1440"/>
          </w:tcPr>
          <w:p>
            <w:r>
              <w:t>0.7957</w:t>
            </w:r>
            <w:r>
              <w:br/>
              <w:t>(0.7383–0.8416)</w:t>
            </w:r>
          </w:p>
        </w:tc>
      </w:tr>
      <w:tr>
        <w:tc>
          <w:tcPr>
            <w:tcW w:type="dxa" w:w="1440"/>
          </w:tcPr>
          <w:p>
            <w:r>
              <w:t>DenseNet-121</w:t>
            </w:r>
          </w:p>
        </w:tc>
        <w:tc>
          <w:tcPr>
            <w:tcW w:type="dxa" w:w="1440"/>
          </w:tcPr>
          <w:p>
            <w:r>
              <w:t>67.34%</w:t>
            </w:r>
            <w:r>
              <w:br/>
              <w:t>(60.55%–73.47%)</w:t>
            </w:r>
          </w:p>
        </w:tc>
        <w:tc>
          <w:tcPr>
            <w:tcW w:type="dxa" w:w="1440"/>
          </w:tcPr>
          <w:p>
            <w:r>
              <w:t>64.15%</w:t>
            </w:r>
            <w:r>
              <w:br/>
              <w:t>(57.28%–70.49%)</w:t>
            </w:r>
          </w:p>
        </w:tc>
        <w:tc>
          <w:tcPr>
            <w:tcW w:type="dxa" w:w="1440"/>
          </w:tcPr>
          <w:p>
            <w:r>
              <w:t>64.16%</w:t>
            </w:r>
            <w:r>
              <w:br/>
              <w:t>(57.29%–70.50%)</w:t>
            </w:r>
          </w:p>
        </w:tc>
        <w:tc>
          <w:tcPr>
            <w:tcW w:type="dxa" w:w="1440"/>
          </w:tcPr>
          <w:p>
            <w:r>
              <w:t>64.41%</w:t>
            </w:r>
            <w:r>
              <w:br/>
              <w:t>(57.54%–70.73%)</w:t>
            </w:r>
          </w:p>
        </w:tc>
        <w:tc>
          <w:tcPr>
            <w:tcW w:type="dxa" w:w="1440"/>
          </w:tcPr>
          <w:p>
            <w:r>
              <w:t>0.7906</w:t>
            </w:r>
            <w:r>
              <w:br/>
              <w:t>(0.7320–0.8376)</w:t>
            </w:r>
          </w:p>
        </w:tc>
      </w:tr>
      <w:tr>
        <w:tc>
          <w:tcPr>
            <w:tcW w:type="dxa" w:w="1440"/>
          </w:tcPr>
          <w:p>
            <w:r>
              <w:t>EfficientNet-B4</w:t>
            </w:r>
          </w:p>
        </w:tc>
        <w:tc>
          <w:tcPr>
            <w:tcW w:type="dxa" w:w="1440"/>
          </w:tcPr>
          <w:p>
            <w:r>
              <w:t>77.89%</w:t>
            </w:r>
            <w:r>
              <w:br/>
              <w:t>(71.63%–83.10%)</w:t>
            </w:r>
          </w:p>
        </w:tc>
        <w:tc>
          <w:tcPr>
            <w:tcW w:type="dxa" w:w="1440"/>
          </w:tcPr>
          <w:p>
            <w:r>
              <w:t>76.03%</w:t>
            </w:r>
            <w:r>
              <w:br/>
              <w:t>(69.64%–81.43%)</w:t>
            </w:r>
          </w:p>
        </w:tc>
        <w:tc>
          <w:tcPr>
            <w:tcW w:type="dxa" w:w="1440"/>
          </w:tcPr>
          <w:p>
            <w:r>
              <w:t>75.73%</w:t>
            </w:r>
            <w:r>
              <w:br/>
              <w:t>(69.32%–81.16%)</w:t>
            </w:r>
          </w:p>
        </w:tc>
        <w:tc>
          <w:tcPr>
            <w:tcW w:type="dxa" w:w="1440"/>
          </w:tcPr>
          <w:p>
            <w:r>
              <w:t>75.65%</w:t>
            </w:r>
            <w:r>
              <w:br/>
              <w:t>(69.24%–81.09%)</w:t>
            </w:r>
          </w:p>
        </w:tc>
        <w:tc>
          <w:tcPr>
            <w:tcW w:type="dxa" w:w="1440"/>
          </w:tcPr>
          <w:p>
            <w:r>
              <w:t>0.8797</w:t>
            </w:r>
            <w:r>
              <w:br/>
              <w:t>(0.8439–0.9077)</w:t>
            </w:r>
          </w:p>
        </w:tc>
      </w:tr>
      <w:tr>
        <w:tc>
          <w:tcPr>
            <w:tcW w:type="dxa" w:w="1440"/>
          </w:tcPr>
          <w:p>
            <w:r>
              <w:t>ConvNeXt-Tiny</w:t>
            </w:r>
          </w:p>
        </w:tc>
        <w:tc>
          <w:tcPr>
            <w:tcW w:type="dxa" w:w="1440"/>
          </w:tcPr>
          <w:p>
            <w:r>
              <w:t>71.36%</w:t>
            </w:r>
            <w:r>
              <w:br/>
              <w:t>(64.72%–77.19%)</w:t>
            </w:r>
          </w:p>
        </w:tc>
        <w:tc>
          <w:tcPr>
            <w:tcW w:type="dxa" w:w="1440"/>
          </w:tcPr>
          <w:p>
            <w:r>
              <w:t>68.04%</w:t>
            </w:r>
            <w:r>
              <w:br/>
              <w:t>(61.27%–74.12%)</w:t>
            </w:r>
          </w:p>
        </w:tc>
        <w:tc>
          <w:tcPr>
            <w:tcW w:type="dxa" w:w="1440"/>
          </w:tcPr>
          <w:p>
            <w:r>
              <w:t>67.66%</w:t>
            </w:r>
            <w:r>
              <w:br/>
              <w:t>(60.88%–73.77%)</w:t>
            </w:r>
          </w:p>
        </w:tc>
        <w:tc>
          <w:tcPr>
            <w:tcW w:type="dxa" w:w="1440"/>
          </w:tcPr>
          <w:p>
            <w:r>
              <w:t>67.85%</w:t>
            </w:r>
            <w:r>
              <w:br/>
              <w:t>(61.08%–73.95%)</w:t>
            </w:r>
          </w:p>
        </w:tc>
        <w:tc>
          <w:tcPr>
            <w:tcW w:type="dxa" w:w="1440"/>
          </w:tcPr>
          <w:p>
            <w:r>
              <w:t>0.8350</w:t>
            </w:r>
            <w:r>
              <w:br/>
              <w:t>(0.7874–0.8727)</w:t>
            </w:r>
          </w:p>
        </w:tc>
      </w:tr>
      <w:tr>
        <w:tc>
          <w:tcPr>
            <w:tcW w:type="dxa" w:w="1440"/>
          </w:tcPr>
          <w:p>
            <w:r>
              <w:t>ViT-B/16</w:t>
            </w:r>
          </w:p>
        </w:tc>
        <w:tc>
          <w:tcPr>
            <w:tcW w:type="dxa" w:w="1440"/>
          </w:tcPr>
          <w:p>
            <w:r>
              <w:t>48.74%</w:t>
            </w:r>
            <w:r>
              <w:br/>
              <w:t>(41.89%–55.64%)</w:t>
            </w:r>
          </w:p>
        </w:tc>
        <w:tc>
          <w:tcPr>
            <w:tcW w:type="dxa" w:w="1440"/>
          </w:tcPr>
          <w:p>
            <w:r>
              <w:t>46.85%</w:t>
            </w:r>
            <w:r>
              <w:br/>
              <w:t>(40.04%–53.78%)</w:t>
            </w:r>
          </w:p>
        </w:tc>
        <w:tc>
          <w:tcPr>
            <w:tcW w:type="dxa" w:w="1440"/>
          </w:tcPr>
          <w:p>
            <w:r>
              <w:t>46.87%</w:t>
            </w:r>
            <w:r>
              <w:br/>
              <w:t>(40.06%–53.80%)</w:t>
            </w:r>
          </w:p>
        </w:tc>
        <w:tc>
          <w:tcPr>
            <w:tcW w:type="dxa" w:w="1440"/>
          </w:tcPr>
          <w:p>
            <w:r>
              <w:t>47.14%</w:t>
            </w:r>
            <w:r>
              <w:br/>
              <w:t>(40.32%–54.06%)</w:t>
            </w:r>
          </w:p>
        </w:tc>
        <w:tc>
          <w:tcPr>
            <w:tcW w:type="dxa" w:w="1440"/>
          </w:tcPr>
          <w:p>
            <w:r>
              <w:t>0.4330</w:t>
            </w:r>
            <w:r>
              <w:br/>
              <w:t>(0.3127–0.5396)</w:t>
            </w:r>
          </w:p>
        </w:tc>
      </w:tr>
    </w:tbl>
    <w:p>
      <w:r>
        <w:br/>
      </w:r>
    </w:p>
    <w:p>
      <w:pPr>
        <w:pStyle w:val="Heading2"/>
      </w:pPr>
      <w:r>
        <w:t>Table 2: Performance on TMC-UCM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Accuracy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Precision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Recall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QWK</w:t>
            </w:r>
          </w:p>
        </w:tc>
      </w:tr>
      <w:tr>
        <w:tc>
          <w:tcPr>
            <w:tcW w:type="dxa" w:w="1440"/>
          </w:tcPr>
          <w:p>
            <w:r>
              <w:t>ResNet-50</w:t>
            </w:r>
          </w:p>
        </w:tc>
        <w:tc>
          <w:tcPr>
            <w:tcW w:type="dxa" w:w="1440"/>
          </w:tcPr>
          <w:p>
            <w:r>
              <w:t>79.94%</w:t>
            </w:r>
            <w:r>
              <w:br/>
              <w:t>(77.90%–81.83%)</w:t>
            </w:r>
          </w:p>
        </w:tc>
        <w:tc>
          <w:tcPr>
            <w:tcW w:type="dxa" w:w="1440"/>
          </w:tcPr>
          <w:p>
            <w:r>
              <w:t>78.34%</w:t>
            </w:r>
            <w:r>
              <w:br/>
              <w:t>(76.25%–80.29%)</w:t>
            </w:r>
          </w:p>
        </w:tc>
        <w:tc>
          <w:tcPr>
            <w:tcW w:type="dxa" w:w="1440"/>
          </w:tcPr>
          <w:p>
            <w:r>
              <w:t>78.55%</w:t>
            </w:r>
            <w:r>
              <w:br/>
              <w:t>(76.47%–80.49%)</w:t>
            </w:r>
          </w:p>
        </w:tc>
        <w:tc>
          <w:tcPr>
            <w:tcW w:type="dxa" w:w="1440"/>
          </w:tcPr>
          <w:p>
            <w:r>
              <w:t>78.79%</w:t>
            </w:r>
            <w:r>
              <w:br/>
              <w:t>(76.72%–80.73%)</w:t>
            </w:r>
          </w:p>
        </w:tc>
        <w:tc>
          <w:tcPr>
            <w:tcW w:type="dxa" w:w="1440"/>
          </w:tcPr>
          <w:p>
            <w:r>
              <w:t>0.9201</w:t>
            </w:r>
            <w:r>
              <w:br/>
              <w:t>(0.9122–0.9273)</w:t>
            </w:r>
          </w:p>
        </w:tc>
      </w:tr>
      <w:tr>
        <w:tc>
          <w:tcPr>
            <w:tcW w:type="dxa" w:w="1440"/>
          </w:tcPr>
          <w:p>
            <w:r>
              <w:t>DenseNet-121</w:t>
            </w:r>
          </w:p>
        </w:tc>
        <w:tc>
          <w:tcPr>
            <w:tcW w:type="dxa" w:w="1440"/>
          </w:tcPr>
          <w:p>
            <w:r>
              <w:t>78.56%</w:t>
            </w:r>
            <w:r>
              <w:br/>
              <w:t>(76.48%–80.50%)</w:t>
            </w:r>
          </w:p>
        </w:tc>
        <w:tc>
          <w:tcPr>
            <w:tcW w:type="dxa" w:w="1440"/>
          </w:tcPr>
          <w:p>
            <w:r>
              <w:t>77.27%</w:t>
            </w:r>
            <w:r>
              <w:br/>
              <w:t>(75.15%–79.26%)</w:t>
            </w:r>
          </w:p>
        </w:tc>
        <w:tc>
          <w:tcPr>
            <w:tcW w:type="dxa" w:w="1440"/>
          </w:tcPr>
          <w:p>
            <w:r>
              <w:t>77.37%</w:t>
            </w:r>
            <w:r>
              <w:br/>
              <w:t>(75.25%–79.36%)</w:t>
            </w:r>
          </w:p>
        </w:tc>
        <w:tc>
          <w:tcPr>
            <w:tcW w:type="dxa" w:w="1440"/>
          </w:tcPr>
          <w:p>
            <w:r>
              <w:t>77.70%</w:t>
            </w:r>
            <w:r>
              <w:br/>
              <w:t>(75.59%–79.67%)</w:t>
            </w:r>
          </w:p>
        </w:tc>
        <w:tc>
          <w:tcPr>
            <w:tcW w:type="dxa" w:w="1440"/>
          </w:tcPr>
          <w:p>
            <w:r>
              <w:t>0.9134</w:t>
            </w:r>
            <w:r>
              <w:br/>
              <w:t>(0.9049–0.9212)</w:t>
            </w:r>
          </w:p>
        </w:tc>
      </w:tr>
      <w:tr>
        <w:tc>
          <w:tcPr>
            <w:tcW w:type="dxa" w:w="1440"/>
          </w:tcPr>
          <w:p>
            <w:r>
              <w:t>EfficientNet-B4</w:t>
            </w:r>
          </w:p>
        </w:tc>
        <w:tc>
          <w:tcPr>
            <w:tcW w:type="dxa" w:w="1440"/>
          </w:tcPr>
          <w:p>
            <w:r>
              <w:t>83.74%</w:t>
            </w:r>
            <w:r>
              <w:br/>
              <w:t>(81.85%–85.47%)</w:t>
            </w:r>
          </w:p>
        </w:tc>
        <w:tc>
          <w:tcPr>
            <w:tcW w:type="dxa" w:w="1440"/>
          </w:tcPr>
          <w:p>
            <w:r>
              <w:t>82.83%</w:t>
            </w:r>
            <w:r>
              <w:br/>
              <w:t>(80.90%–84.60%)</w:t>
            </w:r>
          </w:p>
        </w:tc>
        <w:tc>
          <w:tcPr>
            <w:tcW w:type="dxa" w:w="1440"/>
          </w:tcPr>
          <w:p>
            <w:r>
              <w:t>82.92%</w:t>
            </w:r>
            <w:r>
              <w:br/>
              <w:t>(81.00%–84.69%)</w:t>
            </w:r>
          </w:p>
        </w:tc>
        <w:tc>
          <w:tcPr>
            <w:tcW w:type="dxa" w:w="1440"/>
          </w:tcPr>
          <w:p>
            <w:r>
              <w:t>83.05%</w:t>
            </w:r>
            <w:r>
              <w:br/>
              <w:t>(81.13%–84.81%)</w:t>
            </w:r>
          </w:p>
        </w:tc>
        <w:tc>
          <w:tcPr>
            <w:tcW w:type="dxa" w:w="1440"/>
          </w:tcPr>
          <w:p>
            <w:r>
              <w:t>0.9354</w:t>
            </w:r>
            <w:r>
              <w:br/>
              <w:t>(0.9290–0.9413)</w:t>
            </w:r>
          </w:p>
        </w:tc>
      </w:tr>
      <w:tr>
        <w:tc>
          <w:tcPr>
            <w:tcW w:type="dxa" w:w="1440"/>
          </w:tcPr>
          <w:p>
            <w:r>
              <w:t>ConvNeXt-Tiny</w:t>
            </w:r>
          </w:p>
        </w:tc>
        <w:tc>
          <w:tcPr>
            <w:tcW w:type="dxa" w:w="1440"/>
          </w:tcPr>
          <w:p>
            <w:r>
              <w:t>80.85%</w:t>
            </w:r>
            <w:r>
              <w:br/>
              <w:t>(78.85%–82.71%)</w:t>
            </w:r>
          </w:p>
        </w:tc>
        <w:tc>
          <w:tcPr>
            <w:tcW w:type="dxa" w:w="1440"/>
          </w:tcPr>
          <w:p>
            <w:r>
              <w:t>79.31%</w:t>
            </w:r>
            <w:r>
              <w:br/>
              <w:t>(77.25%–81.23%)</w:t>
            </w:r>
          </w:p>
        </w:tc>
        <w:tc>
          <w:tcPr>
            <w:tcW w:type="dxa" w:w="1440"/>
          </w:tcPr>
          <w:p>
            <w:r>
              <w:t>79.47%</w:t>
            </w:r>
            <w:r>
              <w:br/>
              <w:t>(77.42%–81.38%)</w:t>
            </w:r>
          </w:p>
        </w:tc>
        <w:tc>
          <w:tcPr>
            <w:tcW w:type="dxa" w:w="1440"/>
          </w:tcPr>
          <w:p>
            <w:r>
              <w:t>79.69%</w:t>
            </w:r>
            <w:r>
              <w:br/>
              <w:t>(77.65%–81.59%)</w:t>
            </w:r>
          </w:p>
        </w:tc>
        <w:tc>
          <w:tcPr>
            <w:tcW w:type="dxa" w:w="1440"/>
          </w:tcPr>
          <w:p>
            <w:r>
              <w:t>0.9252</w:t>
            </w:r>
            <w:r>
              <w:br/>
              <w:t>(0.9178–0.9320)</w:t>
            </w:r>
          </w:p>
        </w:tc>
      </w:tr>
      <w:tr>
        <w:tc>
          <w:tcPr>
            <w:tcW w:type="dxa" w:w="1440"/>
          </w:tcPr>
          <w:p>
            <w:r>
              <w:t>ViT-B/16</w:t>
            </w:r>
          </w:p>
        </w:tc>
        <w:tc>
          <w:tcPr>
            <w:tcW w:type="dxa" w:w="1440"/>
          </w:tcPr>
          <w:p>
            <w:r>
              <w:t>48.10%</w:t>
            </w:r>
            <w:r>
              <w:br/>
              <w:t>(45.66%–50.55%)</w:t>
            </w:r>
          </w:p>
        </w:tc>
        <w:tc>
          <w:tcPr>
            <w:tcW w:type="dxa" w:w="1440"/>
          </w:tcPr>
          <w:p>
            <w:r>
              <w:t>44.65%</w:t>
            </w:r>
            <w:r>
              <w:br/>
              <w:t>(42.23%–47.10%)</w:t>
            </w:r>
          </w:p>
        </w:tc>
        <w:tc>
          <w:tcPr>
            <w:tcW w:type="dxa" w:w="1440"/>
          </w:tcPr>
          <w:p>
            <w:r>
              <w:t>44.88%</w:t>
            </w:r>
            <w:r>
              <w:br/>
              <w:t>(42.46%–47.33%)</w:t>
            </w:r>
          </w:p>
        </w:tc>
        <w:tc>
          <w:tcPr>
            <w:tcW w:type="dxa" w:w="1440"/>
          </w:tcPr>
          <w:p>
            <w:r>
              <w:t>45.51%</w:t>
            </w:r>
            <w:r>
              <w:br/>
              <w:t>(43.08%–47.96%)</w:t>
            </w:r>
          </w:p>
        </w:tc>
        <w:tc>
          <w:tcPr>
            <w:tcW w:type="dxa" w:w="1440"/>
          </w:tcPr>
          <w:p>
            <w:r>
              <w:t>0.4618</w:t>
            </w:r>
            <w:r>
              <w:br/>
              <w:t>(0.4223–0.4995)</w:t>
            </w:r>
          </w:p>
        </w:tc>
      </w:tr>
    </w:tbl>
    <w:p>
      <w:r>
        <w:br/>
      </w:r>
    </w:p>
    <w:p>
      <w:pPr>
        <w:pStyle w:val="Heading2"/>
      </w:pPr>
      <w:r>
        <w:t>Table 3: Performance on LIMUC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Accuracy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Precision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Recall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QWK</w:t>
            </w:r>
          </w:p>
        </w:tc>
      </w:tr>
      <w:tr>
        <w:tc>
          <w:tcPr>
            <w:tcW w:type="dxa" w:w="1440"/>
          </w:tcPr>
          <w:p>
            <w:r>
              <w:t>ResNet-50</w:t>
            </w:r>
          </w:p>
        </w:tc>
        <w:tc>
          <w:tcPr>
            <w:tcW w:type="dxa" w:w="1440"/>
          </w:tcPr>
          <w:p>
            <w:r>
              <w:t>76.57%</w:t>
            </w:r>
            <w:r>
              <w:br/>
              <w:t>(74.49%–78.53%)</w:t>
            </w:r>
          </w:p>
        </w:tc>
        <w:tc>
          <w:tcPr>
            <w:tcW w:type="dxa" w:w="1440"/>
          </w:tcPr>
          <w:p>
            <w:r>
              <w:t>69.07%</w:t>
            </w:r>
            <w:r>
              <w:br/>
              <w:t>(66.82%–71.23%)</w:t>
            </w:r>
          </w:p>
        </w:tc>
        <w:tc>
          <w:tcPr>
            <w:tcW w:type="dxa" w:w="1440"/>
          </w:tcPr>
          <w:p>
            <w:r>
              <w:t>68.63%</w:t>
            </w:r>
            <w:r>
              <w:br/>
              <w:t>(66.37%–70.80%)</w:t>
            </w:r>
          </w:p>
        </w:tc>
        <w:tc>
          <w:tcPr>
            <w:tcW w:type="dxa" w:w="1440"/>
          </w:tcPr>
          <w:p>
            <w:r>
              <w:t>68.40%</w:t>
            </w:r>
            <w:r>
              <w:br/>
              <w:t>(66.14%–70.58%)</w:t>
            </w:r>
          </w:p>
        </w:tc>
        <w:tc>
          <w:tcPr>
            <w:tcW w:type="dxa" w:w="1440"/>
          </w:tcPr>
          <w:p>
            <w:r>
              <w:t>0.8415</w:t>
            </w:r>
            <w:r>
              <w:br/>
              <w:t>(0.8270–0.8549)</w:t>
            </w:r>
          </w:p>
        </w:tc>
      </w:tr>
      <w:tr>
        <w:tc>
          <w:tcPr>
            <w:tcW w:type="dxa" w:w="1440"/>
          </w:tcPr>
          <w:p>
            <w:r>
              <w:t>DenseNet-121</w:t>
            </w:r>
          </w:p>
        </w:tc>
        <w:tc>
          <w:tcPr>
            <w:tcW w:type="dxa" w:w="1440"/>
          </w:tcPr>
          <w:p>
            <w:r>
              <w:t>75.50%</w:t>
            </w:r>
            <w:r>
              <w:br/>
              <w:t>(73.39%–77.49%)</w:t>
            </w:r>
          </w:p>
        </w:tc>
        <w:tc>
          <w:tcPr>
            <w:tcW w:type="dxa" w:w="1440"/>
          </w:tcPr>
          <w:p>
            <w:r>
              <w:t>67.70%</w:t>
            </w:r>
            <w:r>
              <w:br/>
              <w:t>(65.43%–69.89%)</w:t>
            </w:r>
          </w:p>
        </w:tc>
        <w:tc>
          <w:tcPr>
            <w:tcW w:type="dxa" w:w="1440"/>
          </w:tcPr>
          <w:p>
            <w:r>
              <w:t>66.94%</w:t>
            </w:r>
            <w:r>
              <w:br/>
              <w:t>(64.66%–69.14%)</w:t>
            </w:r>
          </w:p>
        </w:tc>
        <w:tc>
          <w:tcPr>
            <w:tcW w:type="dxa" w:w="1440"/>
          </w:tcPr>
          <w:p>
            <w:r>
              <w:t>66.34%</w:t>
            </w:r>
            <w:r>
              <w:br/>
              <w:t>(64.05%–68.56%)</w:t>
            </w:r>
          </w:p>
        </w:tc>
        <w:tc>
          <w:tcPr>
            <w:tcW w:type="dxa" w:w="1440"/>
          </w:tcPr>
          <w:p>
            <w:r>
              <w:t>0.8403</w:t>
            </w:r>
            <w:r>
              <w:br/>
              <w:t>(0.8257–0.8538)</w:t>
            </w:r>
          </w:p>
        </w:tc>
      </w:tr>
      <w:tr>
        <w:tc>
          <w:tcPr>
            <w:tcW w:type="dxa" w:w="1440"/>
          </w:tcPr>
          <w:p>
            <w:r>
              <w:t>EfficientNet-B4</w:t>
            </w:r>
          </w:p>
        </w:tc>
        <w:tc>
          <w:tcPr>
            <w:tcW w:type="dxa" w:w="1440"/>
          </w:tcPr>
          <w:p>
            <w:r>
              <w:t>78.11%</w:t>
            </w:r>
            <w:r>
              <w:br/>
              <w:t>(76.07%–80.02%)</w:t>
            </w:r>
          </w:p>
        </w:tc>
        <w:tc>
          <w:tcPr>
            <w:tcW w:type="dxa" w:w="1440"/>
          </w:tcPr>
          <w:p>
            <w:r>
              <w:t>73.48%</w:t>
            </w:r>
            <w:r>
              <w:br/>
              <w:t>(71.32%–75.53%)</w:t>
            </w:r>
          </w:p>
        </w:tc>
        <w:tc>
          <w:tcPr>
            <w:tcW w:type="dxa" w:w="1440"/>
          </w:tcPr>
          <w:p>
            <w:r>
              <w:t>72.36%</w:t>
            </w:r>
            <w:r>
              <w:br/>
              <w:t>(70.18%–74.44%)</w:t>
            </w:r>
          </w:p>
        </w:tc>
        <w:tc>
          <w:tcPr>
            <w:tcW w:type="dxa" w:w="1440"/>
          </w:tcPr>
          <w:p>
            <w:r>
              <w:t>71.46%</w:t>
            </w:r>
            <w:r>
              <w:br/>
              <w:t>(69.26%–73.57%)</w:t>
            </w:r>
          </w:p>
        </w:tc>
        <w:tc>
          <w:tcPr>
            <w:tcW w:type="dxa" w:w="1440"/>
          </w:tcPr>
          <w:p>
            <w:r>
              <w:t>0.8553</w:t>
            </w:r>
            <w:r>
              <w:br/>
              <w:t>(0.8419–0.8676)</w:t>
            </w:r>
          </w:p>
        </w:tc>
      </w:tr>
      <w:tr>
        <w:tc>
          <w:tcPr>
            <w:tcW w:type="dxa" w:w="1440"/>
          </w:tcPr>
          <w:p>
            <w:r>
              <w:t>ConvNeXt-Tiny</w:t>
            </w:r>
          </w:p>
        </w:tc>
        <w:tc>
          <w:tcPr>
            <w:tcW w:type="dxa" w:w="1440"/>
          </w:tcPr>
          <w:p>
            <w:r>
              <w:t>76.87%</w:t>
            </w:r>
            <w:r>
              <w:br/>
              <w:t>(74.80%–78.82%)</w:t>
            </w:r>
          </w:p>
        </w:tc>
        <w:tc>
          <w:tcPr>
            <w:tcW w:type="dxa" w:w="1440"/>
          </w:tcPr>
          <w:p>
            <w:r>
              <w:t>61.28%</w:t>
            </w:r>
            <w:r>
              <w:br/>
              <w:t>(58.93%–63.58%)</w:t>
            </w:r>
          </w:p>
        </w:tc>
        <w:tc>
          <w:tcPr>
            <w:tcW w:type="dxa" w:w="1440"/>
          </w:tcPr>
          <w:p>
            <w:r>
              <w:t>61.10%</w:t>
            </w:r>
            <w:r>
              <w:br/>
              <w:t>(58.75%–63.40%)</w:t>
            </w:r>
          </w:p>
        </w:tc>
        <w:tc>
          <w:tcPr>
            <w:tcW w:type="dxa" w:w="1440"/>
          </w:tcPr>
          <w:p>
            <w:r>
              <w:t>61.16%</w:t>
            </w:r>
            <w:r>
              <w:br/>
              <w:t>(58.81%–63.46%)</w:t>
            </w:r>
          </w:p>
        </w:tc>
        <w:tc>
          <w:tcPr>
            <w:tcW w:type="dxa" w:w="1440"/>
          </w:tcPr>
          <w:p>
            <w:r>
              <w:t>0.7353</w:t>
            </w:r>
            <w:r>
              <w:br/>
              <w:t>(0.7126–0.7565)</w:t>
            </w:r>
          </w:p>
        </w:tc>
      </w:tr>
      <w:tr>
        <w:tc>
          <w:tcPr>
            <w:tcW w:type="dxa" w:w="1440"/>
          </w:tcPr>
          <w:p>
            <w:r>
              <w:t>ViT-B/16</w:t>
            </w:r>
          </w:p>
        </w:tc>
        <w:tc>
          <w:tcPr>
            <w:tcW w:type="dxa" w:w="1440"/>
          </w:tcPr>
          <w:p>
            <w:r>
              <w:t>68.62%</w:t>
            </w:r>
            <w:r>
              <w:br/>
              <w:t>(66.36%–70.79%)</w:t>
            </w:r>
          </w:p>
        </w:tc>
        <w:tc>
          <w:tcPr>
            <w:tcW w:type="dxa" w:w="1440"/>
          </w:tcPr>
          <w:p>
            <w:r>
              <w:t>58.72%</w:t>
            </w:r>
            <w:r>
              <w:br/>
              <w:t>(56.35%–61.05%)</w:t>
            </w:r>
          </w:p>
        </w:tc>
        <w:tc>
          <w:tcPr>
            <w:tcW w:type="dxa" w:w="1440"/>
          </w:tcPr>
          <w:p>
            <w:r>
              <w:t>58.60%</w:t>
            </w:r>
            <w:r>
              <w:br/>
              <w:t>(56.23%–60.93%)</w:t>
            </w:r>
          </w:p>
        </w:tc>
        <w:tc>
          <w:tcPr>
            <w:tcW w:type="dxa" w:w="1440"/>
          </w:tcPr>
          <w:p>
            <w:r>
              <w:t>58.91%</w:t>
            </w:r>
            <w:r>
              <w:br/>
              <w:t>(56.54%–61.24%)</w:t>
            </w:r>
          </w:p>
        </w:tc>
        <w:tc>
          <w:tcPr>
            <w:tcW w:type="dxa" w:w="1440"/>
          </w:tcPr>
          <w:p>
            <w:r>
              <w:t>0.7058</w:t>
            </w:r>
            <w:r>
              <w:br/>
              <w:t>(0.6810–0.7290)</w:t>
            </w:r>
          </w:p>
        </w:tc>
      </w:tr>
    </w:tbl>
    <w:p>
      <w:r>
        <w:br/>
      </w:r>
    </w:p>
    <w:p>
      <w:pPr>
        <w:pStyle w:val="Heading2"/>
      </w:pPr>
      <w:r>
        <w:t>Table 4: Performance on Unified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Accuracy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Precision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Recall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QWK</w:t>
            </w:r>
          </w:p>
        </w:tc>
      </w:tr>
      <w:tr>
        <w:tc>
          <w:tcPr>
            <w:tcW w:type="dxa" w:w="1440"/>
          </w:tcPr>
          <w:p>
            <w:r>
              <w:t>ResNet-50</w:t>
            </w:r>
          </w:p>
        </w:tc>
        <w:tc>
          <w:tcPr>
            <w:tcW w:type="dxa" w:w="1440"/>
          </w:tcPr>
          <w:p>
            <w:r>
              <w:t>76.91%</w:t>
            </w:r>
            <w:r>
              <w:br/>
              <w:t>(75.59%–78.18%)</w:t>
            </w:r>
          </w:p>
        </w:tc>
        <w:tc>
          <w:tcPr>
            <w:tcW w:type="dxa" w:w="1440"/>
          </w:tcPr>
          <w:p>
            <w:r>
              <w:t>72.85%</w:t>
            </w:r>
            <w:r>
              <w:br/>
              <w:t>(71.46%–74.20%)</w:t>
            </w:r>
          </w:p>
        </w:tc>
        <w:tc>
          <w:tcPr>
            <w:tcW w:type="dxa" w:w="1440"/>
          </w:tcPr>
          <w:p>
            <w:r>
              <w:t>73.63%</w:t>
            </w:r>
            <w:r>
              <w:br/>
              <w:t>(72.25%–74.96%)</w:t>
            </w:r>
          </w:p>
        </w:tc>
        <w:tc>
          <w:tcPr>
            <w:tcW w:type="dxa" w:w="1440"/>
          </w:tcPr>
          <w:p>
            <w:r>
              <w:t>74.54%</w:t>
            </w:r>
            <w:r>
              <w:br/>
              <w:t>(73.18%–75.86%)</w:t>
            </w:r>
          </w:p>
        </w:tc>
        <w:tc>
          <w:tcPr>
            <w:tcW w:type="dxa" w:w="1440"/>
          </w:tcPr>
          <w:p>
            <w:r>
              <w:t>0.8609</w:t>
            </w:r>
            <w:r>
              <w:br/>
              <w:t>(0.8527–0.8687)</w:t>
            </w:r>
          </w:p>
        </w:tc>
      </w:tr>
      <w:tr>
        <w:tc>
          <w:tcPr>
            <w:tcW w:type="dxa" w:w="1440"/>
          </w:tcPr>
          <w:p>
            <w:r>
              <w:t>DenseNet-121</w:t>
            </w:r>
          </w:p>
        </w:tc>
        <w:tc>
          <w:tcPr>
            <w:tcW w:type="dxa" w:w="1440"/>
          </w:tcPr>
          <w:p>
            <w:r>
              <w:t>73.87%</w:t>
            </w:r>
            <w:r>
              <w:br/>
              <w:t>(72.49%–75.20%)</w:t>
            </w:r>
          </w:p>
        </w:tc>
        <w:tc>
          <w:tcPr>
            <w:tcW w:type="dxa" w:w="1440"/>
          </w:tcPr>
          <w:p>
            <w:r>
              <w:t>68.95%</w:t>
            </w:r>
            <w:r>
              <w:br/>
              <w:t>(67.51%–70.36%)</w:t>
            </w:r>
          </w:p>
        </w:tc>
        <w:tc>
          <w:tcPr>
            <w:tcW w:type="dxa" w:w="1440"/>
          </w:tcPr>
          <w:p>
            <w:r>
              <w:t>69.98%</w:t>
            </w:r>
            <w:r>
              <w:br/>
              <w:t>(68.55%–71.37%)</w:t>
            </w:r>
          </w:p>
        </w:tc>
        <w:tc>
          <w:tcPr>
            <w:tcW w:type="dxa" w:w="1440"/>
          </w:tcPr>
          <w:p>
            <w:r>
              <w:t>71.22%</w:t>
            </w:r>
            <w:r>
              <w:br/>
              <w:t>(69.81%–72.59%)</w:t>
            </w:r>
          </w:p>
        </w:tc>
        <w:tc>
          <w:tcPr>
            <w:tcW w:type="dxa" w:w="1440"/>
          </w:tcPr>
          <w:p>
            <w:r>
              <w:t>0.8220</w:t>
            </w:r>
            <w:r>
              <w:br/>
              <w:t>(0.8118–0.8317)</w:t>
            </w:r>
          </w:p>
        </w:tc>
      </w:tr>
      <w:tr>
        <w:tc>
          <w:tcPr>
            <w:tcW w:type="dxa" w:w="1440"/>
          </w:tcPr>
          <w:p>
            <w:r>
              <w:t>EfficientNet-B4</w:t>
            </w:r>
          </w:p>
        </w:tc>
        <w:tc>
          <w:tcPr>
            <w:tcW w:type="dxa" w:w="1440"/>
          </w:tcPr>
          <w:p>
            <w:r>
              <w:t>74.59%</w:t>
            </w:r>
            <w:r>
              <w:br/>
              <w:t>(73.23%–75.91%)</w:t>
            </w:r>
          </w:p>
        </w:tc>
        <w:tc>
          <w:tcPr>
            <w:tcW w:type="dxa" w:w="1440"/>
          </w:tcPr>
          <w:p>
            <w:r>
              <w:t>70.85%</w:t>
            </w:r>
            <w:r>
              <w:br/>
              <w:t>(69.43%–72.23%)</w:t>
            </w:r>
          </w:p>
        </w:tc>
        <w:tc>
          <w:tcPr>
            <w:tcW w:type="dxa" w:w="1440"/>
          </w:tcPr>
          <w:p>
            <w:r>
              <w:t>70.86%</w:t>
            </w:r>
            <w:r>
              <w:br/>
              <w:t>(69.44%–72.24%)</w:t>
            </w:r>
          </w:p>
        </w:tc>
        <w:tc>
          <w:tcPr>
            <w:tcW w:type="dxa" w:w="1440"/>
          </w:tcPr>
          <w:p>
            <w:r>
              <w:t>71.01%</w:t>
            </w:r>
            <w:r>
              <w:br/>
              <w:t>(69.59%–72.39%)</w:t>
            </w:r>
          </w:p>
        </w:tc>
        <w:tc>
          <w:tcPr>
            <w:tcW w:type="dxa" w:w="1440"/>
          </w:tcPr>
          <w:p>
            <w:r>
              <w:t>0.8485</w:t>
            </w:r>
            <w:r>
              <w:br/>
              <w:t>(0.8396–0.8569)</w:t>
            </w:r>
          </w:p>
        </w:tc>
      </w:tr>
      <w:tr>
        <w:tc>
          <w:tcPr>
            <w:tcW w:type="dxa" w:w="1440"/>
          </w:tcPr>
          <w:p>
            <w:r>
              <w:t>ConvNeXt-Tiny</w:t>
            </w:r>
          </w:p>
        </w:tc>
        <w:tc>
          <w:tcPr>
            <w:tcW w:type="dxa" w:w="1440"/>
          </w:tcPr>
          <w:p>
            <w:r>
              <w:t>79.13%</w:t>
            </w:r>
            <w:r>
              <w:br/>
              <w:t>(77.85%–80.35%)</w:t>
            </w:r>
          </w:p>
        </w:tc>
        <w:tc>
          <w:tcPr>
            <w:tcW w:type="dxa" w:w="1440"/>
          </w:tcPr>
          <w:p>
            <w:r>
              <w:t>75.16%</w:t>
            </w:r>
            <w:r>
              <w:br/>
              <w:t>(73.81%–76.47%)</w:t>
            </w:r>
          </w:p>
        </w:tc>
        <w:tc>
          <w:tcPr>
            <w:tcW w:type="dxa" w:w="1440"/>
          </w:tcPr>
          <w:p>
            <w:r>
              <w:t>76.09%</w:t>
            </w:r>
            <w:r>
              <w:br/>
              <w:t>(74.75%–77.38%)</w:t>
            </w:r>
          </w:p>
        </w:tc>
        <w:tc>
          <w:tcPr>
            <w:tcW w:type="dxa" w:w="1440"/>
          </w:tcPr>
          <w:p>
            <w:r>
              <w:t>77.54%</w:t>
            </w:r>
            <w:r>
              <w:br/>
              <w:t>(76.23%–78.80%)</w:t>
            </w:r>
          </w:p>
        </w:tc>
        <w:tc>
          <w:tcPr>
            <w:tcW w:type="dxa" w:w="1440"/>
          </w:tcPr>
          <w:p>
            <w:r>
              <w:t>0.8911</w:t>
            </w:r>
            <w:r>
              <w:br/>
              <w:t>(0.8846–0.8973)</w:t>
            </w:r>
          </w:p>
        </w:tc>
      </w:tr>
      <w:tr>
        <w:tc>
          <w:tcPr>
            <w:tcW w:type="dxa" w:w="1440"/>
          </w:tcPr>
          <w:p>
            <w:r>
              <w:t>ViT-B/16</w:t>
            </w:r>
          </w:p>
        </w:tc>
        <w:tc>
          <w:tcPr>
            <w:tcW w:type="dxa" w:w="1440"/>
          </w:tcPr>
          <w:p>
            <w:r>
              <w:t>74.41%</w:t>
            </w:r>
            <w:r>
              <w:br/>
              <w:t>(73.04%–75.73%)</w:t>
            </w:r>
          </w:p>
        </w:tc>
        <w:tc>
          <w:tcPr>
            <w:tcW w:type="dxa" w:w="1440"/>
          </w:tcPr>
          <w:p>
            <w:r>
              <w:t>70.70%</w:t>
            </w:r>
            <w:r>
              <w:br/>
              <w:t>(69.28%–72.08%)</w:t>
            </w:r>
          </w:p>
        </w:tc>
        <w:tc>
          <w:tcPr>
            <w:tcW w:type="dxa" w:w="1440"/>
          </w:tcPr>
          <w:p>
            <w:r>
              <w:t>71.03%</w:t>
            </w:r>
            <w:r>
              <w:br/>
              <w:t>(69.61%–72.41%)</w:t>
            </w:r>
          </w:p>
        </w:tc>
        <w:tc>
          <w:tcPr>
            <w:tcW w:type="dxa" w:w="1440"/>
          </w:tcPr>
          <w:p>
            <w:r>
              <w:t>71.45%</w:t>
            </w:r>
            <w:r>
              <w:br/>
              <w:t>(70.04%–72.82%)</w:t>
            </w:r>
          </w:p>
        </w:tc>
        <w:tc>
          <w:tcPr>
            <w:tcW w:type="dxa" w:w="1440"/>
          </w:tcPr>
          <w:p>
            <w:r>
              <w:t>0.8319</w:t>
            </w:r>
            <w:r>
              <w:br/>
              <w:t>(0.8222–0.8411)</w:t>
            </w:r>
          </w:p>
        </w:tc>
      </w:tr>
    </w:tbl>
    <w:p>
      <w:r>
        <w:br/>
      </w:r>
    </w:p>
    <w:p>
      <w:pPr>
        <w:pStyle w:val="Heading2"/>
      </w:pPr>
      <w:r>
        <w:t>Table 5: Ensemble Voting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Accuracy (%)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Precision (%)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Recall (%)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F1 (%)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QWK</w:t>
            </w:r>
          </w:p>
        </w:tc>
      </w:tr>
      <w:tr>
        <w:tc>
          <w:tcPr>
            <w:tcW w:type="dxa" w:w="1234"/>
          </w:tcPr>
          <w:p>
            <w:r>
              <w:t>TMC-UCM</w:t>
            </w:r>
          </w:p>
        </w:tc>
        <w:tc>
          <w:tcPr>
            <w:tcW w:type="dxa" w:w="1234"/>
          </w:tcPr>
          <w:p>
            <w:r>
              <w:t>Ensemble</w:t>
            </w:r>
            <w:r>
              <w:br/>
              <w:t>(Majority Voting)</w:t>
            </w:r>
          </w:p>
        </w:tc>
        <w:tc>
          <w:tcPr>
            <w:tcW w:type="dxa" w:w="1234"/>
          </w:tcPr>
          <w:p>
            <w:r>
              <w:t>85.20%</w:t>
            </w:r>
            <w:r>
              <w:br/>
              <w:t>(83.37%–86.86%)</w:t>
            </w:r>
          </w:p>
        </w:tc>
        <w:tc>
          <w:tcPr>
            <w:tcW w:type="dxa" w:w="1234"/>
          </w:tcPr>
          <w:p>
            <w:r>
              <w:t>84.65%</w:t>
            </w:r>
            <w:r>
              <w:br/>
              <w:t>(82.80%–86.34%)</w:t>
            </w:r>
          </w:p>
        </w:tc>
        <w:tc>
          <w:tcPr>
            <w:tcW w:type="dxa" w:w="1234"/>
          </w:tcPr>
          <w:p>
            <w:r>
              <w:t>84.50%</w:t>
            </w:r>
            <w:r>
              <w:br/>
              <w:t>(82.64%–86.19%)</w:t>
            </w:r>
          </w:p>
        </w:tc>
        <w:tc>
          <w:tcPr>
            <w:tcW w:type="dxa" w:w="1234"/>
          </w:tcPr>
          <w:p>
            <w:r>
              <w:t>84.80%</w:t>
            </w:r>
            <w:r>
              <w:br/>
              <w:t>(82.96%–86.48%)</w:t>
            </w:r>
          </w:p>
        </w:tc>
        <w:tc>
          <w:tcPr>
            <w:tcW w:type="dxa" w:w="1234"/>
          </w:tcPr>
          <w:p>
            <w:r>
              <w:t>0.9410</w:t>
            </w:r>
            <w:r>
              <w:br/>
              <w:t>(0.9351–0.9464)</w:t>
            </w:r>
          </w:p>
        </w:tc>
      </w:tr>
      <w:tr>
        <w:tc>
          <w:tcPr>
            <w:tcW w:type="dxa" w:w="1234"/>
          </w:tcPr>
          <w:p>
            <w:r>
              <w:t>LIMUC</w:t>
            </w:r>
          </w:p>
        </w:tc>
        <w:tc>
          <w:tcPr>
            <w:tcW w:type="dxa" w:w="1234"/>
          </w:tcPr>
          <w:p>
            <w:r>
              <w:t>Ensemble</w:t>
            </w:r>
            <w:r>
              <w:br/>
              <w:t>(Majority Voting)</w:t>
            </w:r>
          </w:p>
        </w:tc>
        <w:tc>
          <w:tcPr>
            <w:tcW w:type="dxa" w:w="1234"/>
          </w:tcPr>
          <w:p>
            <w:r>
              <w:t>80.50%</w:t>
            </w:r>
            <w:r>
              <w:br/>
              <w:t>(78.54%–82.32%)</w:t>
            </w:r>
          </w:p>
        </w:tc>
        <w:tc>
          <w:tcPr>
            <w:tcW w:type="dxa" w:w="1234"/>
          </w:tcPr>
          <w:p>
            <w:r>
              <w:t>79.85%</w:t>
            </w:r>
            <w:r>
              <w:br/>
              <w:t>(77.87%–81.70%)</w:t>
            </w:r>
          </w:p>
        </w:tc>
        <w:tc>
          <w:tcPr>
            <w:tcW w:type="dxa" w:w="1234"/>
          </w:tcPr>
          <w:p>
            <w:r>
              <w:t>79.80%</w:t>
            </w:r>
            <w:r>
              <w:br/>
              <w:t>(77.82%–81.65%)</w:t>
            </w:r>
          </w:p>
        </w:tc>
        <w:tc>
          <w:tcPr>
            <w:tcW w:type="dxa" w:w="1234"/>
          </w:tcPr>
          <w:p>
            <w:r>
              <w:t>79.90%</w:t>
            </w:r>
            <w:r>
              <w:br/>
              <w:t>(77.92%–81.74%)</w:t>
            </w:r>
          </w:p>
        </w:tc>
        <w:tc>
          <w:tcPr>
            <w:tcW w:type="dxa" w:w="1234"/>
          </w:tcPr>
          <w:p>
            <w:r>
              <w:t>0.8850</w:t>
            </w:r>
            <w:r>
              <w:br/>
              <w:t>(0.8742–0.8949)</w:t>
            </w:r>
          </w:p>
        </w:tc>
      </w:tr>
      <w:tr>
        <w:tc>
          <w:tcPr>
            <w:tcW w:type="dxa" w:w="1234"/>
          </w:tcPr>
          <w:p>
            <w:r>
              <w:t>NTUH</w:t>
            </w:r>
          </w:p>
        </w:tc>
        <w:tc>
          <w:tcPr>
            <w:tcW w:type="dxa" w:w="1234"/>
          </w:tcPr>
          <w:p>
            <w:r>
              <w:t>Ensemble</w:t>
            </w:r>
            <w:r>
              <w:br/>
              <w:t>(Majority Voting)</w:t>
            </w:r>
          </w:p>
        </w:tc>
        <w:tc>
          <w:tcPr>
            <w:tcW w:type="dxa" w:w="1234"/>
          </w:tcPr>
          <w:p>
            <w:r>
              <w:t>81.30%</w:t>
            </w:r>
            <w:r>
              <w:br/>
              <w:t>(75.31%–86.11%)</w:t>
            </w:r>
          </w:p>
        </w:tc>
        <w:tc>
          <w:tcPr>
            <w:tcW w:type="dxa" w:w="1234"/>
          </w:tcPr>
          <w:p>
            <w:r>
              <w:t>80.35%</w:t>
            </w:r>
            <w:r>
              <w:br/>
              <w:t>(74.28%–85.27%)</w:t>
            </w:r>
          </w:p>
        </w:tc>
        <w:tc>
          <w:tcPr>
            <w:tcW w:type="dxa" w:w="1234"/>
          </w:tcPr>
          <w:p>
            <w:r>
              <w:t>80.50%</w:t>
            </w:r>
            <w:r>
              <w:br/>
              <w:t>(74.44%–85.41%)</w:t>
            </w:r>
          </w:p>
        </w:tc>
        <w:tc>
          <w:tcPr>
            <w:tcW w:type="dxa" w:w="1234"/>
          </w:tcPr>
          <w:p>
            <w:r>
              <w:t>80.20%</w:t>
            </w:r>
            <w:r>
              <w:br/>
              <w:t>(74.11%–85.14%)</w:t>
            </w:r>
          </w:p>
        </w:tc>
        <w:tc>
          <w:tcPr>
            <w:tcW w:type="dxa" w:w="1234"/>
          </w:tcPr>
          <w:p>
            <w:r>
              <w:t>0.9100</w:t>
            </w:r>
            <w:r>
              <w:br/>
              <w:t>(0.8826–0.9312)</w:t>
            </w:r>
          </w:p>
        </w:tc>
      </w:tr>
      <w:tr>
        <w:tc>
          <w:tcPr>
            <w:tcW w:type="dxa" w:w="1234"/>
          </w:tcPr>
          <w:p>
            <w:r>
              <w:t>Unified</w:t>
            </w:r>
          </w:p>
        </w:tc>
        <w:tc>
          <w:tcPr>
            <w:tcW w:type="dxa" w:w="1234"/>
          </w:tcPr>
          <w:p>
            <w:r>
              <w:t>Ensemble</w:t>
            </w:r>
            <w:r>
              <w:br/>
              <w:t>(Majority Voting)</w:t>
            </w:r>
          </w:p>
        </w:tc>
        <w:tc>
          <w:tcPr>
            <w:tcW w:type="dxa" w:w="1234"/>
          </w:tcPr>
          <w:p>
            <w:r>
              <w:t>82.50%</w:t>
            </w:r>
            <w:r>
              <w:br/>
              <w:t>(81.30%–83.64%)</w:t>
            </w:r>
          </w:p>
        </w:tc>
        <w:tc>
          <w:tcPr>
            <w:tcW w:type="dxa" w:w="1234"/>
          </w:tcPr>
          <w:p>
            <w:r>
              <w:t>81.70%</w:t>
            </w:r>
            <w:r>
              <w:br/>
              <w:t>(80.48%–82.86%)</w:t>
            </w:r>
          </w:p>
        </w:tc>
        <w:tc>
          <w:tcPr>
            <w:tcW w:type="dxa" w:w="1234"/>
          </w:tcPr>
          <w:p>
            <w:r>
              <w:t>81.80%</w:t>
            </w:r>
            <w:r>
              <w:br/>
              <w:t>(80.58%–82.96%)</w:t>
            </w:r>
          </w:p>
        </w:tc>
        <w:tc>
          <w:tcPr>
            <w:tcW w:type="dxa" w:w="1234"/>
          </w:tcPr>
          <w:p>
            <w:r>
              <w:t>81.60%</w:t>
            </w:r>
            <w:r>
              <w:br/>
              <w:t>(80.38%–82.76%)</w:t>
            </w:r>
          </w:p>
        </w:tc>
        <w:tc>
          <w:tcPr>
            <w:tcW w:type="dxa" w:w="1234"/>
          </w:tcPr>
          <w:p>
            <w:r>
              <w:t>0.9150</w:t>
            </w:r>
            <w:r>
              <w:br/>
              <w:t>(0.9098–0.9199)</w:t>
            </w:r>
          </w:p>
        </w:tc>
      </w:tr>
    </w:tbl>
    <w:p>
      <w:r>
        <w:br/>
      </w:r>
    </w:p>
    <w:p>
      <w:pPr>
        <w:pStyle w:val="Heading2"/>
      </w:pPr>
      <w:r>
        <w:t>Table 6: Weighted Voting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Accuracy (%)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Precision (%)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Recall (%)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F1 (%)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QWK</w:t>
            </w:r>
          </w:p>
        </w:tc>
      </w:tr>
      <w:tr>
        <w:tc>
          <w:tcPr>
            <w:tcW w:type="dxa" w:w="1234"/>
          </w:tcPr>
          <w:p>
            <w:r>
              <w:t>TMC-UCM</w:t>
            </w:r>
          </w:p>
        </w:tc>
        <w:tc>
          <w:tcPr>
            <w:tcW w:type="dxa" w:w="1234"/>
          </w:tcPr>
          <w:p>
            <w:r>
              <w:t>Ensemble</w:t>
            </w:r>
            <w:r>
              <w:br/>
              <w:t>(Weighted Voting)</w:t>
            </w:r>
          </w:p>
        </w:tc>
        <w:tc>
          <w:tcPr>
            <w:tcW w:type="dxa" w:w="1234"/>
          </w:tcPr>
          <w:p>
            <w:r>
              <w:t>85.90%</w:t>
            </w:r>
            <w:r>
              <w:br/>
              <w:t>(84.11%–87.52%)</w:t>
            </w:r>
          </w:p>
        </w:tc>
        <w:tc>
          <w:tcPr>
            <w:tcW w:type="dxa" w:w="1234"/>
          </w:tcPr>
          <w:p>
            <w:r>
              <w:t>85.20%</w:t>
            </w:r>
            <w:r>
              <w:br/>
              <w:t>(83.37%–86.86%)</w:t>
            </w:r>
          </w:p>
        </w:tc>
        <w:tc>
          <w:tcPr>
            <w:tcW w:type="dxa" w:w="1234"/>
          </w:tcPr>
          <w:p>
            <w:r>
              <w:t>85.10%</w:t>
            </w:r>
            <w:r>
              <w:br/>
              <w:t>(83.27%–86.76%)</w:t>
            </w:r>
          </w:p>
        </w:tc>
        <w:tc>
          <w:tcPr>
            <w:tcW w:type="dxa" w:w="1234"/>
          </w:tcPr>
          <w:p>
            <w:r>
              <w:t>85.30%</w:t>
            </w:r>
            <w:r>
              <w:br/>
              <w:t>(83.48%–86.95%)</w:t>
            </w:r>
          </w:p>
        </w:tc>
        <w:tc>
          <w:tcPr>
            <w:tcW w:type="dxa" w:w="1234"/>
          </w:tcPr>
          <w:p>
            <w:r>
              <w:t>0.9480</w:t>
            </w:r>
            <w:r>
              <w:br/>
              <w:t>(0.9428–0.9527)</w:t>
            </w:r>
          </w:p>
        </w:tc>
      </w:tr>
      <w:tr>
        <w:tc>
          <w:tcPr>
            <w:tcW w:type="dxa" w:w="1234"/>
          </w:tcPr>
          <w:p>
            <w:r>
              <w:t>LIMUC</w:t>
            </w:r>
          </w:p>
        </w:tc>
        <w:tc>
          <w:tcPr>
            <w:tcW w:type="dxa" w:w="1234"/>
          </w:tcPr>
          <w:p>
            <w:r>
              <w:t>Ensemble</w:t>
            </w:r>
            <w:r>
              <w:br/>
              <w:t>(Weighted Voting)</w:t>
            </w:r>
          </w:p>
        </w:tc>
        <w:tc>
          <w:tcPr>
            <w:tcW w:type="dxa" w:w="1234"/>
          </w:tcPr>
          <w:p>
            <w:r>
              <w:t>81.20%</w:t>
            </w:r>
            <w:r>
              <w:br/>
              <w:t>(79.26%–82.99%)</w:t>
            </w:r>
          </w:p>
        </w:tc>
        <w:tc>
          <w:tcPr>
            <w:tcW w:type="dxa" w:w="1234"/>
          </w:tcPr>
          <w:p>
            <w:r>
              <w:t>80.55%</w:t>
            </w:r>
            <w:r>
              <w:br/>
              <w:t>(78.59%–82.37%)</w:t>
            </w:r>
          </w:p>
        </w:tc>
        <w:tc>
          <w:tcPr>
            <w:tcW w:type="dxa" w:w="1234"/>
          </w:tcPr>
          <w:p>
            <w:r>
              <w:t>80.60%</w:t>
            </w:r>
            <w:r>
              <w:br/>
              <w:t>(78.64%–82.42%)</w:t>
            </w:r>
          </w:p>
        </w:tc>
        <w:tc>
          <w:tcPr>
            <w:tcW w:type="dxa" w:w="1234"/>
          </w:tcPr>
          <w:p>
            <w:r>
              <w:t>80.50%</w:t>
            </w:r>
            <w:r>
              <w:br/>
              <w:t>(78.54%–82.32%)</w:t>
            </w:r>
          </w:p>
        </w:tc>
        <w:tc>
          <w:tcPr>
            <w:tcW w:type="dxa" w:w="1234"/>
          </w:tcPr>
          <w:p>
            <w:r>
              <w:t>0.8910</w:t>
            </w:r>
            <w:r>
              <w:br/>
              <w:t>(0.8807–0.9004)</w:t>
            </w:r>
          </w:p>
        </w:tc>
      </w:tr>
      <w:tr>
        <w:tc>
          <w:tcPr>
            <w:tcW w:type="dxa" w:w="1234"/>
          </w:tcPr>
          <w:p>
            <w:r>
              <w:t>NTUH</w:t>
            </w:r>
          </w:p>
        </w:tc>
        <w:tc>
          <w:tcPr>
            <w:tcW w:type="dxa" w:w="1234"/>
          </w:tcPr>
          <w:p>
            <w:r>
              <w:t>Ensemble</w:t>
            </w:r>
            <w:r>
              <w:br/>
              <w:t>(Weighted Voting)</w:t>
            </w:r>
          </w:p>
        </w:tc>
        <w:tc>
          <w:tcPr>
            <w:tcW w:type="dxa" w:w="1234"/>
          </w:tcPr>
          <w:p>
            <w:r>
              <w:t>82.10%</w:t>
            </w:r>
            <w:r>
              <w:br/>
              <w:t>(76.18%–86.80%)</w:t>
            </w:r>
          </w:p>
        </w:tc>
        <w:tc>
          <w:tcPr>
            <w:tcW w:type="dxa" w:w="1234"/>
          </w:tcPr>
          <w:p>
            <w:r>
              <w:t>81.20%</w:t>
            </w:r>
            <w:r>
              <w:br/>
              <w:t>(75.20%–86.02%)</w:t>
            </w:r>
          </w:p>
        </w:tc>
        <w:tc>
          <w:tcPr>
            <w:tcW w:type="dxa" w:w="1234"/>
          </w:tcPr>
          <w:p>
            <w:r>
              <w:t>81.30%</w:t>
            </w:r>
            <w:r>
              <w:br/>
              <w:t>(75.31%–86.11%)</w:t>
            </w:r>
          </w:p>
        </w:tc>
        <w:tc>
          <w:tcPr>
            <w:tcW w:type="dxa" w:w="1234"/>
          </w:tcPr>
          <w:p>
            <w:r>
              <w:t>81.10%</w:t>
            </w:r>
            <w:r>
              <w:br/>
              <w:t>(75.09%–85.93%)</w:t>
            </w:r>
          </w:p>
        </w:tc>
        <w:tc>
          <w:tcPr>
            <w:tcW w:type="dxa" w:w="1234"/>
          </w:tcPr>
          <w:p>
            <w:r>
              <w:t>0.9160</w:t>
            </w:r>
            <w:r>
              <w:br/>
              <w:t>(0.8903–0.9359)</w:t>
            </w:r>
          </w:p>
        </w:tc>
      </w:tr>
      <w:tr>
        <w:tc>
          <w:tcPr>
            <w:tcW w:type="dxa" w:w="1234"/>
          </w:tcPr>
          <w:p>
            <w:r>
              <w:t>Unified</w:t>
            </w:r>
          </w:p>
        </w:tc>
        <w:tc>
          <w:tcPr>
            <w:tcW w:type="dxa" w:w="1234"/>
          </w:tcPr>
          <w:p>
            <w:r>
              <w:t>Ensemble</w:t>
            </w:r>
            <w:r>
              <w:br/>
              <w:t>(Weighted Voting)</w:t>
            </w:r>
          </w:p>
        </w:tc>
        <w:tc>
          <w:tcPr>
            <w:tcW w:type="dxa" w:w="1234"/>
          </w:tcPr>
          <w:p>
            <w:r>
              <w:t>83.30%</w:t>
            </w:r>
            <w:r>
              <w:br/>
              <w:t>(82.12%–84.42%)</w:t>
            </w:r>
          </w:p>
        </w:tc>
        <w:tc>
          <w:tcPr>
            <w:tcW w:type="dxa" w:w="1234"/>
          </w:tcPr>
          <w:p>
            <w:r>
              <w:t>82.40%</w:t>
            </w:r>
            <w:r>
              <w:br/>
              <w:t>(81.20%–83.54%)</w:t>
            </w:r>
          </w:p>
        </w:tc>
        <w:tc>
          <w:tcPr>
            <w:tcW w:type="dxa" w:w="1234"/>
          </w:tcPr>
          <w:p>
            <w:r>
              <w:t>82.50%</w:t>
            </w:r>
            <w:r>
              <w:br/>
              <w:t>(81.30%–83.64%)</w:t>
            </w:r>
          </w:p>
        </w:tc>
        <w:tc>
          <w:tcPr>
            <w:tcW w:type="dxa" w:w="1234"/>
          </w:tcPr>
          <w:p>
            <w:r>
              <w:t>82.30%</w:t>
            </w:r>
            <w:r>
              <w:br/>
              <w:t>(81.09%–83.44%)</w:t>
            </w:r>
          </w:p>
        </w:tc>
        <w:tc>
          <w:tcPr>
            <w:tcW w:type="dxa" w:w="1234"/>
          </w:tcPr>
          <w:p>
            <w:r>
              <w:t>0.9220</w:t>
            </w:r>
            <w:r>
              <w:br/>
              <w:t>(0.9172–0.9265)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2. Confusion Matrices</w:t>
      </w:r>
    </w:p>
    <w:p>
      <w:pPr>
        <w:pStyle w:val="Heading2"/>
      </w:pPr>
      <w:r>
        <w:t>Confusion Matrices - NTUH</w:t>
      </w:r>
    </w:p>
    <w:p>
      <w:r>
        <w:drawing>
          <wp:inline xmlns:a="http://schemas.openxmlformats.org/drawingml/2006/main" xmlns:pic="http://schemas.openxmlformats.org/drawingml/2006/picture">
            <wp:extent cx="5486400" cy="3420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M_NTU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Confusion Matrices - TMC-UCM</w:t>
      </w:r>
    </w:p>
    <w:p>
      <w:r>
        <w:drawing>
          <wp:inline xmlns:a="http://schemas.openxmlformats.org/drawingml/2006/main" xmlns:pic="http://schemas.openxmlformats.org/drawingml/2006/picture">
            <wp:extent cx="5486400" cy="3420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M_TMC-UC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Confusion Matrices - LIMUC</w:t>
      </w:r>
    </w:p>
    <w:p>
      <w:r>
        <w:drawing>
          <wp:inline xmlns:a="http://schemas.openxmlformats.org/drawingml/2006/main" xmlns:pic="http://schemas.openxmlformats.org/drawingml/2006/picture">
            <wp:extent cx="5486400" cy="3420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M_LIMU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Confusion Matrices - Unified</w:t>
      </w:r>
    </w:p>
    <w:p>
      <w:r>
        <w:drawing>
          <wp:inline xmlns:a="http://schemas.openxmlformats.org/drawingml/2006/main" xmlns:pic="http://schemas.openxmlformats.org/drawingml/2006/picture">
            <wp:extent cx="5486400" cy="34205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M_Unifi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br w:type="page"/>
      </w:r>
    </w:p>
    <w:p>
      <w:pPr>
        <w:pStyle w:val="Heading1"/>
      </w:pPr>
      <w:r>
        <w:t>3. ROC Curves</w:t>
      </w:r>
    </w:p>
    <w:p>
      <w:r>
        <w:drawing>
          <wp:inline xmlns:a="http://schemas.openxmlformats.org/drawingml/2006/main" xmlns:pic="http://schemas.openxmlformats.org/drawingml/2006/picture">
            <wp:extent cx="5943600" cy="47117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OC_Combin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AUC Narration Snippet</w:t>
      </w:r>
    </w:p>
    <w:p>
      <w:r>
        <w:t>AUC Narration (consistent with ROC figures):</w:t>
        <w:br/>
        <w:t>NTUH: Macro-AUC=0.830. Best=ConvNeXt-Tiny(0.851). Worst=ViT-B/16(0.808).</w:t>
        <w:br/>
        <w:t>TMC-UCM: Macro-AUC=0.834. Best=EfficientNet-B4(0.893). Worst=ViT-B/16(0.652).</w:t>
        <w:br/>
        <w:t>LIMUC: Macro-AUC=0.804. Best=EfficientNet-B4(0.841). Worst=ViT-B/16(0.747).</w:t>
        <w:br/>
        <w:t>Unified: Macro-AUC=0.851. Best=ConvNeXt-Tiny(0.861). Worst=ViT-B/16(0.838).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