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PHYSICS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"This isn't an official syllabus, just made by your mates for the preparation of the exam"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charge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Coulomb’s law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Induction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Test Charge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Lines of forces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field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field due to dipole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field due to ring Charge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Flux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Gaussian Surface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Gauss's law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Infinite line of charge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Infinite sheet of charge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Spherical distribution of charge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Shell Theorem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field inside and outside the sphere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Electric potential and potential difference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Absolute potential difference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Capacitance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Capacitor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Parallel plate capacitor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Cylindrical Capacitor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Spherical capacitor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Dielectrics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Ohm’s Law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Density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Drift velocity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Resistivity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