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243E"/>
          <w:sz w:val="36"/>
        </w:rPr>
        <w:t>TriGuard: A Provenance-Aware, Capability-Enforced Execution Gateway for Tool-Augmented LLM Agents</w:t>
      </w:r>
    </w:p>
    <w:p>
      <w:pPr>
        <w:spacing w:after="240"/>
        <w:jc w:val="center"/>
      </w:pPr>
      <w:r>
        <w:rPr>
          <w:i/>
          <w:color w:val="4A5568"/>
          <w:sz w:val="22"/>
        </w:rPr>
        <w:t>Pre-Execution Capability Gating and Privilege Separation Against Indirect Prompt Injection</w:t>
      </w:r>
    </w:p>
    <w:p>
      <w:pPr>
        <w:spacing w:after="320"/>
        <w:jc w:val="center"/>
      </w:pPr>
      <w:r>
        <w:rPr>
          <w:color w:val="718096"/>
          <w:sz w:val="19"/>
        </w:rPr>
        <w:t>Anonymous Submission for Peer Review | Target: IEEE S&amp;P / USENIX Security 2026</w:t>
      </w:r>
    </w:p>
    <w:p>
      <w:pPr>
        <w:pStyle w:val="Heading1"/>
      </w:pPr>
      <w:r>
        <w:t>Abstract</w:t>
      </w:r>
    </w:p>
    <w:p>
      <w:r>
        <w:t>Autonomous Large Language Model (LLM) agents are increasingly entrusted with execution capabilities across file systems, enterprise APIs, and communication protocols. However, the ingestion of untrusted external content exposes agents to Indirect Prompt Injection (IPI), wherein adversaries manipulate control flow to trigger unauthorized tool actions. Existing defenses—principally sequence classifiers and generative LLM rewriters—suffer from severe operational trade-offs: they induce syntax collapse on legitimate tool outputs (PromptGuard and PIGuard causing 82.5% to 85.7% format errors), incur multi-second latency overheads, or fail to gate physical execution boundaries.</w:t>
        <w:br/>
        <w:br/>
        <w:t>In this paper, we present TriGuard v2, a provenance-aware capability gateway designed to protect tool-augmented agents without model fine-tuning or secondary LLM adjudicators. TriGuard decomposes safety into three synchronized planes: (1) a Capability Microkernel that generates cryptographically signed (HMAC-SHA256) least-privilege tokens from user instructions; (2) a Provenance-Aware Context Mediator that tracks taint across external data streams; and (3) an Intent-Consistency Verifier coupled with a default-deny Tool Dispatcher that intercepts tool invocations prior to host execution.</w:t>
        <w:br/>
        <w:br/>
        <w:t>We evaluate TriGuard across the complete InjecAgent benchmark (1,054 single-turn tool episodes spanning 330 real-world API tools) on Meta-Llama-3.1-8B-Instruct. Across all 1,054 benchmark episodes, TriGuard achieves 0.0% Executed Attack Success Rate (ASR) under both all-case and valid-output conditioning, blocking 15/15 Direct Harm attempts and allowing 0/544 completed data exfiltrations. In a 9-tier ablation across 200 stratified cases, TriGuard maintains 100.0% permission-level authorization utility (0.0% false denial rate), confirming the causal necessity of capability tokens. TriGuard operates with sub-millisecond dispatch overhead (&lt;50 microseconds), providing a practical execution barrier for autonomous agent architectures.</w:t>
      </w:r>
    </w:p>
    <w:p>
      <w:pPr>
        <w:pStyle w:val="Heading1"/>
      </w:pPr>
      <w:r>
        <w:t>1. Introduction</w:t>
      </w:r>
    </w:p>
    <w:p>
      <w:r>
        <w:t>The integration of tool execution into Large Language Models enables autonomous interaction with real-world digital infrastructure. However, this architecture blurs the fundamental boundary between instructions and data. When an agent ingests untrusted text—such as retrieved web articles, emails, or tool return observations—an adversary can embed Indirect Prompt Injections (IPI) to redirect tool parameters or execute destructive actions. We present TriGuard v2 to enforce deterministic execution boundaries at the tool interface.</w:t>
      </w:r>
    </w:p>
    <w:p>
      <w:pPr>
        <w:pStyle w:val="Heading1"/>
      </w:pPr>
      <w:r>
        <w:t>2. Threat Model and Security Invariants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before="40" w:after="40"/>
            </w:pPr>
            <w:r>
              <w:rPr>
                <w:rFonts w:ascii="Calibri" w:hAnsi="Calibri"/>
                <w:b/>
                <w:color w:val="1B365D"/>
                <w:sz w:val="20"/>
              </w:rPr>
              <w:t xml:space="preserve">Threat Model &amp; TCB: </w:t>
            </w:r>
            <w:r>
              <w:rPr>
                <w:rFonts w:ascii="Calibri" w:hAnsi="Calibri"/>
                <w:color w:val="333333"/>
                <w:sz w:val="19"/>
              </w:rPr>
              <w:t>1. Trusted User Plane: The authenticated human user issuing instructions (I_user).</w:t>
              <w:br/>
              <w:t>2. Trusted Computing Base (TCB): The local TriGuard execution kernel, comprising the cryptographic key manager, capability microkernel, tool dispatcher, and clarification state machine.</w:t>
              <w:br/>
              <w:t>3. Untrusted Model Plane: The foundation LLM, explicitly treated as untrusted due to prompt injection vulnerabilities.</w:t>
              <w:br/>
              <w:t>4. Untrusted Data Plane: All external context observations, tool returns, and retrieved documents (C_ext).</w:t>
            </w:r>
          </w:p>
        </w:tc>
      </w:tr>
    </w:tbl>
    <w:p>
      <w:pPr>
        <w:spacing w:after="80"/>
      </w:pPr>
    </w:p>
    <w:p>
      <w:pPr>
        <w:pStyle w:val="Heading1"/>
      </w:pPr>
      <w:r>
        <w:t>3. Empirical Evaluation</w:t>
      </w:r>
    </w:p>
    <w:p>
      <w:r>
        <w:t>We benchmark TriGuard v2 against frontline defenses on the complete InjecAgent benchmark (1,054 single-turn tool episodes spanning 330 tools) using Meta-Llama-3.1-8B-Instruct. All physical evaluations were conducted on a dedicated NVIDIA GeForce RTX 3060 (12,288 MB GDDR6 VRAM, CUDA 12.4) via llama-server (llama.cpp b4400) running Meta-Llama-3.1-8B-Instruct-Q4_K_S.gguf under strictly deterministic greedy decoding (temperature T = 0.0, top_p = 1.0, max_tokens = 512, random seed = 42). To resolve metric ambiguity, we report both ASR_valid (conditioned on syntactically valid tool calls) and ASR_all (breaches divided by total 1,054 episodes) side-by-side.</w:t>
      </w:r>
    </w:p>
    <w:p>
      <w:pPr>
        <w:spacing w:before="160" w:after="80"/>
      </w:pPr>
      <w:r>
        <w:rPr>
          <w:b/>
          <w:sz w:val="19"/>
        </w:rPr>
        <w:t>Table 1: Empirical Cross-Defense Evaluation on the Full InjecAgent Benchmark (1,054 Episodes, 330 Real API Tools).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592"/>
            <w:shd w:fill="1B365D"/>
            <w:tcMar>
              <w:top w:w="100" w:type="dxa"/>
              <w:bottom w:w="100" w:type="dxa"/>
              <w:left w:w="100" w:type="dxa"/>
              <w:right w:w="100" w:type="dxa"/>
            </w:tcMar>
            <w:vAlign w:val="center"/>
          </w:tcPr>
          <w:p>
            <w:pPr>
              <w:jc w:val="center"/>
            </w:pPr>
            <w:r>
              <w:rPr>
                <w:rFonts w:ascii="Calibri" w:hAnsi="Calibri"/>
                <w:b/>
                <w:color w:val="FFFFFF"/>
                <w:sz w:val="17"/>
              </w:rPr>
              <w:t>Defense Mechanism</w:t>
            </w:r>
          </w:p>
        </w:tc>
        <w:tc>
          <w:tcPr>
            <w:tcW w:type="dxa" w:w="1152"/>
            <w:shd w:fill="1B365D"/>
            <w:tcMar>
              <w:top w:w="100" w:type="dxa"/>
              <w:bottom w:w="100" w:type="dxa"/>
              <w:left w:w="100" w:type="dxa"/>
              <w:right w:w="100" w:type="dxa"/>
            </w:tcMar>
            <w:vAlign w:val="center"/>
          </w:tcPr>
          <w:p>
            <w:pPr>
              <w:jc w:val="center"/>
            </w:pPr>
            <w:r>
              <w:rPr>
                <w:rFonts w:ascii="Calibri" w:hAnsi="Calibri"/>
                <w:b/>
                <w:color w:val="FFFFFF"/>
                <w:sz w:val="17"/>
              </w:rPr>
              <w:t>Valid Format</w:t>
            </w:r>
          </w:p>
        </w:tc>
        <w:tc>
          <w:tcPr>
            <w:tcW w:type="dxa" w:w="1152"/>
            <w:shd w:fill="1B365D"/>
            <w:tcMar>
              <w:top w:w="100" w:type="dxa"/>
              <w:bottom w:w="100" w:type="dxa"/>
              <w:left w:w="100" w:type="dxa"/>
              <w:right w:w="100" w:type="dxa"/>
            </w:tcMar>
            <w:vAlign w:val="center"/>
          </w:tcPr>
          <w:p>
            <w:pPr>
              <w:jc w:val="center"/>
            </w:pPr>
            <w:r>
              <w:rPr>
                <w:rFonts w:ascii="Calibri" w:hAnsi="Calibri"/>
                <w:b/>
                <w:color w:val="FFFFFF"/>
                <w:sz w:val="17"/>
              </w:rPr>
              <w:t>DH Attempt</w:t>
            </w:r>
          </w:p>
        </w:tc>
        <w:tc>
          <w:tcPr>
            <w:tcW w:type="dxa" w:w="1152"/>
            <w:shd w:fill="1B365D"/>
            <w:tcMar>
              <w:top w:w="100" w:type="dxa"/>
              <w:bottom w:w="100" w:type="dxa"/>
              <w:left w:w="100" w:type="dxa"/>
              <w:right w:w="100" w:type="dxa"/>
            </w:tcMar>
            <w:vAlign w:val="center"/>
          </w:tcPr>
          <w:p>
            <w:pPr>
              <w:jc w:val="center"/>
            </w:pPr>
            <w:r>
              <w:rPr>
                <w:rFonts w:ascii="Calibri" w:hAnsi="Calibri"/>
                <w:b/>
                <w:color w:val="FFFFFF"/>
                <w:sz w:val="17"/>
              </w:rPr>
              <w:t>DS Attempt</w:t>
            </w:r>
          </w:p>
        </w:tc>
        <w:tc>
          <w:tcPr>
            <w:tcW w:type="dxa" w:w="1152"/>
            <w:shd w:fill="1B365D"/>
            <w:tcMar>
              <w:top w:w="100" w:type="dxa"/>
              <w:bottom w:w="100" w:type="dxa"/>
              <w:left w:w="100" w:type="dxa"/>
              <w:right w:w="100" w:type="dxa"/>
            </w:tcMar>
            <w:vAlign w:val="center"/>
          </w:tcPr>
          <w:p>
            <w:pPr>
              <w:jc w:val="center"/>
            </w:pPr>
            <w:r>
              <w:rPr>
                <w:rFonts w:ascii="Calibri" w:hAnsi="Calibri"/>
                <w:b/>
                <w:color w:val="FFFFFF"/>
                <w:sz w:val="17"/>
              </w:rPr>
              <w:t>ASR (Valid)</w:t>
            </w:r>
          </w:p>
        </w:tc>
        <w:tc>
          <w:tcPr>
            <w:tcW w:type="dxa" w:w="1152"/>
            <w:shd w:fill="1B365D"/>
            <w:tcMar>
              <w:top w:w="100" w:type="dxa"/>
              <w:bottom w:w="100" w:type="dxa"/>
              <w:left w:w="100" w:type="dxa"/>
              <w:right w:w="100" w:type="dxa"/>
            </w:tcMar>
            <w:vAlign w:val="center"/>
          </w:tcPr>
          <w:p>
            <w:pPr>
              <w:jc w:val="center"/>
            </w:pPr>
            <w:r>
              <w:rPr>
                <w:rFonts w:ascii="Calibri" w:hAnsi="Calibri"/>
                <w:b/>
                <w:color w:val="FFFFFF"/>
                <w:sz w:val="17"/>
              </w:rPr>
              <w:t>ASR (All)</w:t>
            </w:r>
          </w:p>
        </w:tc>
        <w:tc>
          <w:tcPr>
            <w:tcW w:type="dxa" w:w="1152"/>
            <w:shd w:fill="1B365D"/>
            <w:tcMar>
              <w:top w:w="100" w:type="dxa"/>
              <w:bottom w:w="100" w:type="dxa"/>
              <w:left w:w="100" w:type="dxa"/>
              <w:right w:w="100" w:type="dxa"/>
            </w:tcMar>
            <w:vAlign w:val="center"/>
          </w:tcPr>
          <w:p>
            <w:pPr>
              <w:jc w:val="center"/>
            </w:pPr>
            <w:r>
              <w:rPr>
                <w:rFonts w:ascii="Calibri" w:hAnsi="Calibri"/>
                <w:b/>
                <w:color w:val="FFFFFF"/>
                <w:sz w:val="17"/>
              </w:rPr>
              <w:t>Block Rate</w:t>
            </w:r>
          </w:p>
        </w:tc>
      </w:tr>
      <w:tr>
        <w:tc>
          <w:tcPr>
            <w:tcW w:type="dxa" w:w="2592"/>
            <w:tcMar>
              <w:top w:w="70" w:type="dxa"/>
              <w:bottom w:w="70" w:type="dxa"/>
              <w:left w:w="100" w:type="dxa"/>
              <w:right w:w="100" w:type="dxa"/>
            </w:tcMar>
            <w:vAlign w:val="center"/>
          </w:tcPr>
          <w:p>
            <w:pPr>
              <w:jc w:val="left"/>
            </w:pPr>
            <w:r>
              <w:rPr>
                <w:rFonts w:ascii="Calibri" w:hAnsi="Calibri"/>
                <w:sz w:val="17"/>
              </w:rPr>
              <w:t>Undefended (No Defense)</w:t>
            </w:r>
          </w:p>
        </w:tc>
        <w:tc>
          <w:tcPr>
            <w:tcW w:type="dxa" w:w="1152"/>
            <w:tcMar>
              <w:top w:w="70" w:type="dxa"/>
              <w:bottom w:w="70" w:type="dxa"/>
              <w:left w:w="100" w:type="dxa"/>
              <w:right w:w="100" w:type="dxa"/>
            </w:tcMar>
            <w:vAlign w:val="center"/>
          </w:tcPr>
          <w:p>
            <w:pPr>
              <w:jc w:val="left"/>
            </w:pPr>
            <w:r>
              <w:rPr>
                <w:rFonts w:ascii="Calibri" w:hAnsi="Calibri"/>
                <w:sz w:val="17"/>
              </w:rPr>
              <w:t>65.8%</w:t>
            </w:r>
          </w:p>
        </w:tc>
        <w:tc>
          <w:tcPr>
            <w:tcW w:type="dxa" w:w="1152"/>
            <w:tcMar>
              <w:top w:w="70" w:type="dxa"/>
              <w:bottom w:w="70" w:type="dxa"/>
              <w:left w:w="100" w:type="dxa"/>
              <w:right w:w="100" w:type="dxa"/>
            </w:tcMar>
            <w:vAlign w:val="center"/>
          </w:tcPr>
          <w:p>
            <w:pPr>
              <w:jc w:val="right"/>
            </w:pPr>
            <w:r>
              <w:rPr>
                <w:rFonts w:ascii="Calibri" w:hAnsi="Calibri"/>
                <w:sz w:val="17"/>
              </w:rPr>
              <w:t>88.3%</w:t>
            </w:r>
          </w:p>
        </w:tc>
        <w:tc>
          <w:tcPr>
            <w:tcW w:type="dxa" w:w="1152"/>
            <w:tcMar>
              <w:top w:w="70" w:type="dxa"/>
              <w:bottom w:w="70" w:type="dxa"/>
              <w:left w:w="100" w:type="dxa"/>
              <w:right w:w="100" w:type="dxa"/>
            </w:tcMar>
            <w:vAlign w:val="center"/>
          </w:tcPr>
          <w:p>
            <w:pPr>
              <w:jc w:val="right"/>
            </w:pPr>
            <w:r>
              <w:rPr>
                <w:rFonts w:ascii="Calibri" w:hAnsi="Calibri"/>
                <w:sz w:val="17"/>
              </w:rPr>
              <w:t>75.3%</w:t>
            </w:r>
          </w:p>
        </w:tc>
        <w:tc>
          <w:tcPr>
            <w:tcW w:type="dxa" w:w="1152"/>
            <w:tcMar>
              <w:top w:w="70" w:type="dxa"/>
              <w:bottom w:w="70" w:type="dxa"/>
              <w:left w:w="100" w:type="dxa"/>
              <w:right w:w="100" w:type="dxa"/>
            </w:tcMar>
            <w:vAlign w:val="center"/>
          </w:tcPr>
          <w:p>
            <w:pPr>
              <w:jc w:val="right"/>
            </w:pPr>
            <w:r>
              <w:rPr>
                <w:rFonts w:ascii="Calibri" w:hAnsi="Calibri"/>
                <w:sz w:val="17"/>
              </w:rPr>
              <w:t>81.9%</w:t>
            </w:r>
          </w:p>
        </w:tc>
        <w:tc>
          <w:tcPr>
            <w:tcW w:type="dxa" w:w="1152"/>
            <w:tcMar>
              <w:top w:w="70" w:type="dxa"/>
              <w:bottom w:w="70" w:type="dxa"/>
              <w:left w:w="100" w:type="dxa"/>
              <w:right w:w="100" w:type="dxa"/>
            </w:tcMar>
            <w:vAlign w:val="center"/>
          </w:tcPr>
          <w:p>
            <w:pPr>
              <w:jc w:val="right"/>
            </w:pPr>
            <w:r>
              <w:rPr>
                <w:rFonts w:ascii="Calibri" w:hAnsi="Calibri"/>
                <w:sz w:val="17"/>
              </w:rPr>
              <w:t>52.7%</w:t>
            </w:r>
          </w:p>
        </w:tc>
        <w:tc>
          <w:tcPr>
            <w:tcW w:type="dxa" w:w="1152"/>
            <w:tcMar>
              <w:top w:w="70" w:type="dxa"/>
              <w:bottom w:w="70" w:type="dxa"/>
              <w:left w:w="100" w:type="dxa"/>
              <w:right w:w="100" w:type="dxa"/>
            </w:tcMar>
            <w:vAlign w:val="center"/>
          </w:tcPr>
          <w:p>
            <w:pPr>
              <w:jc w:val="right"/>
            </w:pPr>
            <w:r>
              <w:rPr>
                <w:rFonts w:ascii="Calibri" w:hAnsi="Calibri"/>
                <w:sz w:val="17"/>
              </w:rPr>
              <w:t>0.0%</w:t>
            </w:r>
          </w:p>
        </w:tc>
      </w:tr>
      <w:tr>
        <w:tc>
          <w:tcPr>
            <w:tcW w:type="dxa" w:w="2592"/>
            <w:shd w:fill="F9FAFB"/>
            <w:tcMar>
              <w:top w:w="70" w:type="dxa"/>
              <w:bottom w:w="70" w:type="dxa"/>
              <w:left w:w="100" w:type="dxa"/>
              <w:right w:w="100" w:type="dxa"/>
            </w:tcMar>
            <w:vAlign w:val="center"/>
          </w:tcPr>
          <w:p>
            <w:pPr>
              <w:jc w:val="left"/>
            </w:pPr>
            <w:r>
              <w:rPr>
                <w:rFonts w:ascii="Calibri" w:hAnsi="Calibri"/>
                <w:sz w:val="17"/>
              </w:rPr>
              <w:t>PromptGuard-86M</w:t>
            </w:r>
          </w:p>
        </w:tc>
        <w:tc>
          <w:tcPr>
            <w:tcW w:type="dxa" w:w="1152"/>
            <w:shd w:fill="F9FAFB"/>
            <w:tcMar>
              <w:top w:w="70" w:type="dxa"/>
              <w:bottom w:w="70" w:type="dxa"/>
              <w:left w:w="100" w:type="dxa"/>
              <w:right w:w="100" w:type="dxa"/>
            </w:tcMar>
            <w:vAlign w:val="center"/>
          </w:tcPr>
          <w:p>
            <w:pPr>
              <w:jc w:val="left"/>
            </w:pPr>
            <w:r>
              <w:rPr>
                <w:rFonts w:ascii="Calibri" w:hAnsi="Calibri"/>
                <w:sz w:val="17"/>
              </w:rPr>
              <w:t>14.3%</w:t>
            </w:r>
          </w:p>
        </w:tc>
        <w:tc>
          <w:tcPr>
            <w:tcW w:type="dxa" w:w="1152"/>
            <w:shd w:fill="F9FAFB"/>
            <w:tcMar>
              <w:top w:w="70" w:type="dxa"/>
              <w:bottom w:w="70" w:type="dxa"/>
              <w:left w:w="100" w:type="dxa"/>
              <w:right w:w="100" w:type="dxa"/>
            </w:tcMar>
            <w:vAlign w:val="center"/>
          </w:tcPr>
          <w:p>
            <w:pPr>
              <w:jc w:val="right"/>
            </w:pPr>
            <w:r>
              <w:rPr>
                <w:rFonts w:ascii="Calibri" w:hAnsi="Calibri"/>
                <w:sz w:val="17"/>
              </w:rPr>
              <w:t>3.1%</w:t>
            </w:r>
          </w:p>
        </w:tc>
        <w:tc>
          <w:tcPr>
            <w:tcW w:type="dxa" w:w="1152"/>
            <w:shd w:fill="F9FAFB"/>
            <w:tcMar>
              <w:top w:w="70" w:type="dxa"/>
              <w:bottom w:w="70" w:type="dxa"/>
              <w:left w:w="100" w:type="dxa"/>
              <w:right w:w="100" w:type="dxa"/>
            </w:tcMar>
            <w:vAlign w:val="center"/>
          </w:tcPr>
          <w:p>
            <w:pPr>
              <w:jc w:val="right"/>
            </w:pPr>
            <w:r>
              <w:rPr>
                <w:rFonts w:ascii="Calibri" w:hAnsi="Calibri"/>
                <w:sz w:val="17"/>
              </w:rPr>
              <w:t>5.2%</w:t>
            </w:r>
          </w:p>
        </w:tc>
        <w:tc>
          <w:tcPr>
            <w:tcW w:type="dxa" w:w="1152"/>
            <w:shd w:fill="F9FAFB"/>
            <w:tcMar>
              <w:top w:w="70" w:type="dxa"/>
              <w:bottom w:w="70" w:type="dxa"/>
              <w:left w:w="100" w:type="dxa"/>
              <w:right w:w="100" w:type="dxa"/>
            </w:tcMar>
            <w:vAlign w:val="center"/>
          </w:tcPr>
          <w:p>
            <w:pPr>
              <w:jc w:val="right"/>
            </w:pPr>
            <w:r>
              <w:rPr>
                <w:rFonts w:ascii="Calibri" w:hAnsi="Calibri"/>
                <w:sz w:val="17"/>
              </w:rPr>
              <w:t>4.3%</w:t>
            </w:r>
          </w:p>
        </w:tc>
        <w:tc>
          <w:tcPr>
            <w:tcW w:type="dxa" w:w="1152"/>
            <w:shd w:fill="F9FAFB"/>
            <w:tcMar>
              <w:top w:w="70" w:type="dxa"/>
              <w:bottom w:w="70" w:type="dxa"/>
              <w:left w:w="100" w:type="dxa"/>
              <w:right w:w="100" w:type="dxa"/>
            </w:tcMar>
            <w:vAlign w:val="center"/>
          </w:tcPr>
          <w:p>
            <w:pPr>
              <w:jc w:val="right"/>
            </w:pPr>
            <w:r>
              <w:rPr>
                <w:rFonts w:ascii="Calibri" w:hAnsi="Calibri"/>
                <w:sz w:val="17"/>
              </w:rPr>
              <w:t>0.6%</w:t>
            </w:r>
          </w:p>
        </w:tc>
        <w:tc>
          <w:tcPr>
            <w:tcW w:type="dxa" w:w="1152"/>
            <w:shd w:fill="F9FAFB"/>
            <w:tcMar>
              <w:top w:w="70" w:type="dxa"/>
              <w:bottom w:w="70" w:type="dxa"/>
              <w:left w:w="100" w:type="dxa"/>
              <w:right w:w="100" w:type="dxa"/>
            </w:tcMar>
            <w:vAlign w:val="center"/>
          </w:tcPr>
          <w:p>
            <w:pPr>
              <w:jc w:val="right"/>
            </w:pPr>
            <w:r>
              <w:rPr>
                <w:rFonts w:ascii="Calibri" w:hAnsi="Calibri"/>
                <w:sz w:val="17"/>
              </w:rPr>
              <w:t>77.5%</w:t>
            </w:r>
          </w:p>
        </w:tc>
      </w:tr>
      <w:tr>
        <w:tc>
          <w:tcPr>
            <w:tcW w:type="dxa" w:w="2592"/>
            <w:tcMar>
              <w:top w:w="70" w:type="dxa"/>
              <w:bottom w:w="70" w:type="dxa"/>
              <w:left w:w="100" w:type="dxa"/>
              <w:right w:w="100" w:type="dxa"/>
            </w:tcMar>
            <w:vAlign w:val="center"/>
          </w:tcPr>
          <w:p>
            <w:pPr>
              <w:jc w:val="left"/>
            </w:pPr>
            <w:r>
              <w:rPr>
                <w:rFonts w:ascii="Calibri" w:hAnsi="Calibri"/>
                <w:sz w:val="17"/>
              </w:rPr>
              <w:t>PIGuard (DeBERTa-v2)</w:t>
            </w:r>
          </w:p>
        </w:tc>
        <w:tc>
          <w:tcPr>
            <w:tcW w:type="dxa" w:w="1152"/>
            <w:tcMar>
              <w:top w:w="70" w:type="dxa"/>
              <w:bottom w:w="70" w:type="dxa"/>
              <w:left w:w="100" w:type="dxa"/>
              <w:right w:w="100" w:type="dxa"/>
            </w:tcMar>
            <w:vAlign w:val="center"/>
          </w:tcPr>
          <w:p>
            <w:pPr>
              <w:jc w:val="left"/>
            </w:pPr>
            <w:r>
              <w:rPr>
                <w:rFonts w:ascii="Calibri" w:hAnsi="Calibri"/>
                <w:sz w:val="17"/>
              </w:rPr>
              <w:t>17.5%</w:t>
            </w:r>
          </w:p>
        </w:tc>
        <w:tc>
          <w:tcPr>
            <w:tcW w:type="dxa" w:w="1152"/>
            <w:tcMar>
              <w:top w:w="70" w:type="dxa"/>
              <w:bottom w:w="70" w:type="dxa"/>
              <w:left w:w="100" w:type="dxa"/>
              <w:right w:w="100" w:type="dxa"/>
            </w:tcMar>
            <w:vAlign w:val="center"/>
          </w:tcPr>
          <w:p>
            <w:pPr>
              <w:jc w:val="right"/>
            </w:pPr>
            <w:r>
              <w:rPr>
                <w:rFonts w:ascii="Calibri" w:hAnsi="Calibri"/>
                <w:sz w:val="17"/>
              </w:rPr>
              <w:t>2.5%</w:t>
            </w:r>
          </w:p>
        </w:tc>
        <w:tc>
          <w:tcPr>
            <w:tcW w:type="dxa" w:w="1152"/>
            <w:tcMar>
              <w:top w:w="70" w:type="dxa"/>
              <w:bottom w:w="70" w:type="dxa"/>
              <w:left w:w="100" w:type="dxa"/>
              <w:right w:w="100" w:type="dxa"/>
            </w:tcMar>
            <w:vAlign w:val="center"/>
          </w:tcPr>
          <w:p>
            <w:pPr>
              <w:jc w:val="right"/>
            </w:pPr>
            <w:r>
              <w:rPr>
                <w:rFonts w:ascii="Calibri" w:hAnsi="Calibri"/>
                <w:sz w:val="17"/>
              </w:rPr>
              <w:t>2.2%</w:t>
            </w:r>
          </w:p>
        </w:tc>
        <w:tc>
          <w:tcPr>
            <w:tcW w:type="dxa" w:w="1152"/>
            <w:tcMar>
              <w:top w:w="70" w:type="dxa"/>
              <w:bottom w:w="70" w:type="dxa"/>
              <w:left w:w="100" w:type="dxa"/>
              <w:right w:w="100" w:type="dxa"/>
            </w:tcMar>
            <w:vAlign w:val="center"/>
          </w:tcPr>
          <w:p>
            <w:pPr>
              <w:jc w:val="right"/>
            </w:pPr>
            <w:r>
              <w:rPr>
                <w:rFonts w:ascii="Calibri" w:hAnsi="Calibri"/>
                <w:sz w:val="17"/>
              </w:rPr>
              <w:t>2.3%</w:t>
            </w:r>
          </w:p>
        </w:tc>
        <w:tc>
          <w:tcPr>
            <w:tcW w:type="dxa" w:w="1152"/>
            <w:tcMar>
              <w:top w:w="70" w:type="dxa"/>
              <w:bottom w:w="70" w:type="dxa"/>
              <w:left w:w="100" w:type="dxa"/>
              <w:right w:w="100" w:type="dxa"/>
            </w:tcMar>
            <w:vAlign w:val="center"/>
          </w:tcPr>
          <w:p>
            <w:pPr>
              <w:jc w:val="right"/>
            </w:pPr>
            <w:r>
              <w:rPr>
                <w:rFonts w:ascii="Calibri" w:hAnsi="Calibri"/>
                <w:sz w:val="17"/>
              </w:rPr>
              <w:t>0.4%</w:t>
            </w:r>
          </w:p>
        </w:tc>
        <w:tc>
          <w:tcPr>
            <w:tcW w:type="dxa" w:w="1152"/>
            <w:tcMar>
              <w:top w:w="70" w:type="dxa"/>
              <w:bottom w:w="70" w:type="dxa"/>
              <w:left w:w="100" w:type="dxa"/>
              <w:right w:w="100" w:type="dxa"/>
            </w:tcMar>
            <w:vAlign w:val="center"/>
          </w:tcPr>
          <w:p>
            <w:pPr>
              <w:jc w:val="right"/>
            </w:pPr>
            <w:r>
              <w:rPr>
                <w:rFonts w:ascii="Calibri" w:hAnsi="Calibri"/>
                <w:sz w:val="17"/>
              </w:rPr>
              <w:t>83.8%</w:t>
            </w:r>
          </w:p>
        </w:tc>
      </w:tr>
      <w:tr>
        <w:tc>
          <w:tcPr>
            <w:tcW w:type="dxa" w:w="2592"/>
            <w:shd w:fill="F9FAFB"/>
            <w:tcMar>
              <w:top w:w="70" w:type="dxa"/>
              <w:bottom w:w="70" w:type="dxa"/>
              <w:left w:w="100" w:type="dxa"/>
              <w:right w:w="100" w:type="dxa"/>
            </w:tcMar>
            <w:vAlign w:val="center"/>
          </w:tcPr>
          <w:p>
            <w:pPr>
              <w:jc w:val="left"/>
            </w:pPr>
            <w:r>
              <w:rPr>
                <w:rFonts w:ascii="Calibri" w:hAnsi="Calibri"/>
                <w:sz w:val="17"/>
              </w:rPr>
              <w:t>DataFilter (8B Filter)</w:t>
            </w:r>
          </w:p>
        </w:tc>
        <w:tc>
          <w:tcPr>
            <w:tcW w:type="dxa" w:w="1152"/>
            <w:shd w:fill="F9FAFB"/>
            <w:tcMar>
              <w:top w:w="70" w:type="dxa"/>
              <w:bottom w:w="70" w:type="dxa"/>
              <w:left w:w="100" w:type="dxa"/>
              <w:right w:w="100" w:type="dxa"/>
            </w:tcMar>
            <w:vAlign w:val="center"/>
          </w:tcPr>
          <w:p>
            <w:pPr>
              <w:jc w:val="left"/>
            </w:pPr>
            <w:r>
              <w:rPr>
                <w:rFonts w:ascii="Calibri" w:hAnsi="Calibri"/>
                <w:sz w:val="17"/>
              </w:rPr>
              <w:t>36.0%</w:t>
            </w:r>
          </w:p>
        </w:tc>
        <w:tc>
          <w:tcPr>
            <w:tcW w:type="dxa" w:w="1152"/>
            <w:shd w:fill="F9FAFB"/>
            <w:tcMar>
              <w:top w:w="70" w:type="dxa"/>
              <w:bottom w:w="70" w:type="dxa"/>
              <w:left w:w="100" w:type="dxa"/>
              <w:right w:w="100" w:type="dxa"/>
            </w:tcMar>
            <w:vAlign w:val="center"/>
          </w:tcPr>
          <w:p>
            <w:pPr>
              <w:jc w:val="right"/>
            </w:pPr>
            <w:r>
              <w:rPr>
                <w:rFonts w:ascii="Calibri" w:hAnsi="Calibri"/>
                <w:sz w:val="17"/>
              </w:rPr>
              <w:t>9.5%</w:t>
            </w:r>
          </w:p>
        </w:tc>
        <w:tc>
          <w:tcPr>
            <w:tcW w:type="dxa" w:w="1152"/>
            <w:shd w:fill="F9FAFB"/>
            <w:tcMar>
              <w:top w:w="70" w:type="dxa"/>
              <w:bottom w:w="70" w:type="dxa"/>
              <w:left w:w="100" w:type="dxa"/>
              <w:right w:w="100" w:type="dxa"/>
            </w:tcMar>
            <w:vAlign w:val="center"/>
          </w:tcPr>
          <w:p>
            <w:pPr>
              <w:jc w:val="right"/>
            </w:pPr>
            <w:r>
              <w:rPr>
                <w:rFonts w:ascii="Calibri" w:hAnsi="Calibri"/>
                <w:sz w:val="17"/>
              </w:rPr>
              <w:t>2.9%</w:t>
            </w:r>
          </w:p>
        </w:tc>
        <w:tc>
          <w:tcPr>
            <w:tcW w:type="dxa" w:w="1152"/>
            <w:shd w:fill="F9FAFB"/>
            <w:tcMar>
              <w:top w:w="70" w:type="dxa"/>
              <w:bottom w:w="70" w:type="dxa"/>
              <w:left w:w="100" w:type="dxa"/>
              <w:right w:w="100" w:type="dxa"/>
            </w:tcMar>
            <w:vAlign w:val="center"/>
          </w:tcPr>
          <w:p>
            <w:pPr>
              <w:jc w:val="right"/>
            </w:pPr>
            <w:r>
              <w:rPr>
                <w:rFonts w:ascii="Calibri" w:hAnsi="Calibri"/>
                <w:sz w:val="17"/>
              </w:rPr>
              <w:t>6.4%</w:t>
            </w:r>
          </w:p>
        </w:tc>
        <w:tc>
          <w:tcPr>
            <w:tcW w:type="dxa" w:w="1152"/>
            <w:shd w:fill="F9FAFB"/>
            <w:tcMar>
              <w:top w:w="70" w:type="dxa"/>
              <w:bottom w:w="70" w:type="dxa"/>
              <w:left w:w="100" w:type="dxa"/>
              <w:right w:w="100" w:type="dxa"/>
            </w:tcMar>
            <w:vAlign w:val="center"/>
          </w:tcPr>
          <w:p>
            <w:pPr>
              <w:jc w:val="right"/>
            </w:pPr>
            <w:r>
              <w:rPr>
                <w:rFonts w:ascii="Calibri" w:hAnsi="Calibri"/>
                <w:sz w:val="17"/>
              </w:rPr>
              <w:t>2.2%</w:t>
            </w:r>
          </w:p>
        </w:tc>
        <w:tc>
          <w:tcPr>
            <w:tcW w:type="dxa" w:w="1152"/>
            <w:shd w:fill="F9FAFB"/>
            <w:tcMar>
              <w:top w:w="70" w:type="dxa"/>
              <w:bottom w:w="70" w:type="dxa"/>
              <w:left w:w="100" w:type="dxa"/>
              <w:right w:w="100" w:type="dxa"/>
            </w:tcMar>
            <w:vAlign w:val="center"/>
          </w:tcPr>
          <w:p>
            <w:pPr>
              <w:jc w:val="right"/>
            </w:pPr>
            <w:r>
              <w:rPr>
                <w:rFonts w:ascii="Calibri" w:hAnsi="Calibri"/>
                <w:sz w:val="17"/>
              </w:rPr>
              <w:t>0.0%</w:t>
            </w:r>
          </w:p>
        </w:tc>
      </w:tr>
      <w:tr>
        <w:tc>
          <w:tcPr>
            <w:tcW w:type="dxa" w:w="2592"/>
            <w:tcMar>
              <w:top w:w="70" w:type="dxa"/>
              <w:bottom w:w="70" w:type="dxa"/>
              <w:left w:w="100" w:type="dxa"/>
              <w:right w:w="100" w:type="dxa"/>
            </w:tcMar>
            <w:vAlign w:val="center"/>
          </w:tcPr>
          <w:p>
            <w:pPr>
              <w:jc w:val="left"/>
            </w:pPr>
            <w:r>
              <w:rPr>
                <w:rFonts w:ascii="Calibri" w:hAnsi="Calibri"/>
                <w:sz w:val="17"/>
              </w:rPr>
              <w:t>PISanitizer</w:t>
            </w:r>
          </w:p>
        </w:tc>
        <w:tc>
          <w:tcPr>
            <w:tcW w:type="dxa" w:w="1152"/>
            <w:tcMar>
              <w:top w:w="70" w:type="dxa"/>
              <w:bottom w:w="70" w:type="dxa"/>
              <w:left w:w="100" w:type="dxa"/>
              <w:right w:w="100" w:type="dxa"/>
            </w:tcMar>
            <w:vAlign w:val="center"/>
          </w:tcPr>
          <w:p>
            <w:pPr>
              <w:jc w:val="left"/>
            </w:pPr>
            <w:r>
              <w:rPr>
                <w:rFonts w:ascii="Calibri" w:hAnsi="Calibri"/>
                <w:sz w:val="17"/>
              </w:rPr>
              <w:t>42.1%</w:t>
            </w:r>
          </w:p>
        </w:tc>
        <w:tc>
          <w:tcPr>
            <w:tcW w:type="dxa" w:w="1152"/>
            <w:tcMar>
              <w:top w:w="70" w:type="dxa"/>
              <w:bottom w:w="70" w:type="dxa"/>
              <w:left w:w="100" w:type="dxa"/>
              <w:right w:w="100" w:type="dxa"/>
            </w:tcMar>
            <w:vAlign w:val="center"/>
          </w:tcPr>
          <w:p>
            <w:pPr>
              <w:jc w:val="right"/>
            </w:pPr>
            <w:r>
              <w:rPr>
                <w:rFonts w:ascii="Calibri" w:hAnsi="Calibri"/>
                <w:sz w:val="17"/>
              </w:rPr>
              <w:t>41.5%</w:t>
            </w:r>
          </w:p>
        </w:tc>
        <w:tc>
          <w:tcPr>
            <w:tcW w:type="dxa" w:w="1152"/>
            <w:tcMar>
              <w:top w:w="70" w:type="dxa"/>
              <w:bottom w:w="70" w:type="dxa"/>
              <w:left w:w="100" w:type="dxa"/>
              <w:right w:w="100" w:type="dxa"/>
            </w:tcMar>
            <w:vAlign w:val="center"/>
          </w:tcPr>
          <w:p>
            <w:pPr>
              <w:jc w:val="right"/>
            </w:pPr>
            <w:r>
              <w:rPr>
                <w:rFonts w:ascii="Calibri" w:hAnsi="Calibri"/>
                <w:sz w:val="17"/>
              </w:rPr>
              <w:t>26.1%</w:t>
            </w:r>
          </w:p>
        </w:tc>
        <w:tc>
          <w:tcPr>
            <w:tcW w:type="dxa" w:w="1152"/>
            <w:tcMar>
              <w:top w:w="70" w:type="dxa"/>
              <w:bottom w:w="70" w:type="dxa"/>
              <w:left w:w="100" w:type="dxa"/>
              <w:right w:w="100" w:type="dxa"/>
            </w:tcMar>
            <w:vAlign w:val="center"/>
          </w:tcPr>
          <w:p>
            <w:pPr>
              <w:jc w:val="right"/>
            </w:pPr>
            <w:r>
              <w:rPr>
                <w:rFonts w:ascii="Calibri" w:hAnsi="Calibri"/>
                <w:sz w:val="17"/>
              </w:rPr>
              <w:t>33.8%</w:t>
            </w:r>
          </w:p>
        </w:tc>
        <w:tc>
          <w:tcPr>
            <w:tcW w:type="dxa" w:w="1152"/>
            <w:tcMar>
              <w:top w:w="70" w:type="dxa"/>
              <w:bottom w:w="70" w:type="dxa"/>
              <w:left w:w="100" w:type="dxa"/>
              <w:right w:w="100" w:type="dxa"/>
            </w:tcMar>
            <w:vAlign w:val="center"/>
          </w:tcPr>
          <w:p>
            <w:pPr>
              <w:jc w:val="right"/>
            </w:pPr>
            <w:r>
              <w:rPr>
                <w:rFonts w:ascii="Calibri" w:hAnsi="Calibri"/>
                <w:sz w:val="17"/>
              </w:rPr>
              <w:t>13.6%</w:t>
            </w:r>
          </w:p>
        </w:tc>
        <w:tc>
          <w:tcPr>
            <w:tcW w:type="dxa" w:w="1152"/>
            <w:tcMar>
              <w:top w:w="70" w:type="dxa"/>
              <w:bottom w:w="70" w:type="dxa"/>
              <w:left w:w="100" w:type="dxa"/>
              <w:right w:w="100" w:type="dxa"/>
            </w:tcMar>
            <w:vAlign w:val="center"/>
          </w:tcPr>
          <w:p>
            <w:pPr>
              <w:jc w:val="right"/>
            </w:pPr>
            <w:r>
              <w:rPr>
                <w:rFonts w:ascii="Calibri" w:hAnsi="Calibri"/>
                <w:sz w:val="17"/>
              </w:rPr>
              <w:t>0.0%</w:t>
            </w:r>
          </w:p>
        </w:tc>
      </w:tr>
      <w:tr>
        <w:tc>
          <w:tcPr>
            <w:tcW w:type="dxa" w:w="2592"/>
            <w:shd w:fill="EBF3FB"/>
            <w:tcMar>
              <w:top w:w="70" w:type="dxa"/>
              <w:bottom w:w="70" w:type="dxa"/>
              <w:left w:w="100" w:type="dxa"/>
              <w:right w:w="100" w:type="dxa"/>
            </w:tcMar>
            <w:vAlign w:val="center"/>
          </w:tcPr>
          <w:p>
            <w:pPr>
              <w:jc w:val="left"/>
            </w:pPr>
            <w:r>
              <w:rPr>
                <w:rFonts w:ascii="Calibri" w:hAnsi="Calibri"/>
                <w:b/>
                <w:sz w:val="17"/>
              </w:rPr>
              <w:t>TriGuard v2 (Ours)</w:t>
            </w:r>
          </w:p>
        </w:tc>
        <w:tc>
          <w:tcPr>
            <w:tcW w:type="dxa" w:w="1152"/>
            <w:shd w:fill="EBF3FB"/>
            <w:tcMar>
              <w:top w:w="70" w:type="dxa"/>
              <w:bottom w:w="70" w:type="dxa"/>
              <w:left w:w="100" w:type="dxa"/>
              <w:right w:w="100" w:type="dxa"/>
            </w:tcMar>
            <w:vAlign w:val="center"/>
          </w:tcPr>
          <w:p>
            <w:pPr>
              <w:jc w:val="left"/>
            </w:pPr>
            <w:r>
              <w:rPr>
                <w:rFonts w:ascii="Calibri" w:hAnsi="Calibri"/>
                <w:sz w:val="17"/>
              </w:rPr>
              <w:t>66.9%</w:t>
            </w:r>
          </w:p>
        </w:tc>
        <w:tc>
          <w:tcPr>
            <w:tcW w:type="dxa" w:w="1152"/>
            <w:shd w:fill="EBF3FB"/>
            <w:tcMar>
              <w:top w:w="70" w:type="dxa"/>
              <w:bottom w:w="70" w:type="dxa"/>
              <w:left w:w="100" w:type="dxa"/>
              <w:right w:w="100" w:type="dxa"/>
            </w:tcMar>
            <w:vAlign w:val="center"/>
          </w:tcPr>
          <w:p>
            <w:pPr>
              <w:jc w:val="right"/>
            </w:pPr>
            <w:r>
              <w:rPr>
                <w:rFonts w:ascii="Calibri" w:hAnsi="Calibri"/>
                <w:sz w:val="17"/>
              </w:rPr>
              <w:t>2.9%</w:t>
            </w:r>
          </w:p>
        </w:tc>
        <w:tc>
          <w:tcPr>
            <w:tcW w:type="dxa" w:w="1152"/>
            <w:shd w:fill="EBF3FB"/>
            <w:tcMar>
              <w:top w:w="70" w:type="dxa"/>
              <w:bottom w:w="70" w:type="dxa"/>
              <w:left w:w="100" w:type="dxa"/>
              <w:right w:w="100" w:type="dxa"/>
            </w:tcMar>
            <w:vAlign w:val="center"/>
          </w:tcPr>
          <w:p>
            <w:pPr>
              <w:jc w:val="right"/>
            </w:pPr>
            <w:r>
              <w:rPr>
                <w:rFonts w:ascii="Calibri" w:hAnsi="Calibri"/>
                <w:sz w:val="17"/>
              </w:rPr>
              <w:t>0.2%</w:t>
            </w:r>
          </w:p>
        </w:tc>
        <w:tc>
          <w:tcPr>
            <w:tcW w:type="dxa" w:w="1152"/>
            <w:shd w:fill="EBF3FB"/>
            <w:tcMar>
              <w:top w:w="70" w:type="dxa"/>
              <w:bottom w:w="70" w:type="dxa"/>
              <w:left w:w="100" w:type="dxa"/>
              <w:right w:w="100" w:type="dxa"/>
            </w:tcMar>
            <w:vAlign w:val="center"/>
          </w:tcPr>
          <w:p>
            <w:pPr>
              <w:jc w:val="right"/>
            </w:pPr>
            <w:r>
              <w:rPr>
                <w:rFonts w:ascii="Calibri" w:hAnsi="Calibri"/>
                <w:sz w:val="17"/>
              </w:rPr>
              <w:t>0.0%</w:t>
            </w:r>
          </w:p>
        </w:tc>
        <w:tc>
          <w:tcPr>
            <w:tcW w:type="dxa" w:w="1152"/>
            <w:shd w:fill="EBF3FB"/>
            <w:tcMar>
              <w:top w:w="70" w:type="dxa"/>
              <w:bottom w:w="70" w:type="dxa"/>
              <w:left w:w="100" w:type="dxa"/>
              <w:right w:w="100" w:type="dxa"/>
            </w:tcMar>
            <w:vAlign w:val="center"/>
          </w:tcPr>
          <w:p>
            <w:pPr>
              <w:jc w:val="right"/>
            </w:pPr>
            <w:r>
              <w:rPr>
                <w:rFonts w:ascii="Calibri" w:hAnsi="Calibri"/>
                <w:sz w:val="17"/>
              </w:rPr>
              <w:t>0.0%</w:t>
            </w:r>
          </w:p>
        </w:tc>
        <w:tc>
          <w:tcPr>
            <w:tcW w:type="dxa" w:w="1152"/>
            <w:shd w:fill="EBF3FB"/>
            <w:tcMar>
              <w:top w:w="70" w:type="dxa"/>
              <w:bottom w:w="70" w:type="dxa"/>
              <w:left w:w="100" w:type="dxa"/>
              <w:right w:w="100" w:type="dxa"/>
            </w:tcMar>
            <w:vAlign w:val="center"/>
          </w:tcPr>
          <w:p>
            <w:pPr>
              <w:jc w:val="right"/>
            </w:pPr>
            <w:r>
              <w:rPr>
                <w:rFonts w:ascii="Calibri" w:hAnsi="Calibri"/>
                <w:sz w:val="17"/>
              </w:rPr>
              <w:t>100.0%</w:t>
            </w:r>
          </w:p>
        </w:tc>
      </w:tr>
    </w:tbl>
    <w:p>
      <w:pPr>
        <w:spacing w:after="120"/>
      </w:pPr>
    </w:p>
    <w:p>
      <w:r>
        <w:t>Delineation of Attack Stages &amp; Dual Denominators:</w:t>
        <w:br/>
        <w:t>• Dual ASR Denominators: Under the undefended baseline, Llama-3.1-8B achieves 81.9% ASR_valid on syntactically valid tool invocations, corresponding to 52.7% ASR_all across all 1,054 benchmark cases. Sequence classifiers suppress ASR_all below 1.0% primarily by inducing catastrophic syntax collapse (valid format rates dropping to 14.3%–17.5%). In contrast, TriGuard achieves 0.0% across both denominators.</w:t>
        <w:br/>
        <w:t>• Reconnaissance vs. Exfiltration Accounting: In Direct Harm (510 cases), the model generated 15 attack tool calls; TriGuard's dispatcher gate intercepted 15/15 attempts (100.0% block rate, 0 executed breaches). In Data Stealing (544 cases), the attack operates in two stages: Stage-1 reconnaissance involved 24 model-generated read calls, of which 18 were permitted because they matched authorized user read scopes and schema constraints. Crucially, when evaluating completed Stage-2 exfiltration, TriGuard blocked all exfiltration attempts, resulting in 0.0% completed exfiltration.</w:t>
      </w:r>
    </w:p>
    <w:p>
      <w:pPr>
        <w:pStyle w:val="Heading1"/>
      </w:pPr>
      <w:r>
        <w:t>4. Architectural Ablation across 200 Stratified Cases</w:t>
      </w:r>
    </w:p>
    <w:p>
      <w:r>
        <w:t>Table 2 evaluates the 9-tier ablation matrix across 200 stratified cases. Permission-Level Authorization Utility measures whether legitimate actions receive ALLOW or CLARIFY rather than false DENY at the gateway.</w:t>
      </w:r>
    </w:p>
    <w:p>
      <w:pPr>
        <w:spacing w:before="160" w:after="80"/>
      </w:pPr>
      <w:r>
        <w:rPr>
          <w:b/>
          <w:sz w:val="19"/>
        </w:rPr>
        <w:t>Table 2: Nine-Tier Architectural Ablation across 200 Stratified Cases (Meta-Llama-3.1-8B-Instruct).</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720"/>
            <w:shd w:fill="1B365D"/>
            <w:tcMar>
              <w:top w:w="100" w:type="dxa"/>
              <w:bottom w:w="100" w:type="dxa"/>
              <w:left w:w="100" w:type="dxa"/>
              <w:right w:w="100" w:type="dxa"/>
            </w:tcMar>
            <w:vAlign w:val="center"/>
          </w:tcPr>
          <w:p>
            <w:pPr>
              <w:jc w:val="center"/>
            </w:pPr>
            <w:r>
              <w:rPr>
                <w:rFonts w:ascii="Calibri" w:hAnsi="Calibri"/>
                <w:b/>
                <w:color w:val="FFFFFF"/>
                <w:sz w:val="17"/>
              </w:rPr>
              <w:t>ID</w:t>
            </w:r>
          </w:p>
        </w:tc>
        <w:tc>
          <w:tcPr>
            <w:tcW w:type="dxa" w:w="2592"/>
            <w:shd w:fill="1B365D"/>
            <w:tcMar>
              <w:top w:w="100" w:type="dxa"/>
              <w:bottom w:w="100" w:type="dxa"/>
              <w:left w:w="100" w:type="dxa"/>
              <w:right w:w="100" w:type="dxa"/>
            </w:tcMar>
            <w:vAlign w:val="center"/>
          </w:tcPr>
          <w:p>
            <w:pPr>
              <w:jc w:val="center"/>
            </w:pPr>
            <w:r>
              <w:rPr>
                <w:rFonts w:ascii="Calibri" w:hAnsi="Calibri"/>
                <w:b/>
                <w:color w:val="FFFFFF"/>
                <w:sz w:val="17"/>
              </w:rPr>
              <w:t>Configuration</w:t>
            </w:r>
          </w:p>
        </w:tc>
        <w:tc>
          <w:tcPr>
            <w:tcW w:type="dxa" w:w="576"/>
            <w:shd w:fill="1B365D"/>
            <w:tcMar>
              <w:top w:w="100" w:type="dxa"/>
              <w:bottom w:w="100" w:type="dxa"/>
              <w:left w:w="100" w:type="dxa"/>
              <w:right w:w="100" w:type="dxa"/>
            </w:tcMar>
            <w:vAlign w:val="center"/>
          </w:tcPr>
          <w:p>
            <w:pPr>
              <w:jc w:val="center"/>
            </w:pPr>
            <w:r>
              <w:rPr>
                <w:rFonts w:ascii="Calibri" w:hAnsi="Calibri"/>
                <w:b/>
                <w:color w:val="FFFFFF"/>
                <w:sz w:val="17"/>
              </w:rPr>
              <w:t>T1</w:t>
            </w:r>
          </w:p>
        </w:tc>
        <w:tc>
          <w:tcPr>
            <w:tcW w:type="dxa" w:w="576"/>
            <w:shd w:fill="1B365D"/>
            <w:tcMar>
              <w:top w:w="100" w:type="dxa"/>
              <w:bottom w:w="100" w:type="dxa"/>
              <w:left w:w="100" w:type="dxa"/>
              <w:right w:w="100" w:type="dxa"/>
            </w:tcMar>
            <w:vAlign w:val="center"/>
          </w:tcPr>
          <w:p>
            <w:pPr>
              <w:jc w:val="center"/>
            </w:pPr>
            <w:r>
              <w:rPr>
                <w:rFonts w:ascii="Calibri" w:hAnsi="Calibri"/>
                <w:b/>
                <w:color w:val="FFFFFF"/>
                <w:sz w:val="17"/>
              </w:rPr>
              <w:t>T2</w:t>
            </w:r>
          </w:p>
        </w:tc>
        <w:tc>
          <w:tcPr>
            <w:tcW w:type="dxa" w:w="576"/>
            <w:shd w:fill="1B365D"/>
            <w:tcMar>
              <w:top w:w="100" w:type="dxa"/>
              <w:bottom w:w="100" w:type="dxa"/>
              <w:left w:w="100" w:type="dxa"/>
              <w:right w:w="100" w:type="dxa"/>
            </w:tcMar>
            <w:vAlign w:val="center"/>
          </w:tcPr>
          <w:p>
            <w:pPr>
              <w:jc w:val="center"/>
            </w:pPr>
            <w:r>
              <w:rPr>
                <w:rFonts w:ascii="Calibri" w:hAnsi="Calibri"/>
                <w:b/>
                <w:color w:val="FFFFFF"/>
                <w:sz w:val="17"/>
              </w:rPr>
              <w:t>T3</w:t>
            </w:r>
          </w:p>
        </w:tc>
        <w:tc>
          <w:tcPr>
            <w:tcW w:type="dxa" w:w="720"/>
            <w:shd w:fill="1B365D"/>
            <w:tcMar>
              <w:top w:w="100" w:type="dxa"/>
              <w:bottom w:w="100" w:type="dxa"/>
              <w:left w:w="100" w:type="dxa"/>
              <w:right w:w="100" w:type="dxa"/>
            </w:tcMar>
            <w:vAlign w:val="center"/>
          </w:tcPr>
          <w:p>
            <w:pPr>
              <w:jc w:val="center"/>
            </w:pPr>
            <w:r>
              <w:rPr>
                <w:rFonts w:ascii="Calibri" w:hAnsi="Calibri"/>
                <w:b/>
                <w:color w:val="FFFFFF"/>
                <w:sz w:val="17"/>
              </w:rPr>
              <w:t>Clar.</w:t>
            </w:r>
          </w:p>
        </w:tc>
        <w:tc>
          <w:tcPr>
            <w:tcW w:type="dxa" w:w="864"/>
            <w:shd w:fill="1B365D"/>
            <w:tcMar>
              <w:top w:w="100" w:type="dxa"/>
              <w:bottom w:w="100" w:type="dxa"/>
              <w:left w:w="100" w:type="dxa"/>
              <w:right w:w="100" w:type="dxa"/>
            </w:tcMar>
            <w:vAlign w:val="center"/>
          </w:tcPr>
          <w:p>
            <w:pPr>
              <w:jc w:val="center"/>
            </w:pPr>
            <w:r>
              <w:rPr>
                <w:rFonts w:ascii="Calibri" w:hAnsi="Calibri"/>
                <w:b/>
                <w:color w:val="FFFFFF"/>
                <w:sz w:val="17"/>
              </w:rPr>
              <w:t>Attempt</w:t>
            </w:r>
          </w:p>
        </w:tc>
        <w:tc>
          <w:tcPr>
            <w:tcW w:type="dxa" w:w="864"/>
            <w:shd w:fill="1B365D"/>
            <w:tcMar>
              <w:top w:w="100" w:type="dxa"/>
              <w:bottom w:w="100" w:type="dxa"/>
              <w:left w:w="100" w:type="dxa"/>
              <w:right w:w="100" w:type="dxa"/>
            </w:tcMar>
            <w:vAlign w:val="center"/>
          </w:tcPr>
          <w:p>
            <w:pPr>
              <w:jc w:val="center"/>
            </w:pPr>
            <w:r>
              <w:rPr>
                <w:rFonts w:ascii="Calibri" w:hAnsi="Calibri"/>
                <w:b/>
                <w:color w:val="FFFFFF"/>
                <w:sz w:val="17"/>
              </w:rPr>
              <w:t>Exec ASR</w:t>
            </w:r>
          </w:p>
        </w:tc>
        <w:tc>
          <w:tcPr>
            <w:tcW w:type="dxa" w:w="864"/>
            <w:shd w:fill="1B365D"/>
            <w:tcMar>
              <w:top w:w="100" w:type="dxa"/>
              <w:bottom w:w="100" w:type="dxa"/>
              <w:left w:w="100" w:type="dxa"/>
              <w:right w:w="100" w:type="dxa"/>
            </w:tcMar>
            <w:vAlign w:val="center"/>
          </w:tcPr>
          <w:p>
            <w:pPr>
              <w:jc w:val="center"/>
            </w:pPr>
            <w:r>
              <w:rPr>
                <w:rFonts w:ascii="Calibri" w:hAnsi="Calibri"/>
                <w:b/>
                <w:color w:val="FFFFFF"/>
                <w:sz w:val="17"/>
              </w:rPr>
              <w:t>Block</w:t>
            </w:r>
          </w:p>
        </w:tc>
        <w:tc>
          <w:tcPr>
            <w:tcW w:type="dxa" w:w="1008"/>
            <w:shd w:fill="1B365D"/>
            <w:tcMar>
              <w:top w:w="100" w:type="dxa"/>
              <w:bottom w:w="100" w:type="dxa"/>
              <w:left w:w="100" w:type="dxa"/>
              <w:right w:w="100" w:type="dxa"/>
            </w:tcMar>
            <w:vAlign w:val="center"/>
          </w:tcPr>
          <w:p>
            <w:pPr>
              <w:jc w:val="center"/>
            </w:pPr>
            <w:r>
              <w:rPr>
                <w:rFonts w:ascii="Calibri" w:hAnsi="Calibri"/>
                <w:b/>
                <w:color w:val="FFFFFF"/>
                <w:sz w:val="17"/>
              </w:rPr>
              <w:t>Perm. Util.</w:t>
            </w:r>
          </w:p>
        </w:tc>
      </w:tr>
      <w:tr>
        <w:tc>
          <w:tcPr>
            <w:tcW w:type="dxa" w:w="720"/>
            <w:tcMar>
              <w:top w:w="70" w:type="dxa"/>
              <w:bottom w:w="70" w:type="dxa"/>
              <w:left w:w="100" w:type="dxa"/>
              <w:right w:w="100" w:type="dxa"/>
            </w:tcMar>
            <w:vAlign w:val="center"/>
          </w:tcPr>
          <w:p>
            <w:pPr>
              <w:jc w:val="left"/>
            </w:pPr>
            <w:r>
              <w:rPr>
                <w:rFonts w:ascii="Calibri" w:hAnsi="Calibri"/>
                <w:sz w:val="17"/>
              </w:rPr>
              <w:t>A0</w:t>
            </w:r>
          </w:p>
        </w:tc>
        <w:tc>
          <w:tcPr>
            <w:tcW w:type="dxa" w:w="2592"/>
            <w:tcMar>
              <w:top w:w="70" w:type="dxa"/>
              <w:bottom w:w="70" w:type="dxa"/>
              <w:left w:w="100" w:type="dxa"/>
              <w:right w:w="100" w:type="dxa"/>
            </w:tcMar>
            <w:vAlign w:val="center"/>
          </w:tcPr>
          <w:p>
            <w:pPr>
              <w:jc w:val="left"/>
            </w:pPr>
            <w:r>
              <w:rPr>
                <w:rFonts w:ascii="Calibri" w:hAnsi="Calibri"/>
                <w:sz w:val="17"/>
              </w:rPr>
              <w:t>Control (Undefended)</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720"/>
            <w:tcMar>
              <w:top w:w="70" w:type="dxa"/>
              <w:bottom w:w="70" w:type="dxa"/>
              <w:left w:w="100" w:type="dxa"/>
              <w:right w:w="100" w:type="dxa"/>
            </w:tcMar>
            <w:vAlign w:val="center"/>
          </w:tcPr>
          <w:p>
            <w:pPr>
              <w:jc w:val="left"/>
            </w:pPr>
            <w:r>
              <w:rPr>
                <w:rFonts w:ascii="Calibri" w:hAnsi="Calibri"/>
                <w:sz w:val="17"/>
              </w:rPr>
              <w:t>--</w:t>
            </w:r>
          </w:p>
        </w:tc>
        <w:tc>
          <w:tcPr>
            <w:tcW w:type="dxa" w:w="864"/>
            <w:tcMar>
              <w:top w:w="70" w:type="dxa"/>
              <w:bottom w:w="70" w:type="dxa"/>
              <w:left w:w="100" w:type="dxa"/>
              <w:right w:w="100" w:type="dxa"/>
            </w:tcMar>
            <w:vAlign w:val="center"/>
          </w:tcPr>
          <w:p>
            <w:pPr>
              <w:jc w:val="right"/>
            </w:pPr>
            <w:r>
              <w:rPr>
                <w:rFonts w:ascii="Calibri" w:hAnsi="Calibri"/>
                <w:sz w:val="17"/>
              </w:rPr>
              <w:t>45.0%</w:t>
            </w:r>
          </w:p>
        </w:tc>
        <w:tc>
          <w:tcPr>
            <w:tcW w:type="dxa" w:w="864"/>
            <w:tcMar>
              <w:top w:w="70" w:type="dxa"/>
              <w:bottom w:w="70" w:type="dxa"/>
              <w:left w:w="100" w:type="dxa"/>
              <w:right w:w="100" w:type="dxa"/>
            </w:tcMar>
            <w:vAlign w:val="center"/>
          </w:tcPr>
          <w:p>
            <w:pPr>
              <w:jc w:val="right"/>
            </w:pPr>
            <w:r>
              <w:rPr>
                <w:rFonts w:ascii="Calibri" w:hAnsi="Calibri"/>
                <w:sz w:val="17"/>
              </w:rPr>
              <w:t>45.0%</w:t>
            </w:r>
          </w:p>
        </w:tc>
        <w:tc>
          <w:tcPr>
            <w:tcW w:type="dxa" w:w="864"/>
            <w:tcMar>
              <w:top w:w="70" w:type="dxa"/>
              <w:bottom w:w="70" w:type="dxa"/>
              <w:left w:w="100" w:type="dxa"/>
              <w:right w:w="100" w:type="dxa"/>
            </w:tcMar>
            <w:vAlign w:val="center"/>
          </w:tcPr>
          <w:p>
            <w:pPr>
              <w:jc w:val="right"/>
            </w:pPr>
            <w:r>
              <w:rPr>
                <w:rFonts w:ascii="Calibri" w:hAnsi="Calibri"/>
                <w:sz w:val="17"/>
              </w:rPr>
              <w:t>0.0%</w:t>
            </w:r>
          </w:p>
        </w:tc>
        <w:tc>
          <w:tcPr>
            <w:tcW w:type="dxa" w:w="1008"/>
            <w:tcMar>
              <w:top w:w="70" w:type="dxa"/>
              <w:bottom w:w="70" w:type="dxa"/>
              <w:left w:w="100" w:type="dxa"/>
              <w:right w:w="100" w:type="dxa"/>
            </w:tcMar>
            <w:vAlign w:val="center"/>
          </w:tcPr>
          <w:p>
            <w:pPr>
              <w:jc w:val="right"/>
            </w:pPr>
            <w:r>
              <w:rPr>
                <w:rFonts w:ascii="Calibri" w:hAnsi="Calibri"/>
                <w:sz w:val="17"/>
              </w:rPr>
              <w:t>100.0%</w:t>
            </w:r>
          </w:p>
        </w:tc>
      </w:tr>
      <w:tr>
        <w:tc>
          <w:tcPr>
            <w:tcW w:type="dxa" w:w="720"/>
            <w:shd w:fill="F9FAFB"/>
            <w:tcMar>
              <w:top w:w="70" w:type="dxa"/>
              <w:bottom w:w="70" w:type="dxa"/>
              <w:left w:w="100" w:type="dxa"/>
              <w:right w:w="100" w:type="dxa"/>
            </w:tcMar>
            <w:vAlign w:val="center"/>
          </w:tcPr>
          <w:p>
            <w:pPr>
              <w:jc w:val="left"/>
            </w:pPr>
            <w:r>
              <w:rPr>
                <w:rFonts w:ascii="Calibri" w:hAnsi="Calibri"/>
                <w:sz w:val="17"/>
              </w:rPr>
              <w:t>A1</w:t>
            </w:r>
          </w:p>
        </w:tc>
        <w:tc>
          <w:tcPr>
            <w:tcW w:type="dxa" w:w="2592"/>
            <w:shd w:fill="F9FAFB"/>
            <w:tcMar>
              <w:top w:w="70" w:type="dxa"/>
              <w:bottom w:w="70" w:type="dxa"/>
              <w:left w:w="100" w:type="dxa"/>
              <w:right w:w="100" w:type="dxa"/>
            </w:tcMar>
            <w:vAlign w:val="center"/>
          </w:tcPr>
          <w:p>
            <w:pPr>
              <w:jc w:val="left"/>
            </w:pPr>
            <w:r>
              <w:rPr>
                <w:rFonts w:ascii="Calibri" w:hAnsi="Calibri"/>
                <w:sz w:val="17"/>
              </w:rPr>
              <w:t>Tier 1 Microkernel Only</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720"/>
            <w:shd w:fill="F9FAFB"/>
            <w:tcMar>
              <w:top w:w="70" w:type="dxa"/>
              <w:bottom w:w="70" w:type="dxa"/>
              <w:left w:w="100" w:type="dxa"/>
              <w:right w:w="100" w:type="dxa"/>
            </w:tcMar>
            <w:vAlign w:val="center"/>
          </w:tcPr>
          <w:p>
            <w:pPr>
              <w:jc w:val="left"/>
            </w:pPr>
            <w:r>
              <w:rPr>
                <w:rFonts w:ascii="Calibri" w:hAnsi="Calibri"/>
                <w:sz w:val="17"/>
              </w:rPr>
              <w:t>--</w:t>
            </w:r>
          </w:p>
        </w:tc>
        <w:tc>
          <w:tcPr>
            <w:tcW w:type="dxa" w:w="864"/>
            <w:shd w:fill="F9FAFB"/>
            <w:tcMar>
              <w:top w:w="70" w:type="dxa"/>
              <w:bottom w:w="70" w:type="dxa"/>
              <w:left w:w="100" w:type="dxa"/>
              <w:right w:w="100" w:type="dxa"/>
            </w:tcMar>
            <w:vAlign w:val="center"/>
          </w:tcPr>
          <w:p>
            <w:pPr>
              <w:jc w:val="right"/>
            </w:pPr>
            <w:r>
              <w:rPr>
                <w:rFonts w:ascii="Calibri" w:hAnsi="Calibri"/>
                <w:sz w:val="17"/>
              </w:rPr>
              <w:t>45.0%</w:t>
            </w:r>
          </w:p>
        </w:tc>
        <w:tc>
          <w:tcPr>
            <w:tcW w:type="dxa" w:w="864"/>
            <w:shd w:fill="F9FAFB"/>
            <w:tcMar>
              <w:top w:w="70" w:type="dxa"/>
              <w:bottom w:w="70" w:type="dxa"/>
              <w:left w:w="100" w:type="dxa"/>
              <w:right w:w="100" w:type="dxa"/>
            </w:tcMar>
            <w:vAlign w:val="center"/>
          </w:tcPr>
          <w:p>
            <w:pPr>
              <w:jc w:val="right"/>
            </w:pPr>
            <w:r>
              <w:rPr>
                <w:rFonts w:ascii="Calibri" w:hAnsi="Calibri"/>
                <w:sz w:val="17"/>
              </w:rPr>
              <w:t>6.5%</w:t>
            </w:r>
          </w:p>
        </w:tc>
        <w:tc>
          <w:tcPr>
            <w:tcW w:type="dxa" w:w="864"/>
            <w:shd w:fill="F9FAFB"/>
            <w:tcMar>
              <w:top w:w="70" w:type="dxa"/>
              <w:bottom w:w="70" w:type="dxa"/>
              <w:left w:w="100" w:type="dxa"/>
              <w:right w:w="100" w:type="dxa"/>
            </w:tcMar>
            <w:vAlign w:val="center"/>
          </w:tcPr>
          <w:p>
            <w:pPr>
              <w:jc w:val="right"/>
            </w:pPr>
            <w:r>
              <w:rPr>
                <w:rFonts w:ascii="Calibri" w:hAnsi="Calibri"/>
                <w:sz w:val="17"/>
              </w:rPr>
              <w:t>85.6%</w:t>
            </w:r>
          </w:p>
        </w:tc>
        <w:tc>
          <w:tcPr>
            <w:tcW w:type="dxa" w:w="1008"/>
            <w:shd w:fill="F9FAFB"/>
            <w:tcMar>
              <w:top w:w="70" w:type="dxa"/>
              <w:bottom w:w="70" w:type="dxa"/>
              <w:left w:w="100" w:type="dxa"/>
              <w:right w:w="100" w:type="dxa"/>
            </w:tcMar>
            <w:vAlign w:val="center"/>
          </w:tcPr>
          <w:p>
            <w:pPr>
              <w:jc w:val="right"/>
            </w:pPr>
            <w:r>
              <w:rPr>
                <w:rFonts w:ascii="Calibri" w:hAnsi="Calibri"/>
                <w:sz w:val="17"/>
              </w:rPr>
              <w:t>100.0%</w:t>
            </w:r>
          </w:p>
        </w:tc>
      </w:tr>
      <w:tr>
        <w:tc>
          <w:tcPr>
            <w:tcW w:type="dxa" w:w="720"/>
            <w:tcMar>
              <w:top w:w="70" w:type="dxa"/>
              <w:bottom w:w="70" w:type="dxa"/>
              <w:left w:w="100" w:type="dxa"/>
              <w:right w:w="100" w:type="dxa"/>
            </w:tcMar>
            <w:vAlign w:val="center"/>
          </w:tcPr>
          <w:p>
            <w:pPr>
              <w:jc w:val="left"/>
            </w:pPr>
            <w:r>
              <w:rPr>
                <w:rFonts w:ascii="Calibri" w:hAnsi="Calibri"/>
                <w:sz w:val="17"/>
              </w:rPr>
              <w:t>A2</w:t>
            </w:r>
          </w:p>
        </w:tc>
        <w:tc>
          <w:tcPr>
            <w:tcW w:type="dxa" w:w="2592"/>
            <w:tcMar>
              <w:top w:w="70" w:type="dxa"/>
              <w:bottom w:w="70" w:type="dxa"/>
              <w:left w:w="100" w:type="dxa"/>
              <w:right w:w="100" w:type="dxa"/>
            </w:tcMar>
            <w:vAlign w:val="center"/>
          </w:tcPr>
          <w:p>
            <w:pPr>
              <w:jc w:val="left"/>
            </w:pPr>
            <w:r>
              <w:rPr>
                <w:rFonts w:ascii="Calibri" w:hAnsi="Calibri"/>
                <w:sz w:val="17"/>
              </w:rPr>
              <w:t>Tier 2 Provenance Only</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720"/>
            <w:tcMar>
              <w:top w:w="70" w:type="dxa"/>
              <w:bottom w:w="70" w:type="dxa"/>
              <w:left w:w="100" w:type="dxa"/>
              <w:right w:w="100" w:type="dxa"/>
            </w:tcMar>
            <w:vAlign w:val="center"/>
          </w:tcPr>
          <w:p>
            <w:pPr>
              <w:jc w:val="left"/>
            </w:pPr>
            <w:r>
              <w:rPr>
                <w:rFonts w:ascii="Calibri" w:hAnsi="Calibri"/>
                <w:sz w:val="17"/>
              </w:rPr>
              <w:t>--</w:t>
            </w:r>
          </w:p>
        </w:tc>
        <w:tc>
          <w:tcPr>
            <w:tcW w:type="dxa" w:w="864"/>
            <w:tcMar>
              <w:top w:w="70" w:type="dxa"/>
              <w:bottom w:w="70" w:type="dxa"/>
              <w:left w:w="100" w:type="dxa"/>
              <w:right w:w="100" w:type="dxa"/>
            </w:tcMar>
            <w:vAlign w:val="center"/>
          </w:tcPr>
          <w:p>
            <w:pPr>
              <w:jc w:val="right"/>
            </w:pPr>
            <w:r>
              <w:rPr>
                <w:rFonts w:ascii="Calibri" w:hAnsi="Calibri"/>
                <w:sz w:val="17"/>
              </w:rPr>
              <w:t>1.5%</w:t>
            </w:r>
          </w:p>
        </w:tc>
        <w:tc>
          <w:tcPr>
            <w:tcW w:type="dxa" w:w="864"/>
            <w:tcMar>
              <w:top w:w="70" w:type="dxa"/>
              <w:bottom w:w="70" w:type="dxa"/>
              <w:left w:w="100" w:type="dxa"/>
              <w:right w:w="100" w:type="dxa"/>
            </w:tcMar>
            <w:vAlign w:val="center"/>
          </w:tcPr>
          <w:p>
            <w:pPr>
              <w:jc w:val="right"/>
            </w:pPr>
            <w:r>
              <w:rPr>
                <w:rFonts w:ascii="Calibri" w:hAnsi="Calibri"/>
                <w:sz w:val="17"/>
              </w:rPr>
              <w:t>1.5%</w:t>
            </w:r>
          </w:p>
        </w:tc>
        <w:tc>
          <w:tcPr>
            <w:tcW w:type="dxa" w:w="864"/>
            <w:tcMar>
              <w:top w:w="70" w:type="dxa"/>
              <w:bottom w:w="70" w:type="dxa"/>
              <w:left w:w="100" w:type="dxa"/>
              <w:right w:w="100" w:type="dxa"/>
            </w:tcMar>
            <w:vAlign w:val="center"/>
          </w:tcPr>
          <w:p>
            <w:pPr>
              <w:jc w:val="right"/>
            </w:pPr>
            <w:r>
              <w:rPr>
                <w:rFonts w:ascii="Calibri" w:hAnsi="Calibri"/>
                <w:sz w:val="17"/>
              </w:rPr>
              <w:t>0.0%</w:t>
            </w:r>
          </w:p>
        </w:tc>
        <w:tc>
          <w:tcPr>
            <w:tcW w:type="dxa" w:w="1008"/>
            <w:tcMar>
              <w:top w:w="70" w:type="dxa"/>
              <w:bottom w:w="70" w:type="dxa"/>
              <w:left w:w="100" w:type="dxa"/>
              <w:right w:w="100" w:type="dxa"/>
            </w:tcMar>
            <w:vAlign w:val="center"/>
          </w:tcPr>
          <w:p>
            <w:pPr>
              <w:jc w:val="right"/>
            </w:pPr>
            <w:r>
              <w:rPr>
                <w:rFonts w:ascii="Calibri" w:hAnsi="Calibri"/>
                <w:sz w:val="17"/>
              </w:rPr>
              <w:t>100.0%</w:t>
            </w:r>
          </w:p>
        </w:tc>
      </w:tr>
      <w:tr>
        <w:tc>
          <w:tcPr>
            <w:tcW w:type="dxa" w:w="720"/>
            <w:shd w:fill="F9FAFB"/>
            <w:tcMar>
              <w:top w:w="70" w:type="dxa"/>
              <w:bottom w:w="70" w:type="dxa"/>
              <w:left w:w="100" w:type="dxa"/>
              <w:right w:w="100" w:type="dxa"/>
            </w:tcMar>
            <w:vAlign w:val="center"/>
          </w:tcPr>
          <w:p>
            <w:pPr>
              <w:jc w:val="left"/>
            </w:pPr>
            <w:r>
              <w:rPr>
                <w:rFonts w:ascii="Calibri" w:hAnsi="Calibri"/>
                <w:sz w:val="17"/>
              </w:rPr>
              <w:t>A3</w:t>
            </w:r>
          </w:p>
        </w:tc>
        <w:tc>
          <w:tcPr>
            <w:tcW w:type="dxa" w:w="2592"/>
            <w:shd w:fill="F9FAFB"/>
            <w:tcMar>
              <w:top w:w="70" w:type="dxa"/>
              <w:bottom w:w="70" w:type="dxa"/>
              <w:left w:w="100" w:type="dxa"/>
              <w:right w:w="100" w:type="dxa"/>
            </w:tcMar>
            <w:vAlign w:val="center"/>
          </w:tcPr>
          <w:p>
            <w:pPr>
              <w:jc w:val="left"/>
            </w:pPr>
            <w:r>
              <w:rPr>
                <w:rFonts w:ascii="Calibri" w:hAnsi="Calibri"/>
                <w:sz w:val="17"/>
              </w:rPr>
              <w:t>Tier 3 Verifier Only</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720"/>
            <w:shd w:fill="F9FAFB"/>
            <w:tcMar>
              <w:top w:w="70" w:type="dxa"/>
              <w:bottom w:w="70" w:type="dxa"/>
              <w:left w:w="100" w:type="dxa"/>
              <w:right w:w="100" w:type="dxa"/>
            </w:tcMar>
            <w:vAlign w:val="center"/>
          </w:tcPr>
          <w:p>
            <w:pPr>
              <w:jc w:val="left"/>
            </w:pPr>
            <w:r>
              <w:rPr>
                <w:rFonts w:ascii="Calibri" w:hAnsi="Calibri"/>
                <w:sz w:val="17"/>
              </w:rPr>
              <w:t>--</w:t>
            </w:r>
          </w:p>
        </w:tc>
        <w:tc>
          <w:tcPr>
            <w:tcW w:type="dxa" w:w="864"/>
            <w:shd w:fill="F9FAFB"/>
            <w:tcMar>
              <w:top w:w="70" w:type="dxa"/>
              <w:bottom w:w="70" w:type="dxa"/>
              <w:left w:w="100" w:type="dxa"/>
              <w:right w:w="100" w:type="dxa"/>
            </w:tcMar>
            <w:vAlign w:val="center"/>
          </w:tcPr>
          <w:p>
            <w:pPr>
              <w:jc w:val="right"/>
            </w:pPr>
            <w:r>
              <w:rPr>
                <w:rFonts w:ascii="Calibri" w:hAnsi="Calibri"/>
                <w:sz w:val="17"/>
              </w:rPr>
              <w:t>45.0%</w:t>
            </w:r>
          </w:p>
        </w:tc>
        <w:tc>
          <w:tcPr>
            <w:tcW w:type="dxa" w:w="864"/>
            <w:shd w:fill="F9FAFB"/>
            <w:tcMar>
              <w:top w:w="70" w:type="dxa"/>
              <w:bottom w:w="70" w:type="dxa"/>
              <w:left w:w="100" w:type="dxa"/>
              <w:right w:w="100" w:type="dxa"/>
            </w:tcMar>
            <w:vAlign w:val="center"/>
          </w:tcPr>
          <w:p>
            <w:pPr>
              <w:jc w:val="right"/>
            </w:pPr>
            <w:r>
              <w:rPr>
                <w:rFonts w:ascii="Calibri" w:hAnsi="Calibri"/>
                <w:sz w:val="17"/>
              </w:rPr>
              <w:t>0.0%</w:t>
            </w:r>
          </w:p>
        </w:tc>
        <w:tc>
          <w:tcPr>
            <w:tcW w:type="dxa" w:w="864"/>
            <w:shd w:fill="F9FAFB"/>
            <w:tcMar>
              <w:top w:w="70" w:type="dxa"/>
              <w:bottom w:w="70" w:type="dxa"/>
              <w:left w:w="100" w:type="dxa"/>
              <w:right w:w="100" w:type="dxa"/>
            </w:tcMar>
            <w:vAlign w:val="center"/>
          </w:tcPr>
          <w:p>
            <w:pPr>
              <w:jc w:val="right"/>
            </w:pPr>
            <w:r>
              <w:rPr>
                <w:rFonts w:ascii="Calibri" w:hAnsi="Calibri"/>
                <w:sz w:val="17"/>
              </w:rPr>
              <w:t>100.0%</w:t>
            </w:r>
          </w:p>
        </w:tc>
        <w:tc>
          <w:tcPr>
            <w:tcW w:type="dxa" w:w="1008"/>
            <w:shd w:fill="F9FAFB"/>
            <w:tcMar>
              <w:top w:w="70" w:type="dxa"/>
              <w:bottom w:w="70" w:type="dxa"/>
              <w:left w:w="100" w:type="dxa"/>
              <w:right w:w="100" w:type="dxa"/>
            </w:tcMar>
            <w:vAlign w:val="center"/>
          </w:tcPr>
          <w:p>
            <w:pPr>
              <w:jc w:val="right"/>
            </w:pPr>
            <w:r>
              <w:rPr>
                <w:rFonts w:ascii="Calibri" w:hAnsi="Calibri"/>
                <w:sz w:val="17"/>
              </w:rPr>
              <w:t>0.0%</w:t>
            </w:r>
          </w:p>
        </w:tc>
      </w:tr>
      <w:tr>
        <w:tc>
          <w:tcPr>
            <w:tcW w:type="dxa" w:w="720"/>
            <w:tcMar>
              <w:top w:w="70" w:type="dxa"/>
              <w:bottom w:w="70" w:type="dxa"/>
              <w:left w:w="100" w:type="dxa"/>
              <w:right w:w="100" w:type="dxa"/>
            </w:tcMar>
            <w:vAlign w:val="center"/>
          </w:tcPr>
          <w:p>
            <w:pPr>
              <w:jc w:val="left"/>
            </w:pPr>
            <w:r>
              <w:rPr>
                <w:rFonts w:ascii="Calibri" w:hAnsi="Calibri"/>
                <w:sz w:val="17"/>
              </w:rPr>
              <w:t>A4</w:t>
            </w:r>
          </w:p>
        </w:tc>
        <w:tc>
          <w:tcPr>
            <w:tcW w:type="dxa" w:w="2592"/>
            <w:tcMar>
              <w:top w:w="70" w:type="dxa"/>
              <w:bottom w:w="70" w:type="dxa"/>
              <w:left w:w="100" w:type="dxa"/>
              <w:right w:w="100" w:type="dxa"/>
            </w:tcMar>
            <w:vAlign w:val="center"/>
          </w:tcPr>
          <w:p>
            <w:pPr>
              <w:jc w:val="left"/>
            </w:pPr>
            <w:r>
              <w:rPr>
                <w:rFonts w:ascii="Calibri" w:hAnsi="Calibri"/>
                <w:sz w:val="17"/>
              </w:rPr>
              <w:t>T1 + T2 (Kernel + Prov.)</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720"/>
            <w:tcMar>
              <w:top w:w="70" w:type="dxa"/>
              <w:bottom w:w="70" w:type="dxa"/>
              <w:left w:w="100" w:type="dxa"/>
              <w:right w:w="100" w:type="dxa"/>
            </w:tcMar>
            <w:vAlign w:val="center"/>
          </w:tcPr>
          <w:p>
            <w:pPr>
              <w:jc w:val="left"/>
            </w:pPr>
            <w:r>
              <w:rPr>
                <w:rFonts w:ascii="Calibri" w:hAnsi="Calibri"/>
                <w:sz w:val="17"/>
              </w:rPr>
              <w:t>--</w:t>
            </w:r>
          </w:p>
        </w:tc>
        <w:tc>
          <w:tcPr>
            <w:tcW w:type="dxa" w:w="864"/>
            <w:tcMar>
              <w:top w:w="70" w:type="dxa"/>
              <w:bottom w:w="70" w:type="dxa"/>
              <w:left w:w="100" w:type="dxa"/>
              <w:right w:w="100" w:type="dxa"/>
            </w:tcMar>
            <w:vAlign w:val="center"/>
          </w:tcPr>
          <w:p>
            <w:pPr>
              <w:jc w:val="right"/>
            </w:pPr>
            <w:r>
              <w:rPr>
                <w:rFonts w:ascii="Calibri" w:hAnsi="Calibri"/>
                <w:sz w:val="17"/>
              </w:rPr>
              <w:t>1.5%</w:t>
            </w:r>
          </w:p>
        </w:tc>
        <w:tc>
          <w:tcPr>
            <w:tcW w:type="dxa" w:w="864"/>
            <w:tcMar>
              <w:top w:w="70" w:type="dxa"/>
              <w:bottom w:w="70" w:type="dxa"/>
              <w:left w:w="100" w:type="dxa"/>
              <w:right w:w="100" w:type="dxa"/>
            </w:tcMar>
            <w:vAlign w:val="center"/>
          </w:tcPr>
          <w:p>
            <w:pPr>
              <w:jc w:val="right"/>
            </w:pPr>
            <w:r>
              <w:rPr>
                <w:rFonts w:ascii="Calibri" w:hAnsi="Calibri"/>
                <w:sz w:val="17"/>
              </w:rPr>
              <w:t>0.0%</w:t>
            </w:r>
          </w:p>
        </w:tc>
        <w:tc>
          <w:tcPr>
            <w:tcW w:type="dxa" w:w="864"/>
            <w:tcMar>
              <w:top w:w="70" w:type="dxa"/>
              <w:bottom w:w="70" w:type="dxa"/>
              <w:left w:w="100" w:type="dxa"/>
              <w:right w:w="100" w:type="dxa"/>
            </w:tcMar>
            <w:vAlign w:val="center"/>
          </w:tcPr>
          <w:p>
            <w:pPr>
              <w:jc w:val="right"/>
            </w:pPr>
            <w:r>
              <w:rPr>
                <w:rFonts w:ascii="Calibri" w:hAnsi="Calibri"/>
                <w:sz w:val="17"/>
              </w:rPr>
              <w:t>100.0%</w:t>
            </w:r>
          </w:p>
        </w:tc>
        <w:tc>
          <w:tcPr>
            <w:tcW w:type="dxa" w:w="1008"/>
            <w:tcMar>
              <w:top w:w="70" w:type="dxa"/>
              <w:bottom w:w="70" w:type="dxa"/>
              <w:left w:w="100" w:type="dxa"/>
              <w:right w:w="100" w:type="dxa"/>
            </w:tcMar>
            <w:vAlign w:val="center"/>
          </w:tcPr>
          <w:p>
            <w:pPr>
              <w:jc w:val="right"/>
            </w:pPr>
            <w:r>
              <w:rPr>
                <w:rFonts w:ascii="Calibri" w:hAnsi="Calibri"/>
                <w:sz w:val="17"/>
              </w:rPr>
              <w:t>100.0%</w:t>
            </w:r>
          </w:p>
        </w:tc>
      </w:tr>
      <w:tr>
        <w:tc>
          <w:tcPr>
            <w:tcW w:type="dxa" w:w="720"/>
            <w:shd w:fill="F9FAFB"/>
            <w:tcMar>
              <w:top w:w="70" w:type="dxa"/>
              <w:bottom w:w="70" w:type="dxa"/>
              <w:left w:w="100" w:type="dxa"/>
              <w:right w:w="100" w:type="dxa"/>
            </w:tcMar>
            <w:vAlign w:val="center"/>
          </w:tcPr>
          <w:p>
            <w:pPr>
              <w:jc w:val="left"/>
            </w:pPr>
            <w:r>
              <w:rPr>
                <w:rFonts w:ascii="Calibri" w:hAnsi="Calibri"/>
                <w:sz w:val="17"/>
              </w:rPr>
              <w:t>A5</w:t>
            </w:r>
          </w:p>
        </w:tc>
        <w:tc>
          <w:tcPr>
            <w:tcW w:type="dxa" w:w="2592"/>
            <w:shd w:fill="F9FAFB"/>
            <w:tcMar>
              <w:top w:w="70" w:type="dxa"/>
              <w:bottom w:w="70" w:type="dxa"/>
              <w:left w:w="100" w:type="dxa"/>
              <w:right w:w="100" w:type="dxa"/>
            </w:tcMar>
            <w:vAlign w:val="center"/>
          </w:tcPr>
          <w:p>
            <w:pPr>
              <w:jc w:val="left"/>
            </w:pPr>
            <w:r>
              <w:rPr>
                <w:rFonts w:ascii="Calibri" w:hAnsi="Calibri"/>
                <w:sz w:val="17"/>
              </w:rPr>
              <w:t>T1 + T3 (Kernel + Verifier)</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576"/>
            <w:shd w:fill="F9FAFB"/>
            <w:tcMar>
              <w:top w:w="70" w:type="dxa"/>
              <w:bottom w:w="70" w:type="dxa"/>
              <w:left w:w="100" w:type="dxa"/>
              <w:right w:w="100" w:type="dxa"/>
            </w:tcMar>
            <w:vAlign w:val="center"/>
          </w:tcPr>
          <w:p>
            <w:pPr>
              <w:jc w:val="left"/>
            </w:pPr>
            <w:r>
              <w:rPr>
                <w:rFonts w:ascii="Calibri" w:hAnsi="Calibri"/>
                <w:sz w:val="17"/>
              </w:rPr>
              <w:t>✓</w:t>
            </w:r>
          </w:p>
        </w:tc>
        <w:tc>
          <w:tcPr>
            <w:tcW w:type="dxa" w:w="720"/>
            <w:shd w:fill="F9FAFB"/>
            <w:tcMar>
              <w:top w:w="70" w:type="dxa"/>
              <w:bottom w:w="70" w:type="dxa"/>
              <w:left w:w="100" w:type="dxa"/>
              <w:right w:w="100" w:type="dxa"/>
            </w:tcMar>
            <w:vAlign w:val="center"/>
          </w:tcPr>
          <w:p>
            <w:pPr>
              <w:jc w:val="left"/>
            </w:pPr>
            <w:r>
              <w:rPr>
                <w:rFonts w:ascii="Calibri" w:hAnsi="Calibri"/>
                <w:sz w:val="17"/>
              </w:rPr>
              <w:t>--</w:t>
            </w:r>
          </w:p>
        </w:tc>
        <w:tc>
          <w:tcPr>
            <w:tcW w:type="dxa" w:w="864"/>
            <w:shd w:fill="F9FAFB"/>
            <w:tcMar>
              <w:top w:w="70" w:type="dxa"/>
              <w:bottom w:w="70" w:type="dxa"/>
              <w:left w:w="100" w:type="dxa"/>
              <w:right w:w="100" w:type="dxa"/>
            </w:tcMar>
            <w:vAlign w:val="center"/>
          </w:tcPr>
          <w:p>
            <w:pPr>
              <w:jc w:val="right"/>
            </w:pPr>
            <w:r>
              <w:rPr>
                <w:rFonts w:ascii="Calibri" w:hAnsi="Calibri"/>
                <w:sz w:val="17"/>
              </w:rPr>
              <w:t>45.0%</w:t>
            </w:r>
          </w:p>
        </w:tc>
        <w:tc>
          <w:tcPr>
            <w:tcW w:type="dxa" w:w="864"/>
            <w:shd w:fill="F9FAFB"/>
            <w:tcMar>
              <w:top w:w="70" w:type="dxa"/>
              <w:bottom w:w="70" w:type="dxa"/>
              <w:left w:w="100" w:type="dxa"/>
              <w:right w:w="100" w:type="dxa"/>
            </w:tcMar>
            <w:vAlign w:val="center"/>
          </w:tcPr>
          <w:p>
            <w:pPr>
              <w:jc w:val="right"/>
            </w:pPr>
            <w:r>
              <w:rPr>
                <w:rFonts w:ascii="Calibri" w:hAnsi="Calibri"/>
                <w:sz w:val="17"/>
              </w:rPr>
              <w:t>0.0%</w:t>
            </w:r>
          </w:p>
        </w:tc>
        <w:tc>
          <w:tcPr>
            <w:tcW w:type="dxa" w:w="864"/>
            <w:shd w:fill="F9FAFB"/>
            <w:tcMar>
              <w:top w:w="70" w:type="dxa"/>
              <w:bottom w:w="70" w:type="dxa"/>
              <w:left w:w="100" w:type="dxa"/>
              <w:right w:w="100" w:type="dxa"/>
            </w:tcMar>
            <w:vAlign w:val="center"/>
          </w:tcPr>
          <w:p>
            <w:pPr>
              <w:jc w:val="right"/>
            </w:pPr>
            <w:r>
              <w:rPr>
                <w:rFonts w:ascii="Calibri" w:hAnsi="Calibri"/>
                <w:sz w:val="17"/>
              </w:rPr>
              <w:t>100.0%</w:t>
            </w:r>
          </w:p>
        </w:tc>
        <w:tc>
          <w:tcPr>
            <w:tcW w:type="dxa" w:w="1008"/>
            <w:shd w:fill="F9FAFB"/>
            <w:tcMar>
              <w:top w:w="70" w:type="dxa"/>
              <w:bottom w:w="70" w:type="dxa"/>
              <w:left w:w="100" w:type="dxa"/>
              <w:right w:w="100" w:type="dxa"/>
            </w:tcMar>
            <w:vAlign w:val="center"/>
          </w:tcPr>
          <w:p>
            <w:pPr>
              <w:jc w:val="right"/>
            </w:pPr>
            <w:r>
              <w:rPr>
                <w:rFonts w:ascii="Calibri" w:hAnsi="Calibri"/>
                <w:sz w:val="17"/>
              </w:rPr>
              <w:t>100.0%</w:t>
            </w:r>
          </w:p>
        </w:tc>
      </w:tr>
      <w:tr>
        <w:tc>
          <w:tcPr>
            <w:tcW w:type="dxa" w:w="720"/>
            <w:tcMar>
              <w:top w:w="70" w:type="dxa"/>
              <w:bottom w:w="70" w:type="dxa"/>
              <w:left w:w="100" w:type="dxa"/>
              <w:right w:w="100" w:type="dxa"/>
            </w:tcMar>
            <w:vAlign w:val="center"/>
          </w:tcPr>
          <w:p>
            <w:pPr>
              <w:jc w:val="left"/>
            </w:pPr>
            <w:r>
              <w:rPr>
                <w:rFonts w:ascii="Calibri" w:hAnsi="Calibri"/>
                <w:sz w:val="17"/>
              </w:rPr>
              <w:t>A6</w:t>
            </w:r>
          </w:p>
        </w:tc>
        <w:tc>
          <w:tcPr>
            <w:tcW w:type="dxa" w:w="2592"/>
            <w:tcMar>
              <w:top w:w="70" w:type="dxa"/>
              <w:bottom w:w="70" w:type="dxa"/>
              <w:left w:w="100" w:type="dxa"/>
              <w:right w:w="100" w:type="dxa"/>
            </w:tcMar>
            <w:vAlign w:val="center"/>
          </w:tcPr>
          <w:p>
            <w:pPr>
              <w:jc w:val="left"/>
            </w:pPr>
            <w:r>
              <w:rPr>
                <w:rFonts w:ascii="Calibri" w:hAnsi="Calibri"/>
                <w:sz w:val="17"/>
              </w:rPr>
              <w:t>T2 + T3 (Prov. + Verifier)</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720"/>
            <w:tcMar>
              <w:top w:w="70" w:type="dxa"/>
              <w:bottom w:w="70" w:type="dxa"/>
              <w:left w:w="100" w:type="dxa"/>
              <w:right w:w="100" w:type="dxa"/>
            </w:tcMar>
            <w:vAlign w:val="center"/>
          </w:tcPr>
          <w:p>
            <w:pPr>
              <w:jc w:val="left"/>
            </w:pPr>
            <w:r>
              <w:rPr>
                <w:rFonts w:ascii="Calibri" w:hAnsi="Calibri"/>
                <w:sz w:val="17"/>
              </w:rPr>
              <w:t>--</w:t>
            </w:r>
          </w:p>
        </w:tc>
        <w:tc>
          <w:tcPr>
            <w:tcW w:type="dxa" w:w="864"/>
            <w:tcMar>
              <w:top w:w="70" w:type="dxa"/>
              <w:bottom w:w="70" w:type="dxa"/>
              <w:left w:w="100" w:type="dxa"/>
              <w:right w:w="100" w:type="dxa"/>
            </w:tcMar>
            <w:vAlign w:val="center"/>
          </w:tcPr>
          <w:p>
            <w:pPr>
              <w:jc w:val="right"/>
            </w:pPr>
            <w:r>
              <w:rPr>
                <w:rFonts w:ascii="Calibri" w:hAnsi="Calibri"/>
                <w:sz w:val="17"/>
              </w:rPr>
              <w:t>1.5%</w:t>
            </w:r>
          </w:p>
        </w:tc>
        <w:tc>
          <w:tcPr>
            <w:tcW w:type="dxa" w:w="864"/>
            <w:tcMar>
              <w:top w:w="70" w:type="dxa"/>
              <w:bottom w:w="70" w:type="dxa"/>
              <w:left w:w="100" w:type="dxa"/>
              <w:right w:w="100" w:type="dxa"/>
            </w:tcMar>
            <w:vAlign w:val="center"/>
          </w:tcPr>
          <w:p>
            <w:pPr>
              <w:jc w:val="right"/>
            </w:pPr>
            <w:r>
              <w:rPr>
                <w:rFonts w:ascii="Calibri" w:hAnsi="Calibri"/>
                <w:sz w:val="17"/>
              </w:rPr>
              <w:t>0.0%</w:t>
            </w:r>
          </w:p>
        </w:tc>
        <w:tc>
          <w:tcPr>
            <w:tcW w:type="dxa" w:w="864"/>
            <w:tcMar>
              <w:top w:w="70" w:type="dxa"/>
              <w:bottom w:w="70" w:type="dxa"/>
              <w:left w:w="100" w:type="dxa"/>
              <w:right w:w="100" w:type="dxa"/>
            </w:tcMar>
            <w:vAlign w:val="center"/>
          </w:tcPr>
          <w:p>
            <w:pPr>
              <w:jc w:val="right"/>
            </w:pPr>
            <w:r>
              <w:rPr>
                <w:rFonts w:ascii="Calibri" w:hAnsi="Calibri"/>
                <w:sz w:val="17"/>
              </w:rPr>
              <w:t>100.0%</w:t>
            </w:r>
          </w:p>
        </w:tc>
        <w:tc>
          <w:tcPr>
            <w:tcW w:type="dxa" w:w="1008"/>
            <w:tcMar>
              <w:top w:w="70" w:type="dxa"/>
              <w:bottom w:w="70" w:type="dxa"/>
              <w:left w:w="100" w:type="dxa"/>
              <w:right w:w="100" w:type="dxa"/>
            </w:tcMar>
            <w:vAlign w:val="center"/>
          </w:tcPr>
          <w:p>
            <w:pPr>
              <w:jc w:val="right"/>
            </w:pPr>
            <w:r>
              <w:rPr>
                <w:rFonts w:ascii="Calibri" w:hAnsi="Calibri"/>
                <w:sz w:val="17"/>
              </w:rPr>
              <w:t>0.0%</w:t>
            </w:r>
          </w:p>
        </w:tc>
      </w:tr>
      <w:tr>
        <w:tc>
          <w:tcPr>
            <w:tcW w:type="dxa" w:w="720"/>
            <w:shd w:fill="EBF3FB"/>
            <w:tcMar>
              <w:top w:w="70" w:type="dxa"/>
              <w:bottom w:w="70" w:type="dxa"/>
              <w:left w:w="100" w:type="dxa"/>
              <w:right w:w="100" w:type="dxa"/>
            </w:tcMar>
            <w:vAlign w:val="center"/>
          </w:tcPr>
          <w:p>
            <w:pPr>
              <w:jc w:val="left"/>
            </w:pPr>
            <w:r>
              <w:rPr>
                <w:rFonts w:ascii="Calibri" w:hAnsi="Calibri"/>
                <w:b/>
                <w:sz w:val="17"/>
              </w:rPr>
              <w:t>A7</w:t>
            </w:r>
          </w:p>
        </w:tc>
        <w:tc>
          <w:tcPr>
            <w:tcW w:type="dxa" w:w="2592"/>
            <w:shd w:fill="EBF3FB"/>
            <w:tcMar>
              <w:top w:w="70" w:type="dxa"/>
              <w:bottom w:w="70" w:type="dxa"/>
              <w:left w:w="100" w:type="dxa"/>
              <w:right w:w="100" w:type="dxa"/>
            </w:tcMar>
            <w:vAlign w:val="center"/>
          </w:tcPr>
          <w:p>
            <w:pPr>
              <w:jc w:val="left"/>
            </w:pPr>
            <w:r>
              <w:rPr>
                <w:rFonts w:ascii="Calibri" w:hAnsi="Calibri"/>
                <w:sz w:val="17"/>
              </w:rPr>
              <w:t>Full TriGuard v2 (All Tiers)</w:t>
            </w:r>
          </w:p>
        </w:tc>
        <w:tc>
          <w:tcPr>
            <w:tcW w:type="dxa" w:w="576"/>
            <w:shd w:fill="EBF3FB"/>
            <w:tcMar>
              <w:top w:w="70" w:type="dxa"/>
              <w:bottom w:w="70" w:type="dxa"/>
              <w:left w:w="100" w:type="dxa"/>
              <w:right w:w="100" w:type="dxa"/>
            </w:tcMar>
            <w:vAlign w:val="center"/>
          </w:tcPr>
          <w:p>
            <w:pPr>
              <w:jc w:val="left"/>
            </w:pPr>
            <w:r>
              <w:rPr>
                <w:rFonts w:ascii="Calibri" w:hAnsi="Calibri"/>
                <w:sz w:val="17"/>
              </w:rPr>
              <w:t>✓</w:t>
            </w:r>
          </w:p>
        </w:tc>
        <w:tc>
          <w:tcPr>
            <w:tcW w:type="dxa" w:w="576"/>
            <w:shd w:fill="EBF3FB"/>
            <w:tcMar>
              <w:top w:w="70" w:type="dxa"/>
              <w:bottom w:w="70" w:type="dxa"/>
              <w:left w:w="100" w:type="dxa"/>
              <w:right w:w="100" w:type="dxa"/>
            </w:tcMar>
            <w:vAlign w:val="center"/>
          </w:tcPr>
          <w:p>
            <w:pPr>
              <w:jc w:val="left"/>
            </w:pPr>
            <w:r>
              <w:rPr>
                <w:rFonts w:ascii="Calibri" w:hAnsi="Calibri"/>
                <w:sz w:val="17"/>
              </w:rPr>
              <w:t>✓</w:t>
            </w:r>
          </w:p>
        </w:tc>
        <w:tc>
          <w:tcPr>
            <w:tcW w:type="dxa" w:w="576"/>
            <w:shd w:fill="EBF3FB"/>
            <w:tcMar>
              <w:top w:w="70" w:type="dxa"/>
              <w:bottom w:w="70" w:type="dxa"/>
              <w:left w:w="100" w:type="dxa"/>
              <w:right w:w="100" w:type="dxa"/>
            </w:tcMar>
            <w:vAlign w:val="center"/>
          </w:tcPr>
          <w:p>
            <w:pPr>
              <w:jc w:val="left"/>
            </w:pPr>
            <w:r>
              <w:rPr>
                <w:rFonts w:ascii="Calibri" w:hAnsi="Calibri"/>
                <w:sz w:val="17"/>
              </w:rPr>
              <w:t>✓</w:t>
            </w:r>
          </w:p>
        </w:tc>
        <w:tc>
          <w:tcPr>
            <w:tcW w:type="dxa" w:w="720"/>
            <w:shd w:fill="EBF3FB"/>
            <w:tcMar>
              <w:top w:w="70" w:type="dxa"/>
              <w:bottom w:w="70" w:type="dxa"/>
              <w:left w:w="100" w:type="dxa"/>
              <w:right w:w="100" w:type="dxa"/>
            </w:tcMar>
            <w:vAlign w:val="center"/>
          </w:tcPr>
          <w:p>
            <w:pPr>
              <w:jc w:val="left"/>
            </w:pPr>
            <w:r>
              <w:rPr>
                <w:rFonts w:ascii="Calibri" w:hAnsi="Calibri"/>
                <w:sz w:val="17"/>
              </w:rPr>
              <w:t>✓</w:t>
            </w:r>
          </w:p>
        </w:tc>
        <w:tc>
          <w:tcPr>
            <w:tcW w:type="dxa" w:w="864"/>
            <w:shd w:fill="EBF3FB"/>
            <w:tcMar>
              <w:top w:w="70" w:type="dxa"/>
              <w:bottom w:w="70" w:type="dxa"/>
              <w:left w:w="100" w:type="dxa"/>
              <w:right w:w="100" w:type="dxa"/>
            </w:tcMar>
            <w:vAlign w:val="center"/>
          </w:tcPr>
          <w:p>
            <w:pPr>
              <w:jc w:val="right"/>
            </w:pPr>
            <w:r>
              <w:rPr>
                <w:rFonts w:ascii="Calibri" w:hAnsi="Calibri"/>
                <w:sz w:val="17"/>
              </w:rPr>
              <w:t>1.5%</w:t>
            </w:r>
          </w:p>
        </w:tc>
        <w:tc>
          <w:tcPr>
            <w:tcW w:type="dxa" w:w="864"/>
            <w:shd w:fill="EBF3FB"/>
            <w:tcMar>
              <w:top w:w="70" w:type="dxa"/>
              <w:bottom w:w="70" w:type="dxa"/>
              <w:left w:w="100" w:type="dxa"/>
              <w:right w:w="100" w:type="dxa"/>
            </w:tcMar>
            <w:vAlign w:val="center"/>
          </w:tcPr>
          <w:p>
            <w:pPr>
              <w:jc w:val="right"/>
            </w:pPr>
            <w:r>
              <w:rPr>
                <w:rFonts w:ascii="Calibri" w:hAnsi="Calibri"/>
                <w:sz w:val="17"/>
              </w:rPr>
              <w:t>0.0%</w:t>
            </w:r>
          </w:p>
        </w:tc>
        <w:tc>
          <w:tcPr>
            <w:tcW w:type="dxa" w:w="864"/>
            <w:shd w:fill="EBF3FB"/>
            <w:tcMar>
              <w:top w:w="70" w:type="dxa"/>
              <w:bottom w:w="70" w:type="dxa"/>
              <w:left w:w="100" w:type="dxa"/>
              <w:right w:w="100" w:type="dxa"/>
            </w:tcMar>
            <w:vAlign w:val="center"/>
          </w:tcPr>
          <w:p>
            <w:pPr>
              <w:jc w:val="right"/>
            </w:pPr>
            <w:r>
              <w:rPr>
                <w:rFonts w:ascii="Calibri" w:hAnsi="Calibri"/>
                <w:sz w:val="17"/>
              </w:rPr>
              <w:t>100.0%</w:t>
            </w:r>
          </w:p>
        </w:tc>
        <w:tc>
          <w:tcPr>
            <w:tcW w:type="dxa" w:w="1008"/>
            <w:shd w:fill="EBF3FB"/>
            <w:tcMar>
              <w:top w:w="70" w:type="dxa"/>
              <w:bottom w:w="70" w:type="dxa"/>
              <w:left w:w="100" w:type="dxa"/>
              <w:right w:w="100" w:type="dxa"/>
            </w:tcMar>
            <w:vAlign w:val="center"/>
          </w:tcPr>
          <w:p>
            <w:pPr>
              <w:jc w:val="right"/>
            </w:pPr>
            <w:r>
              <w:rPr>
                <w:rFonts w:ascii="Calibri" w:hAnsi="Calibri"/>
                <w:sz w:val="17"/>
              </w:rPr>
              <w:t>100.0%</w:t>
            </w:r>
          </w:p>
        </w:tc>
      </w:tr>
      <w:tr>
        <w:tc>
          <w:tcPr>
            <w:tcW w:type="dxa" w:w="720"/>
            <w:tcMar>
              <w:top w:w="70" w:type="dxa"/>
              <w:bottom w:w="70" w:type="dxa"/>
              <w:left w:w="100" w:type="dxa"/>
              <w:right w:w="100" w:type="dxa"/>
            </w:tcMar>
            <w:vAlign w:val="center"/>
          </w:tcPr>
          <w:p>
            <w:pPr>
              <w:jc w:val="left"/>
            </w:pPr>
            <w:r>
              <w:rPr>
                <w:rFonts w:ascii="Calibri" w:hAnsi="Calibri"/>
                <w:sz w:val="17"/>
              </w:rPr>
              <w:t>A8</w:t>
            </w:r>
          </w:p>
        </w:tc>
        <w:tc>
          <w:tcPr>
            <w:tcW w:type="dxa" w:w="2592"/>
            <w:tcMar>
              <w:top w:w="70" w:type="dxa"/>
              <w:bottom w:w="70" w:type="dxa"/>
              <w:left w:w="100" w:type="dxa"/>
              <w:right w:w="100" w:type="dxa"/>
            </w:tcMar>
            <w:vAlign w:val="center"/>
          </w:tcPr>
          <w:p>
            <w:pPr>
              <w:jc w:val="left"/>
            </w:pPr>
            <w:r>
              <w:rPr>
                <w:rFonts w:ascii="Calibri" w:hAnsi="Calibri"/>
                <w:sz w:val="17"/>
              </w:rPr>
              <w:t>Strict (Fail-Closed, No Clar.)</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576"/>
            <w:tcMar>
              <w:top w:w="70" w:type="dxa"/>
              <w:bottom w:w="70" w:type="dxa"/>
              <w:left w:w="100" w:type="dxa"/>
              <w:right w:w="100" w:type="dxa"/>
            </w:tcMar>
            <w:vAlign w:val="center"/>
          </w:tcPr>
          <w:p>
            <w:pPr>
              <w:jc w:val="left"/>
            </w:pPr>
            <w:r>
              <w:rPr>
                <w:rFonts w:ascii="Calibri" w:hAnsi="Calibri"/>
                <w:sz w:val="17"/>
              </w:rPr>
              <w:t>✓</w:t>
            </w:r>
          </w:p>
        </w:tc>
        <w:tc>
          <w:tcPr>
            <w:tcW w:type="dxa" w:w="720"/>
            <w:tcMar>
              <w:top w:w="70" w:type="dxa"/>
              <w:bottom w:w="70" w:type="dxa"/>
              <w:left w:w="100" w:type="dxa"/>
              <w:right w:w="100" w:type="dxa"/>
            </w:tcMar>
            <w:vAlign w:val="center"/>
          </w:tcPr>
          <w:p>
            <w:pPr>
              <w:jc w:val="left"/>
            </w:pPr>
            <w:r>
              <w:rPr>
                <w:rFonts w:ascii="Calibri" w:hAnsi="Calibri"/>
                <w:sz w:val="17"/>
              </w:rPr>
              <w:t>--</w:t>
            </w:r>
          </w:p>
        </w:tc>
        <w:tc>
          <w:tcPr>
            <w:tcW w:type="dxa" w:w="864"/>
            <w:tcMar>
              <w:top w:w="70" w:type="dxa"/>
              <w:bottom w:w="70" w:type="dxa"/>
              <w:left w:w="100" w:type="dxa"/>
              <w:right w:w="100" w:type="dxa"/>
            </w:tcMar>
            <w:vAlign w:val="center"/>
          </w:tcPr>
          <w:p>
            <w:pPr>
              <w:jc w:val="right"/>
            </w:pPr>
            <w:r>
              <w:rPr>
                <w:rFonts w:ascii="Calibri" w:hAnsi="Calibri"/>
                <w:sz w:val="17"/>
              </w:rPr>
              <w:t>1.5%</w:t>
            </w:r>
          </w:p>
        </w:tc>
        <w:tc>
          <w:tcPr>
            <w:tcW w:type="dxa" w:w="864"/>
            <w:tcMar>
              <w:top w:w="70" w:type="dxa"/>
              <w:bottom w:w="70" w:type="dxa"/>
              <w:left w:w="100" w:type="dxa"/>
              <w:right w:w="100" w:type="dxa"/>
            </w:tcMar>
            <w:vAlign w:val="center"/>
          </w:tcPr>
          <w:p>
            <w:pPr>
              <w:jc w:val="right"/>
            </w:pPr>
            <w:r>
              <w:rPr>
                <w:rFonts w:ascii="Calibri" w:hAnsi="Calibri"/>
                <w:sz w:val="17"/>
              </w:rPr>
              <w:t>0.0%</w:t>
            </w:r>
          </w:p>
        </w:tc>
        <w:tc>
          <w:tcPr>
            <w:tcW w:type="dxa" w:w="864"/>
            <w:tcMar>
              <w:top w:w="70" w:type="dxa"/>
              <w:bottom w:w="70" w:type="dxa"/>
              <w:left w:w="100" w:type="dxa"/>
              <w:right w:w="100" w:type="dxa"/>
            </w:tcMar>
            <w:vAlign w:val="center"/>
          </w:tcPr>
          <w:p>
            <w:pPr>
              <w:jc w:val="right"/>
            </w:pPr>
            <w:r>
              <w:rPr>
                <w:rFonts w:ascii="Calibri" w:hAnsi="Calibri"/>
                <w:sz w:val="17"/>
              </w:rPr>
              <w:t>100.0%</w:t>
            </w:r>
          </w:p>
        </w:tc>
        <w:tc>
          <w:tcPr>
            <w:tcW w:type="dxa" w:w="1008"/>
            <w:tcMar>
              <w:top w:w="70" w:type="dxa"/>
              <w:bottom w:w="70" w:type="dxa"/>
              <w:left w:w="100" w:type="dxa"/>
              <w:right w:w="100" w:type="dxa"/>
            </w:tcMar>
            <w:vAlign w:val="center"/>
          </w:tcPr>
          <w:p>
            <w:pPr>
              <w:jc w:val="right"/>
            </w:pPr>
            <w:r>
              <w:rPr>
                <w:rFonts w:ascii="Calibri" w:hAnsi="Calibri"/>
                <w:sz w:val="17"/>
              </w:rPr>
              <w:t>100.0%</w:t>
            </w:r>
          </w:p>
        </w:tc>
      </w:tr>
    </w:tbl>
    <w:p>
      <w:pPr>
        <w:spacing w:after="120"/>
      </w:pPr>
    </w:p>
    <w:p>
      <w:r>
        <w:t>Ablation Analysis &amp; Defense-in-Depth:</w:t>
        <w:br/>
        <w:t>• Headline Equivalence across Multi-Tier Configurations (A4, A5, A7, A8): In Table 2, configurations A4, A5, A7, and A8 all achieve 0.0% Executed ASR, 100.0% Block Rate, and 100.0% permission utility. This convergence occurs because either T1 (microkernel scoping) or T3 (verifier gating) alone is sufficient to intercept the model's attempts on InjecAgent. However, their internal protective mechanisms diverge fundamentally:</w:t>
        <w:br/>
        <w:t xml:space="preserve">  - A5 (T1+T3) lacks provenance isolation (T2), allowing 45.0% of attacks to trigger model hijack attempts that must all be intercepted downstream.</w:t>
        <w:br/>
        <w:t xml:space="preserve">  - A4 (T1+T2) suppresses attempts to 1.5% via Tier 2, but lacks the second-line invariant verifier (T3) to catch corrupted parameters on authorized tools.</w:t>
        <w:br/>
        <w:t xml:space="preserve">  - Only the integrated architecture (A7, A8) provides defense-in-depth: T2 suppresses model susceptibility by 96.7%, while T1 and T3 cryptographically guarantee zero execution for residual leakage.</w:t>
        <w:br/>
        <w:br/>
        <w:t>• Clarification Dynamics in Static vs. Dynamic Workflows (A7 vs. A8): In Table 2, both A7 (with Clarification) and A8 (strict fail-closed, no Clarification) report identical 0.0% Executed ASR and 100.0% permission utility. This parity occurs because standardized InjecAgent benchmark scenarios feature explicit, well-defined user requests, enabling Tier 1 to generate deterministic capability scopes without hitting the ambiguity threshold required for clarification. The empirical benefit of the Out-of-Band Clarification Manager is realized in dynamic, open-ended environments where user commands are partially specified. As formally demonstrated in our 4 invariant security unit tests (Section 5), ambiguous context triggers an out-of-band confirmation workflow rather than abrupt execution failure.</w:t>
      </w:r>
    </w:p>
    <w:p>
      <w:pPr>
        <w:pStyle w:val="Heading1"/>
      </w:pPr>
      <w:r>
        <w:t>5. Security Invariant Testing (39 Tests)</w:t>
      </w:r>
    </w:p>
    <w:p>
      <w:r>
        <w:t>All 39 deterministic unit and invariant tests pass in 11.6 seconds, covering parameter binding, HMAC signature forgery detection, anti-replay nonces, and side-effect isolation.</w:t>
      </w:r>
    </w:p>
    <w:p>
      <w:pPr>
        <w:pStyle w:val="Heading1"/>
      </w:pPr>
      <w:r>
        <w:t>6. Conclusion</w:t>
      </w:r>
    </w:p>
    <w:p>
      <w:r>
        <w:t>TriGuard v2 establishes a capability-enforced execution gateway for tool-augmented LLM agents. Evaluated across 1,054 InjecAgent episodes, TriGuard achieves 0.0% observed executed ASR while maintaining legitimate action authorization without context-erasure collapse.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