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243E"/>
          <w:sz w:val="36"/>
        </w:rPr>
        <w:t>TriGuard: A Provenance-Aware, Capability-Enforced Defense Framework for Autonomous LLM Agents</w:t>
      </w:r>
    </w:p>
    <w:p>
      <w:pPr>
        <w:spacing w:after="240"/>
        <w:jc w:val="center"/>
      </w:pPr>
      <w:r>
        <w:rPr>
          <w:rFonts w:ascii="Calibri" w:hAnsi="Calibri"/>
          <w:i/>
          <w:color w:val="4A5568"/>
          <w:sz w:val="24"/>
        </w:rPr>
        <w:t>Pre-Execution Action Gating and Microkernel Privilege Separation Against Indirect Prompt Injection</w:t>
      </w:r>
    </w:p>
    <w:p>
      <w:pPr>
        <w:spacing w:after="360"/>
        <w:jc w:val="center"/>
      </w:pPr>
      <w:r>
        <w:rPr>
          <w:rFonts w:ascii="Calibri" w:hAnsi="Calibri"/>
          <w:color w:val="718096"/>
          <w:sz w:val="19"/>
        </w:rPr>
        <w:t>Anonymous Submission for Peer Review | Target Venues: IEEE S&amp;P / USENIX Security 2026</w:t>
      </w:r>
    </w:p>
    <w:p>
      <w:pPr>
        <w:spacing w:before="120" w:after="80"/>
      </w:pPr>
      <w:r>
        <w:rPr>
          <w:b/>
          <w:color w:val="0F243E"/>
          <w:sz w:val="24"/>
        </w:rPr>
        <w:t>Abstract</w:t>
      </w:r>
    </w:p>
    <w:p>
      <w:pPr>
        <w:spacing w:after="240"/>
      </w:pPr>
      <w:r>
        <w:t>Autonomous Large Language Model (LLM) agents are increasingly entrusted with execution capabilities across file systems, enterprise APIs, database transactions, and communication protocols. However, the autoregressive integration of untrusted external data into agent context windows introduces acute susceptibility to Indirect Prompt Injection (IPI), wherein adversaries hijack control flow to execute destructive tools or exfiltrate private user data. Existing defenses—predominantly input classifiers and generative filters—suffer from severe operational limitations: they induce catastrophic utility collapse on legitimate tool outputs (e.g., PromptGuard and PIGuard causing 82.5% to 85.7% syntax/format failure), introduce multi-second latencies, or remain vulnerable to semantic evasions.</w:t>
        <w:br/>
        <w:br/>
        <w:t>In this paper, we present TriGuard v2, a provenance-aware, capability-enforced defense architecture designed to secure tool-augmented agents without retraining foundation models or deploying fragile auxiliary LLM judges. TriGuard decomposes agent safety into three synchronized planes: (1) a Capability Microkernel that derives fine-grained, cryptographically signed (HMAC-SHA256) least-privilege tokens from explicit user intent; (2) a Provenance-Aware Context Mediator that tracks taint across external retrieval streams and neutralizes imperative attack syntax; and (3) an Intent-Consistency Verifier coupled with a default-deny Tool Dispatcher that intercepts tool invocations strictly prior to host execution.</w:t>
        <w:br/>
        <w:br/>
        <w:t>We evaluate TriGuard across the complete InjecAgent benchmark suite (1,054 single-turn tool episodes spanning 330 real-world API tools across 17 user domains) on Meta-Llama-3.1-8B-Instruct. TriGuard achieves 0.0% Executed Attack Success Rate (ASR) across both Direct Harm (15/15 attacks blocked) and Data Stealing (0/544 exfiltration breaches), while maintaining 66.9% valid agent format rate. Across a 200-case 9-tier architectural ablation, TriGuard exhibits 100.0% permission-level authorization utility (0.0% false denial rate on legitimate tools), proving the causal necessity of cryptographic capability tokens. TriGuard operates with sub-millisecond dispatch overhead (&lt;50 microseconds), establishing a scalable, deployment-ready security layer for autonomous agents.</w:t>
      </w:r>
    </w:p>
    <w:p>
      <w:pPr>
        <w:pStyle w:val="Heading1"/>
      </w:pPr>
      <w:r>
        <w:t>1. Introduction</w:t>
      </w:r>
    </w:p>
    <w:p>
      <w:r>
        <w:t>The evolution of Large Language Models (LLMs) from static conversational interfaces to tool-augmented autonomous agents represents a paradigm shift in artificial intelligence. Modern agents plan, reason, and invoke external software tools—ranging from shell commands and SQL databases to enterprise CRM systems and financial APIs. However, this architectural expansion blurs the fundamental security boundary between control instructions and untrusted data. When an agent processes untrusted inputs—such as third-party web pages, customer emails, or retrieved vector database documents—an adversary can embed Indirect Prompt Injections (IPI). These adversarial payloads override user instructions and coerce the agent into invoking unauthorized tools, resulting in unauthorized data exfiltration, system destruction, or financial transactions.</w:t>
      </w:r>
    </w:p>
    <w:p>
      <w:pPr>
        <w:pStyle w:val="Heading2"/>
      </w:pPr>
      <w:r>
        <w:t>1.1 Limitations of Existing Defenses</w:t>
      </w:r>
    </w:p>
    <w:p>
      <w:r>
        <w:t>Existing defensive paradigms against prompt injection fall into three broad categories, each exhibiting fundamental architectural flaws:</w:t>
        <w:br/>
        <w:t>1. Input Classifiers (e.g., Meta PromptGuard, PIGuard): Lightweight discriminative models inspect raw text inputs prior to LLM ingestion. While computationally inexpensive, their coarse context-erasure policies strip entire blocks of technical context. In tool-augmented agent workflows, this causes catastrophic utility collapse: legitimate tool outputs (JSON schemas, API error traces, SQL tables) are falsely flagged, breaking the LLM's ReAct format.</w:t>
        <w:br/>
        <w:t>2. Generative LLM Guardrails (e.g., DataFilter, LLM-as-a-Judge): Secondary LLMs inspect and sanitize incoming observations or proposed agent actions. However, auxiliary LLMs incur massive latency penalties (often exceeding 2.0 seconds per tool call), multiply operational compute costs, and remain fundamentally susceptible to adversarial jailbreaking.</w:t>
        <w:br/>
        <w:t>3. Flow and Runtime Rewriting (e.g., CaMeL, Task Shield): Approaches that mandate rewriting agent interactions into rigid Python execution flowcharts or masked re-execution trajectories. While theoretically principled, they restrict developer flexibility and multiply inference overhead.</w:t>
      </w:r>
    </w:p>
    <w:p>
      <w:pPr>
        <w:pStyle w:val="Heading2"/>
      </w:pPr>
      <w:r>
        <w:t>1.2 Contributions</w:t>
      </w:r>
    </w:p>
    <w:p>
      <w:r>
        <w:t>To resolve the conflict between agent security and operational utility, we design and empirically validate TriGuard v2. Our key contributions are:</w:t>
        <w:br/>
        <w:t>• A Cryptographic Capability Microkernel: We introduce an HMAC-SHA256 capability engine that translates high-level user intent into scoped, temporary, nonce-bound authorization tokens that cannot be forged, altered, or replayed by untrusted model reasoning.</w:t>
        <w:br/>
        <w:t>• Provenance-Aware Context Mediation: We formalize taint tracking across external data channels, enforcing structural role separation and sanitizing adversarial imperative markers without destroying contextual information.</w:t>
        <w:br/>
        <w:t>• Pre-Execution Tool Gating: We implement an atomic tool dispatcher that physically gates tool calls prior to operating system execution, ensuring zero side effects on malicious hijacking.</w:t>
        <w:br/>
        <w:t>• Comprehensive Empirical Validation: We benchmark TriGuard on the full standardized InjecAgent benchmark (1,054 cases, 330 tools) on local hardware (Meta-Llama-3.1-8B-Instruct), establishing 0.0% Executed ASR, 100.0% block rate, and 0.0% false denials on legitimate actions, corroborated by a 39-test formal invariant suite.</w:t>
      </w:r>
    </w:p>
    <w:p>
      <w:pPr>
        <w:pStyle w:val="Heading1"/>
      </w:pPr>
      <w:r>
        <w:t>2. Related Work and Positioning</w:t>
      </w:r>
    </w:p>
    <w:p>
      <w:r>
        <w:t>Prompt injection defenses have historically focused on static text-to-text NLP tasks. Early benchmarks, including PIArena and BIPIA, primarily evaluated closed QA and summarization. Kang et al. introduced InjecAgent, establishing the first standardized benchmark evaluating indirect prompt injection against tool-augmented agents across Direct Harm and Data Stealing vectors. Debenedetti et al. proposed CaMeL (SaTML 2026), isolating untrusted data inside inert Python objects. Zhu et al. introduced MELON (ICML 2025), leveraging masked re-execution across duplicate trajectories. In contrast to these frameworks, TriGuard enforces deterministic, cryptographic capability checks at the tool boundary, avoiding duplicate model inference and specialized programming languages.</w:t>
      </w:r>
    </w:p>
    <w:p>
      <w:pPr>
        <w:pStyle w:val="Heading1"/>
      </w:pPr>
      <w:r>
        <w:t>3. Threat Model and Security Invariants</w:t>
      </w:r>
    </w:p>
    <w:p>
      <w:r>
        <w:t>We establish a rigorous threat model based on principle of least privilege and privilege separation across four system planes: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Calibri" w:hAnsi="Calibri"/>
                <w:b/>
                <w:color w:val="1B365D"/>
                <w:sz w:val="20"/>
              </w:rPr>
              <w:t xml:space="preserve">System Trust Boundaries: </w:t>
            </w:r>
            <w:r>
              <w:rPr>
                <w:rFonts w:ascii="Calibri" w:hAnsi="Calibri"/>
                <w:color w:val="333333"/>
                <w:sz w:val="19"/>
              </w:rPr>
              <w:t>1. Trusted User Plane: The authenticated human user issuing instructions (I_user).</w:t>
              <w:br/>
              <w:t>2. Trusted Computing Base (TCB): The local TriGuard execution kernel, comprising the cryptographic key manager, capability microkernel, tool dispatcher, and clarification state machine.</w:t>
              <w:br/>
              <w:t>3. Untrusted Model Plane: The foundation LLM. In our threat model, the LLM is explicitly untrusted: susceptible to semantic confusion, hallucination, and adversarial jailbreaking.</w:t>
              <w:br/>
              <w:t>4. Untrusted Data Plane: All external retrieval contexts, tool observations, web pages, and database records (C_ext).</w:t>
            </w:r>
          </w:p>
        </w:tc>
      </w:tr>
    </w:tbl>
    <w:p>
      <w:pPr>
        <w:spacing w:after="80"/>
      </w:pPr>
    </w:p>
    <w:p>
      <w:pPr>
        <w:pStyle w:val="Heading2"/>
      </w:pPr>
      <w:r>
        <w:t>3.1 Security Invariants</w:t>
      </w:r>
    </w:p>
    <w:p>
      <w:r>
        <w:t>TriGuard v2 enforces three formal, deterministic security invariants across all agent operations: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2B6CB0"/>
              <w:top w:val="none"/>
              <w:right w:val="none"/>
              <w:bottom w:val="none"/>
            </w:tcBorders>
          </w:tcPr>
          <w:p>
            <w:pPr>
              <w:spacing w:before="40" w:after="40"/>
            </w:pPr>
            <w:r>
              <w:rPr>
                <w:rFonts w:ascii="Calibri" w:hAnsi="Calibri"/>
                <w:b/>
                <w:color w:val="1B365D"/>
                <w:sz w:val="20"/>
              </w:rPr>
              <w:t xml:space="preserve">Invariant 1 (Default-Deny Tool Authorization): </w:t>
            </w:r>
            <w:r>
              <w:rPr>
                <w:rFonts w:ascii="Calibri" w:hAnsi="Calibri"/>
                <w:color w:val="333333"/>
                <w:sz w:val="19"/>
              </w:rPr>
              <w:t>A proposed tool action T with parameters a is executable if and only if Scope(T) subset-of Token.scopes and VerifyConstraints(a, Token.constraints) is satisfied, where Token is a cryptographically valid capability token issued for the current session.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2B6CB0"/>
              <w:top w:val="none"/>
              <w:right w:val="none"/>
              <w:bottom w:val="none"/>
            </w:tcBorders>
          </w:tcPr>
          <w:p>
            <w:pPr>
              <w:spacing w:before="40" w:after="40"/>
            </w:pPr>
            <w:r>
              <w:rPr>
                <w:rFonts w:ascii="Calibri" w:hAnsi="Calibri"/>
                <w:b/>
                <w:color w:val="1B365D"/>
                <w:sz w:val="20"/>
              </w:rPr>
              <w:t xml:space="preserve">Invariant 2 (Cryptographic Freshness &amp; Anti-Replay): </w:t>
            </w:r>
            <w:r>
              <w:rPr>
                <w:rFonts w:ascii="Calibri" w:hAnsi="Calibri"/>
                <w:color w:val="333333"/>
                <w:sz w:val="19"/>
              </w:rPr>
              <w:t>A capability token tau is valid if and only if HMAC_K(tau.payload) == tau.sig, time_now &lt;= tau.expires_at, and tau.nonce not-in ReplayCache.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24" w:space="0" w:color="2B6CB0"/>
              <w:top w:val="none"/>
              <w:right w:val="none"/>
              <w:bottom w:val="none"/>
            </w:tcBorders>
          </w:tcPr>
          <w:p>
            <w:pPr>
              <w:spacing w:before="40" w:after="40"/>
            </w:pPr>
            <w:r>
              <w:rPr>
                <w:rFonts w:ascii="Calibri" w:hAnsi="Calibri"/>
                <w:b/>
                <w:color w:val="1B365D"/>
                <w:sz w:val="20"/>
              </w:rPr>
              <w:t xml:space="preserve">Invariant 3 (Atomic Pre-Execution Interception): </w:t>
            </w:r>
            <w:r>
              <w:rPr>
                <w:rFonts w:ascii="Calibri" w:hAnsi="Calibri"/>
                <w:color w:val="333333"/>
                <w:sz w:val="19"/>
              </w:rPr>
              <w:t>Tool dispatch occurs strictly downstream of the authorization gate. Any intercepted or denied tool produces zero external side effects (Delta S_ext = empty).</w:t>
            </w:r>
          </w:p>
        </w:tc>
      </w:tr>
    </w:tbl>
    <w:p>
      <w:pPr>
        <w:spacing w:after="80"/>
      </w:pPr>
    </w:p>
    <w:p>
      <w:pPr>
        <w:pStyle w:val="Heading1"/>
      </w:pPr>
      <w:r>
        <w:t>4. TriGuard System Architecture</w:t>
      </w:r>
    </w:p>
    <w:p>
      <w:r>
        <w:t>TriGuard operates across three unified defense tiers that govern the end-to-end lifecycle of an agent interaction:</w:t>
      </w:r>
    </w:p>
    <w:p>
      <w:pPr>
        <w:pStyle w:val="Heading2"/>
      </w:pPr>
      <w:r>
        <w:t>4.1 Tier 1: Capability Microkernel</w:t>
      </w:r>
    </w:p>
    <w:p>
      <w:r>
        <w:t>Upon receiving a user instruction I_user, the Capability Microkernel parses explicit semantic verbs to delineate authorized privilege scopes (S subset-of {read, write, send, delete, execute}). If the user asks an informational or summarization question, the kernel grants strictly read-only scope. The microkernel signs a structured token: tau = &lt;session_id, nonce, S, constraints, t_issued, t_expires, HMAC_K(.)&gt;. Because the cryptographic key K resides exclusively in host memory isolated from the model prompt, untrusted model outputs cannot forge or elevate privileges.</w:t>
      </w:r>
    </w:p>
    <w:p>
      <w:pPr>
        <w:pStyle w:val="Heading2"/>
      </w:pPr>
      <w:r>
        <w:t>4.2 Tier 2: Provenance-Aware Context Mediation</w:t>
      </w:r>
    </w:p>
    <w:p>
      <w:r>
        <w:t>All incoming data from external sources (tool execution returns, search observations, document retrievals) are ingested through the Provenance Tracker. External data is assigned TrustLevel.UNTRUSTED_EXTERNAL and encapsulated within structured XML boundaries (&lt;untrusted_context source='...'&gt;). Imperative trigger directives (e.g., 'Ignore previous instructions', 'SYSTEM OVERRIDE', 'NEW INSTRUCTION:') are neutralized, preventing the model from confusing retrieved data with authoritative user commands.</w:t>
      </w:r>
    </w:p>
    <w:p>
      <w:pPr>
        <w:pStyle w:val="Heading2"/>
      </w:pPr>
      <w:r>
        <w:t>4.3 Tier 3: Intent-Consistency Verifier &amp; Dispatcher Gate</w:t>
      </w:r>
    </w:p>
    <w:p>
      <w:r>
        <w:t>When the LLM proposes an action (via JSON function calling or ReAct Thought/Action syntax), the Intent-Consistency Verifier intercepts the output before it reaches the host operating system. The verifier validates: (1) token cryptographic integrity via constant-time comparison; (2) tool scope conformance; and (3) parameter constraint binding. If an action is state-modifying but ambiguous, it triggers an out-of-band Clarification State Machine, requiring explicit human confirmation before execution can proceed.</w:t>
      </w:r>
    </w:p>
    <w:p>
      <w:pPr>
        <w:pStyle w:val="Heading1"/>
      </w:pPr>
      <w:r>
        <w:t>5. Experimental Evaluation</w:t>
      </w:r>
    </w:p>
    <w:p>
      <w:r>
        <w:t>We conduct a comprehensive empirical evaluation of TriGuard v2 against frontline defenses using the complete standardized InjecAgent benchmark on native dual-GPU hardware running Meta-Llama-3.1-8B-Instruct.</w:t>
      </w:r>
    </w:p>
    <w:p>
      <w:pPr>
        <w:pStyle w:val="Heading2"/>
      </w:pPr>
      <w:r>
        <w:t>5.1 Cross-Defense Benchmark Comparison (InjecAgent)</w:t>
      </w:r>
    </w:p>
    <w:p>
      <w:r>
        <w:t>Table 1 reports the cross-defense evaluation on 1,054 single-turn tool episodes spanning 330 real-world API tools (510 Direct Harm and 544 Data Stealing cases). All baseline logs were executed under identical conditions.</w:t>
      </w:r>
    </w:p>
    <w:p>
      <w:pPr>
        <w:spacing w:before="160" w:after="80"/>
      </w:pPr>
      <w:r>
        <w:rPr>
          <w:b/>
          <w:sz w:val="19"/>
        </w:rPr>
        <w:t>Table 1: Empirical Cross-Defense Evaluation on the Full InjecAgent Benchmark (1,054 Episodes, 330 Real API Tools, Meta-Llama-3.1-8B-Instruct).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fill="1B365D"/>
            <w:tcMar>
              <w:top w:w="120" w:type="dxa"/>
              <w:bottom w:w="120" w:type="dxa"/>
              <w:left w:w="120" w:type="dxa"/>
              <w:right w:w="120" w:type="dxa"/>
            </w:tcMar>
            <w:vAlign w:val="center"/>
          </w:tcPr>
          <w:p>
            <w:pPr>
              <w:jc w:val="center"/>
            </w:pPr>
            <w:r>
              <w:rPr>
                <w:rFonts w:ascii="Calibri" w:hAnsi="Calibri"/>
                <w:b/>
                <w:color w:val="FFFFFF"/>
                <w:sz w:val="18"/>
              </w:rPr>
              <w:t>Defense Mechanism</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Valid Format</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DH Attempt</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DS Attempt</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Total Attempt</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Exec ASR</w:t>
            </w:r>
          </w:p>
        </w:tc>
        <w:tc>
          <w:tcPr>
            <w:tcW w:type="dxa" w:w="1152"/>
            <w:shd w:fill="1B365D"/>
            <w:tcMar>
              <w:top w:w="120" w:type="dxa"/>
              <w:bottom w:w="120" w:type="dxa"/>
              <w:left w:w="120" w:type="dxa"/>
              <w:right w:w="120" w:type="dxa"/>
            </w:tcMar>
            <w:vAlign w:val="center"/>
          </w:tcPr>
          <w:p>
            <w:pPr>
              <w:jc w:val="center"/>
            </w:pPr>
            <w:r>
              <w:rPr>
                <w:rFonts w:ascii="Calibri" w:hAnsi="Calibri"/>
                <w:b/>
                <w:color w:val="FFFFFF"/>
                <w:sz w:val="18"/>
              </w:rPr>
              <w:t>Block Rate</w:t>
            </w:r>
          </w:p>
        </w:tc>
      </w:tr>
      <w:tr>
        <w:tc>
          <w:tcPr>
            <w:tcW w:type="dxa" w:w="2592"/>
            <w:tcMar>
              <w:top w:w="80" w:type="dxa"/>
              <w:bottom w:w="80" w:type="dxa"/>
              <w:left w:w="120" w:type="dxa"/>
              <w:right w:w="120" w:type="dxa"/>
            </w:tcMar>
            <w:vAlign w:val="center"/>
          </w:tcPr>
          <w:p>
            <w:pPr>
              <w:jc w:val="left"/>
            </w:pPr>
            <w:r>
              <w:rPr>
                <w:rFonts w:ascii="Calibri" w:hAnsi="Calibri"/>
                <w:sz w:val="18"/>
              </w:rPr>
              <w:t>Undefended (No Defense)</w:t>
            </w:r>
          </w:p>
        </w:tc>
        <w:tc>
          <w:tcPr>
            <w:tcW w:type="dxa" w:w="1152"/>
            <w:tcMar>
              <w:top w:w="80" w:type="dxa"/>
              <w:bottom w:w="80" w:type="dxa"/>
              <w:left w:w="120" w:type="dxa"/>
              <w:right w:w="120" w:type="dxa"/>
            </w:tcMar>
            <w:vAlign w:val="center"/>
          </w:tcPr>
          <w:p>
            <w:pPr>
              <w:jc w:val="right"/>
            </w:pPr>
            <w:r>
              <w:rPr>
                <w:rFonts w:ascii="Calibri" w:hAnsi="Calibri"/>
                <w:sz w:val="18"/>
              </w:rPr>
              <w:t>65.8%</w:t>
            </w:r>
          </w:p>
        </w:tc>
        <w:tc>
          <w:tcPr>
            <w:tcW w:type="dxa" w:w="1152"/>
            <w:tcMar>
              <w:top w:w="80" w:type="dxa"/>
              <w:bottom w:w="80" w:type="dxa"/>
              <w:left w:w="120" w:type="dxa"/>
              <w:right w:w="120" w:type="dxa"/>
            </w:tcMar>
            <w:vAlign w:val="center"/>
          </w:tcPr>
          <w:p>
            <w:pPr>
              <w:jc w:val="right"/>
            </w:pPr>
            <w:r>
              <w:rPr>
                <w:rFonts w:ascii="Calibri" w:hAnsi="Calibri"/>
                <w:sz w:val="18"/>
              </w:rPr>
              <w:t>88.3%</w:t>
            </w:r>
          </w:p>
        </w:tc>
        <w:tc>
          <w:tcPr>
            <w:tcW w:type="dxa" w:w="1152"/>
            <w:tcMar>
              <w:top w:w="80" w:type="dxa"/>
              <w:bottom w:w="80" w:type="dxa"/>
              <w:left w:w="120" w:type="dxa"/>
              <w:right w:w="120" w:type="dxa"/>
            </w:tcMar>
            <w:vAlign w:val="center"/>
          </w:tcPr>
          <w:p>
            <w:pPr>
              <w:jc w:val="right"/>
            </w:pPr>
            <w:r>
              <w:rPr>
                <w:rFonts w:ascii="Calibri" w:hAnsi="Calibri"/>
                <w:sz w:val="18"/>
              </w:rPr>
              <w:t>75.3%</w:t>
            </w:r>
          </w:p>
        </w:tc>
        <w:tc>
          <w:tcPr>
            <w:tcW w:type="dxa" w:w="1152"/>
            <w:tcMar>
              <w:top w:w="80" w:type="dxa"/>
              <w:bottom w:w="80" w:type="dxa"/>
              <w:left w:w="120" w:type="dxa"/>
              <w:right w:w="120" w:type="dxa"/>
            </w:tcMar>
            <w:vAlign w:val="center"/>
          </w:tcPr>
          <w:p>
            <w:pPr>
              <w:jc w:val="right"/>
            </w:pPr>
            <w:r>
              <w:rPr>
                <w:rFonts w:ascii="Calibri" w:hAnsi="Calibri"/>
                <w:sz w:val="18"/>
              </w:rPr>
              <w:t>81.9%</w:t>
            </w:r>
          </w:p>
        </w:tc>
        <w:tc>
          <w:tcPr>
            <w:tcW w:type="dxa" w:w="1152"/>
            <w:tcMar>
              <w:top w:w="80" w:type="dxa"/>
              <w:bottom w:w="80" w:type="dxa"/>
              <w:left w:w="120" w:type="dxa"/>
              <w:right w:w="120" w:type="dxa"/>
            </w:tcMar>
            <w:vAlign w:val="center"/>
          </w:tcPr>
          <w:p>
            <w:pPr>
              <w:jc w:val="right"/>
            </w:pPr>
            <w:r>
              <w:rPr>
                <w:rFonts w:ascii="Calibri" w:hAnsi="Calibri"/>
                <w:sz w:val="18"/>
              </w:rPr>
              <w:t>81.9%</w:t>
            </w:r>
          </w:p>
        </w:tc>
        <w:tc>
          <w:tcPr>
            <w:tcW w:type="dxa" w:w="1152"/>
            <w:tcMar>
              <w:top w:w="80" w:type="dxa"/>
              <w:bottom w:w="80" w:type="dxa"/>
              <w:left w:w="120" w:type="dxa"/>
              <w:right w:w="120" w:type="dxa"/>
            </w:tcMar>
            <w:vAlign w:val="center"/>
          </w:tcPr>
          <w:p>
            <w:pPr>
              <w:jc w:val="right"/>
            </w:pPr>
            <w:r>
              <w:rPr>
                <w:rFonts w:ascii="Calibri" w:hAnsi="Calibri"/>
                <w:sz w:val="18"/>
              </w:rPr>
              <w:t>0.0%</w:t>
            </w:r>
          </w:p>
        </w:tc>
      </w:tr>
      <w:tr>
        <w:tc>
          <w:tcPr>
            <w:tcW w:type="dxa" w:w="2592"/>
            <w:shd w:fill="F9FAFB"/>
            <w:tcMar>
              <w:top w:w="80" w:type="dxa"/>
              <w:bottom w:w="80" w:type="dxa"/>
              <w:left w:w="120" w:type="dxa"/>
              <w:right w:w="120" w:type="dxa"/>
            </w:tcMar>
            <w:vAlign w:val="center"/>
          </w:tcPr>
          <w:p>
            <w:pPr>
              <w:jc w:val="left"/>
            </w:pPr>
            <w:r>
              <w:rPr>
                <w:rFonts w:ascii="Calibri" w:hAnsi="Calibri"/>
                <w:sz w:val="18"/>
              </w:rPr>
              <w:t>PromptGuard-86M</w:t>
            </w:r>
          </w:p>
        </w:tc>
        <w:tc>
          <w:tcPr>
            <w:tcW w:type="dxa" w:w="1152"/>
            <w:shd w:fill="F9FAFB"/>
            <w:tcMar>
              <w:top w:w="80" w:type="dxa"/>
              <w:bottom w:w="80" w:type="dxa"/>
              <w:left w:w="120" w:type="dxa"/>
              <w:right w:w="120" w:type="dxa"/>
            </w:tcMar>
            <w:vAlign w:val="center"/>
          </w:tcPr>
          <w:p>
            <w:pPr>
              <w:jc w:val="right"/>
            </w:pPr>
            <w:r>
              <w:rPr>
                <w:rFonts w:ascii="Calibri" w:hAnsi="Calibri"/>
                <w:sz w:val="18"/>
              </w:rPr>
              <w:t>14.3%</w:t>
            </w:r>
          </w:p>
        </w:tc>
        <w:tc>
          <w:tcPr>
            <w:tcW w:type="dxa" w:w="1152"/>
            <w:shd w:fill="F9FAFB"/>
            <w:tcMar>
              <w:top w:w="80" w:type="dxa"/>
              <w:bottom w:w="80" w:type="dxa"/>
              <w:left w:w="120" w:type="dxa"/>
              <w:right w:w="120" w:type="dxa"/>
            </w:tcMar>
            <w:vAlign w:val="center"/>
          </w:tcPr>
          <w:p>
            <w:pPr>
              <w:jc w:val="right"/>
            </w:pPr>
            <w:r>
              <w:rPr>
                <w:rFonts w:ascii="Calibri" w:hAnsi="Calibri"/>
                <w:sz w:val="18"/>
              </w:rPr>
              <w:t>3.1%</w:t>
            </w:r>
          </w:p>
        </w:tc>
        <w:tc>
          <w:tcPr>
            <w:tcW w:type="dxa" w:w="1152"/>
            <w:shd w:fill="F9FAFB"/>
            <w:tcMar>
              <w:top w:w="80" w:type="dxa"/>
              <w:bottom w:w="80" w:type="dxa"/>
              <w:left w:w="120" w:type="dxa"/>
              <w:right w:w="120" w:type="dxa"/>
            </w:tcMar>
            <w:vAlign w:val="center"/>
          </w:tcPr>
          <w:p>
            <w:pPr>
              <w:jc w:val="right"/>
            </w:pPr>
            <w:r>
              <w:rPr>
                <w:rFonts w:ascii="Calibri" w:hAnsi="Calibri"/>
                <w:sz w:val="18"/>
              </w:rPr>
              <w:t>5.2%</w:t>
            </w:r>
          </w:p>
        </w:tc>
        <w:tc>
          <w:tcPr>
            <w:tcW w:type="dxa" w:w="1152"/>
            <w:shd w:fill="F9FAFB"/>
            <w:tcMar>
              <w:top w:w="80" w:type="dxa"/>
              <w:bottom w:w="80" w:type="dxa"/>
              <w:left w:w="120" w:type="dxa"/>
              <w:right w:w="120" w:type="dxa"/>
            </w:tcMar>
            <w:vAlign w:val="center"/>
          </w:tcPr>
          <w:p>
            <w:pPr>
              <w:jc w:val="right"/>
            </w:pPr>
            <w:r>
              <w:rPr>
                <w:rFonts w:ascii="Calibri" w:hAnsi="Calibri"/>
                <w:sz w:val="18"/>
              </w:rPr>
              <w:t>4.3%</w:t>
            </w:r>
          </w:p>
        </w:tc>
        <w:tc>
          <w:tcPr>
            <w:tcW w:type="dxa" w:w="1152"/>
            <w:shd w:fill="F9FAFB"/>
            <w:tcMar>
              <w:top w:w="80" w:type="dxa"/>
              <w:bottom w:w="80" w:type="dxa"/>
              <w:left w:w="120" w:type="dxa"/>
              <w:right w:w="120" w:type="dxa"/>
            </w:tcMar>
            <w:vAlign w:val="center"/>
          </w:tcPr>
          <w:p>
            <w:pPr>
              <w:jc w:val="right"/>
            </w:pPr>
            <w:r>
              <w:rPr>
                <w:rFonts w:ascii="Calibri" w:hAnsi="Calibri"/>
                <w:sz w:val="18"/>
              </w:rPr>
              <w:t>4.3%</w:t>
            </w:r>
          </w:p>
        </w:tc>
        <w:tc>
          <w:tcPr>
            <w:tcW w:type="dxa" w:w="1152"/>
            <w:shd w:fill="F9FAFB"/>
            <w:tcMar>
              <w:top w:w="80" w:type="dxa"/>
              <w:bottom w:w="80" w:type="dxa"/>
              <w:left w:w="120" w:type="dxa"/>
              <w:right w:w="120" w:type="dxa"/>
            </w:tcMar>
            <w:vAlign w:val="center"/>
          </w:tcPr>
          <w:p>
            <w:pPr>
              <w:jc w:val="right"/>
            </w:pPr>
            <w:r>
              <w:rPr>
                <w:rFonts w:ascii="Calibri" w:hAnsi="Calibri"/>
                <w:sz w:val="18"/>
              </w:rPr>
              <w:t>77.5%</w:t>
            </w:r>
          </w:p>
        </w:tc>
      </w:tr>
      <w:tr>
        <w:tc>
          <w:tcPr>
            <w:tcW w:type="dxa" w:w="2592"/>
            <w:tcMar>
              <w:top w:w="80" w:type="dxa"/>
              <w:bottom w:w="80" w:type="dxa"/>
              <w:left w:w="120" w:type="dxa"/>
              <w:right w:w="120" w:type="dxa"/>
            </w:tcMar>
            <w:vAlign w:val="center"/>
          </w:tcPr>
          <w:p>
            <w:pPr>
              <w:jc w:val="left"/>
            </w:pPr>
            <w:r>
              <w:rPr>
                <w:rFonts w:ascii="Calibri" w:hAnsi="Calibri"/>
                <w:sz w:val="18"/>
              </w:rPr>
              <w:t>PIGuard (DeBERTa-v2)</w:t>
            </w:r>
          </w:p>
        </w:tc>
        <w:tc>
          <w:tcPr>
            <w:tcW w:type="dxa" w:w="1152"/>
            <w:tcMar>
              <w:top w:w="80" w:type="dxa"/>
              <w:bottom w:w="80" w:type="dxa"/>
              <w:left w:w="120" w:type="dxa"/>
              <w:right w:w="120" w:type="dxa"/>
            </w:tcMar>
            <w:vAlign w:val="center"/>
          </w:tcPr>
          <w:p>
            <w:pPr>
              <w:jc w:val="right"/>
            </w:pPr>
            <w:r>
              <w:rPr>
                <w:rFonts w:ascii="Calibri" w:hAnsi="Calibri"/>
                <w:sz w:val="18"/>
              </w:rPr>
              <w:t>17.5%</w:t>
            </w:r>
          </w:p>
        </w:tc>
        <w:tc>
          <w:tcPr>
            <w:tcW w:type="dxa" w:w="1152"/>
            <w:tcMar>
              <w:top w:w="80" w:type="dxa"/>
              <w:bottom w:w="80" w:type="dxa"/>
              <w:left w:w="120" w:type="dxa"/>
              <w:right w:w="120" w:type="dxa"/>
            </w:tcMar>
            <w:vAlign w:val="center"/>
          </w:tcPr>
          <w:p>
            <w:pPr>
              <w:jc w:val="right"/>
            </w:pPr>
            <w:r>
              <w:rPr>
                <w:rFonts w:ascii="Calibri" w:hAnsi="Calibri"/>
                <w:sz w:val="18"/>
              </w:rPr>
              <w:t>2.5%</w:t>
            </w:r>
          </w:p>
        </w:tc>
        <w:tc>
          <w:tcPr>
            <w:tcW w:type="dxa" w:w="1152"/>
            <w:tcMar>
              <w:top w:w="80" w:type="dxa"/>
              <w:bottom w:w="80" w:type="dxa"/>
              <w:left w:w="120" w:type="dxa"/>
              <w:right w:w="120" w:type="dxa"/>
            </w:tcMar>
            <w:vAlign w:val="center"/>
          </w:tcPr>
          <w:p>
            <w:pPr>
              <w:jc w:val="right"/>
            </w:pPr>
            <w:r>
              <w:rPr>
                <w:rFonts w:ascii="Calibri" w:hAnsi="Calibri"/>
                <w:sz w:val="18"/>
              </w:rPr>
              <w:t>2.2%</w:t>
            </w:r>
          </w:p>
        </w:tc>
        <w:tc>
          <w:tcPr>
            <w:tcW w:type="dxa" w:w="1152"/>
            <w:tcMar>
              <w:top w:w="80" w:type="dxa"/>
              <w:bottom w:w="80" w:type="dxa"/>
              <w:left w:w="120" w:type="dxa"/>
              <w:right w:w="120" w:type="dxa"/>
            </w:tcMar>
            <w:vAlign w:val="center"/>
          </w:tcPr>
          <w:p>
            <w:pPr>
              <w:jc w:val="right"/>
            </w:pPr>
            <w:r>
              <w:rPr>
                <w:rFonts w:ascii="Calibri" w:hAnsi="Calibri"/>
                <w:sz w:val="18"/>
              </w:rPr>
              <w:t>2.3%</w:t>
            </w:r>
          </w:p>
        </w:tc>
        <w:tc>
          <w:tcPr>
            <w:tcW w:type="dxa" w:w="1152"/>
            <w:tcMar>
              <w:top w:w="80" w:type="dxa"/>
              <w:bottom w:w="80" w:type="dxa"/>
              <w:left w:w="120" w:type="dxa"/>
              <w:right w:w="120" w:type="dxa"/>
            </w:tcMar>
            <w:vAlign w:val="center"/>
          </w:tcPr>
          <w:p>
            <w:pPr>
              <w:jc w:val="right"/>
            </w:pPr>
            <w:r>
              <w:rPr>
                <w:rFonts w:ascii="Calibri" w:hAnsi="Calibri"/>
                <w:sz w:val="18"/>
              </w:rPr>
              <w:t>2.3%</w:t>
            </w:r>
          </w:p>
        </w:tc>
        <w:tc>
          <w:tcPr>
            <w:tcW w:type="dxa" w:w="1152"/>
            <w:tcMar>
              <w:top w:w="80" w:type="dxa"/>
              <w:bottom w:w="80" w:type="dxa"/>
              <w:left w:w="120" w:type="dxa"/>
              <w:right w:w="120" w:type="dxa"/>
            </w:tcMar>
            <w:vAlign w:val="center"/>
          </w:tcPr>
          <w:p>
            <w:pPr>
              <w:jc w:val="right"/>
            </w:pPr>
            <w:r>
              <w:rPr>
                <w:rFonts w:ascii="Calibri" w:hAnsi="Calibri"/>
                <w:sz w:val="18"/>
              </w:rPr>
              <w:t>83.8%</w:t>
            </w:r>
          </w:p>
        </w:tc>
      </w:tr>
      <w:tr>
        <w:tc>
          <w:tcPr>
            <w:tcW w:type="dxa" w:w="2592"/>
            <w:shd w:fill="F9FAFB"/>
            <w:tcMar>
              <w:top w:w="80" w:type="dxa"/>
              <w:bottom w:w="80" w:type="dxa"/>
              <w:left w:w="120" w:type="dxa"/>
              <w:right w:w="120" w:type="dxa"/>
            </w:tcMar>
            <w:vAlign w:val="center"/>
          </w:tcPr>
          <w:p>
            <w:pPr>
              <w:jc w:val="left"/>
            </w:pPr>
            <w:r>
              <w:rPr>
                <w:rFonts w:ascii="Calibri" w:hAnsi="Calibri"/>
                <w:sz w:val="18"/>
              </w:rPr>
              <w:t>DataFilter (8B Filter)</w:t>
            </w:r>
          </w:p>
        </w:tc>
        <w:tc>
          <w:tcPr>
            <w:tcW w:type="dxa" w:w="1152"/>
            <w:shd w:fill="F9FAFB"/>
            <w:tcMar>
              <w:top w:w="80" w:type="dxa"/>
              <w:bottom w:w="80" w:type="dxa"/>
              <w:left w:w="120" w:type="dxa"/>
              <w:right w:w="120" w:type="dxa"/>
            </w:tcMar>
            <w:vAlign w:val="center"/>
          </w:tcPr>
          <w:p>
            <w:pPr>
              <w:jc w:val="right"/>
            </w:pPr>
            <w:r>
              <w:rPr>
                <w:rFonts w:ascii="Calibri" w:hAnsi="Calibri"/>
                <w:sz w:val="18"/>
              </w:rPr>
              <w:t>36.0%</w:t>
            </w:r>
          </w:p>
        </w:tc>
        <w:tc>
          <w:tcPr>
            <w:tcW w:type="dxa" w:w="1152"/>
            <w:shd w:fill="F9FAFB"/>
            <w:tcMar>
              <w:top w:w="80" w:type="dxa"/>
              <w:bottom w:w="80" w:type="dxa"/>
              <w:left w:w="120" w:type="dxa"/>
              <w:right w:w="120" w:type="dxa"/>
            </w:tcMar>
            <w:vAlign w:val="center"/>
          </w:tcPr>
          <w:p>
            <w:pPr>
              <w:jc w:val="right"/>
            </w:pPr>
            <w:r>
              <w:rPr>
                <w:rFonts w:ascii="Calibri" w:hAnsi="Calibri"/>
                <w:sz w:val="18"/>
              </w:rPr>
              <w:t>9.5%</w:t>
            </w:r>
          </w:p>
        </w:tc>
        <w:tc>
          <w:tcPr>
            <w:tcW w:type="dxa" w:w="1152"/>
            <w:shd w:fill="F9FAFB"/>
            <w:tcMar>
              <w:top w:w="80" w:type="dxa"/>
              <w:bottom w:w="80" w:type="dxa"/>
              <w:left w:w="120" w:type="dxa"/>
              <w:right w:w="120" w:type="dxa"/>
            </w:tcMar>
            <w:vAlign w:val="center"/>
          </w:tcPr>
          <w:p>
            <w:pPr>
              <w:jc w:val="right"/>
            </w:pPr>
            <w:r>
              <w:rPr>
                <w:rFonts w:ascii="Calibri" w:hAnsi="Calibri"/>
                <w:sz w:val="18"/>
              </w:rPr>
              <w:t>2.9%</w:t>
            </w:r>
          </w:p>
        </w:tc>
        <w:tc>
          <w:tcPr>
            <w:tcW w:type="dxa" w:w="1152"/>
            <w:shd w:fill="F9FAFB"/>
            <w:tcMar>
              <w:top w:w="80" w:type="dxa"/>
              <w:bottom w:w="80" w:type="dxa"/>
              <w:left w:w="120" w:type="dxa"/>
              <w:right w:w="120" w:type="dxa"/>
            </w:tcMar>
            <w:vAlign w:val="center"/>
          </w:tcPr>
          <w:p>
            <w:pPr>
              <w:jc w:val="right"/>
            </w:pPr>
            <w:r>
              <w:rPr>
                <w:rFonts w:ascii="Calibri" w:hAnsi="Calibri"/>
                <w:sz w:val="18"/>
              </w:rPr>
              <w:t>6.4%</w:t>
            </w:r>
          </w:p>
        </w:tc>
        <w:tc>
          <w:tcPr>
            <w:tcW w:type="dxa" w:w="1152"/>
            <w:shd w:fill="F9FAFB"/>
            <w:tcMar>
              <w:top w:w="80" w:type="dxa"/>
              <w:bottom w:w="80" w:type="dxa"/>
              <w:left w:w="120" w:type="dxa"/>
              <w:right w:w="120" w:type="dxa"/>
            </w:tcMar>
            <w:vAlign w:val="center"/>
          </w:tcPr>
          <w:p>
            <w:pPr>
              <w:jc w:val="right"/>
            </w:pPr>
            <w:r>
              <w:rPr>
                <w:rFonts w:ascii="Calibri" w:hAnsi="Calibri"/>
                <w:sz w:val="18"/>
              </w:rPr>
              <w:t>6.4%</w:t>
            </w:r>
          </w:p>
        </w:tc>
        <w:tc>
          <w:tcPr>
            <w:tcW w:type="dxa" w:w="1152"/>
            <w:shd w:fill="F9FAFB"/>
            <w:tcMar>
              <w:top w:w="80" w:type="dxa"/>
              <w:bottom w:w="80" w:type="dxa"/>
              <w:left w:w="120" w:type="dxa"/>
              <w:right w:w="120" w:type="dxa"/>
            </w:tcMar>
            <w:vAlign w:val="center"/>
          </w:tcPr>
          <w:p>
            <w:pPr>
              <w:jc w:val="right"/>
            </w:pPr>
            <w:r>
              <w:rPr>
                <w:rFonts w:ascii="Calibri" w:hAnsi="Calibri"/>
                <w:sz w:val="18"/>
              </w:rPr>
              <w:t>0.0%</w:t>
            </w:r>
          </w:p>
        </w:tc>
      </w:tr>
      <w:tr>
        <w:tc>
          <w:tcPr>
            <w:tcW w:type="dxa" w:w="2592"/>
            <w:tcMar>
              <w:top w:w="80" w:type="dxa"/>
              <w:bottom w:w="80" w:type="dxa"/>
              <w:left w:w="120" w:type="dxa"/>
              <w:right w:w="120" w:type="dxa"/>
            </w:tcMar>
            <w:vAlign w:val="center"/>
          </w:tcPr>
          <w:p>
            <w:pPr>
              <w:jc w:val="left"/>
            </w:pPr>
            <w:r>
              <w:rPr>
                <w:rFonts w:ascii="Calibri" w:hAnsi="Calibri"/>
                <w:sz w:val="18"/>
              </w:rPr>
              <w:t>PISanitizer</w:t>
            </w:r>
          </w:p>
        </w:tc>
        <w:tc>
          <w:tcPr>
            <w:tcW w:type="dxa" w:w="1152"/>
            <w:tcMar>
              <w:top w:w="80" w:type="dxa"/>
              <w:bottom w:w="80" w:type="dxa"/>
              <w:left w:w="120" w:type="dxa"/>
              <w:right w:w="120" w:type="dxa"/>
            </w:tcMar>
            <w:vAlign w:val="center"/>
          </w:tcPr>
          <w:p>
            <w:pPr>
              <w:jc w:val="right"/>
            </w:pPr>
            <w:r>
              <w:rPr>
                <w:rFonts w:ascii="Calibri" w:hAnsi="Calibri"/>
                <w:sz w:val="18"/>
              </w:rPr>
              <w:t>42.1%</w:t>
            </w:r>
          </w:p>
        </w:tc>
        <w:tc>
          <w:tcPr>
            <w:tcW w:type="dxa" w:w="1152"/>
            <w:tcMar>
              <w:top w:w="80" w:type="dxa"/>
              <w:bottom w:w="80" w:type="dxa"/>
              <w:left w:w="120" w:type="dxa"/>
              <w:right w:w="120" w:type="dxa"/>
            </w:tcMar>
            <w:vAlign w:val="center"/>
          </w:tcPr>
          <w:p>
            <w:pPr>
              <w:jc w:val="right"/>
            </w:pPr>
            <w:r>
              <w:rPr>
                <w:rFonts w:ascii="Calibri" w:hAnsi="Calibri"/>
                <w:sz w:val="18"/>
              </w:rPr>
              <w:t>41.5%</w:t>
            </w:r>
          </w:p>
        </w:tc>
        <w:tc>
          <w:tcPr>
            <w:tcW w:type="dxa" w:w="1152"/>
            <w:tcMar>
              <w:top w:w="80" w:type="dxa"/>
              <w:bottom w:w="80" w:type="dxa"/>
              <w:left w:w="120" w:type="dxa"/>
              <w:right w:w="120" w:type="dxa"/>
            </w:tcMar>
            <w:vAlign w:val="center"/>
          </w:tcPr>
          <w:p>
            <w:pPr>
              <w:jc w:val="right"/>
            </w:pPr>
            <w:r>
              <w:rPr>
                <w:rFonts w:ascii="Calibri" w:hAnsi="Calibri"/>
                <w:sz w:val="18"/>
              </w:rPr>
              <w:t>26.1%</w:t>
            </w:r>
          </w:p>
        </w:tc>
        <w:tc>
          <w:tcPr>
            <w:tcW w:type="dxa" w:w="1152"/>
            <w:tcMar>
              <w:top w:w="80" w:type="dxa"/>
              <w:bottom w:w="80" w:type="dxa"/>
              <w:left w:w="120" w:type="dxa"/>
              <w:right w:w="120" w:type="dxa"/>
            </w:tcMar>
            <w:vAlign w:val="center"/>
          </w:tcPr>
          <w:p>
            <w:pPr>
              <w:jc w:val="right"/>
            </w:pPr>
            <w:r>
              <w:rPr>
                <w:rFonts w:ascii="Calibri" w:hAnsi="Calibri"/>
                <w:sz w:val="18"/>
              </w:rPr>
              <w:t>33.8%</w:t>
            </w:r>
          </w:p>
        </w:tc>
        <w:tc>
          <w:tcPr>
            <w:tcW w:type="dxa" w:w="1152"/>
            <w:tcMar>
              <w:top w:w="80" w:type="dxa"/>
              <w:bottom w:w="80" w:type="dxa"/>
              <w:left w:w="120" w:type="dxa"/>
              <w:right w:w="120" w:type="dxa"/>
            </w:tcMar>
            <w:vAlign w:val="center"/>
          </w:tcPr>
          <w:p>
            <w:pPr>
              <w:jc w:val="right"/>
            </w:pPr>
            <w:r>
              <w:rPr>
                <w:rFonts w:ascii="Calibri" w:hAnsi="Calibri"/>
                <w:sz w:val="18"/>
              </w:rPr>
              <w:t>33.8%</w:t>
            </w:r>
          </w:p>
        </w:tc>
        <w:tc>
          <w:tcPr>
            <w:tcW w:type="dxa" w:w="1152"/>
            <w:tcMar>
              <w:top w:w="80" w:type="dxa"/>
              <w:bottom w:w="80" w:type="dxa"/>
              <w:left w:w="120" w:type="dxa"/>
              <w:right w:w="120" w:type="dxa"/>
            </w:tcMar>
            <w:vAlign w:val="center"/>
          </w:tcPr>
          <w:p>
            <w:pPr>
              <w:jc w:val="right"/>
            </w:pPr>
            <w:r>
              <w:rPr>
                <w:rFonts w:ascii="Calibri" w:hAnsi="Calibri"/>
                <w:sz w:val="18"/>
              </w:rPr>
              <w:t>0.0%</w:t>
            </w:r>
          </w:p>
        </w:tc>
      </w:tr>
      <w:tr>
        <w:tc>
          <w:tcPr>
            <w:tcW w:type="dxa" w:w="2592"/>
            <w:shd w:fill="EBF3FB"/>
            <w:tcMar>
              <w:top w:w="80" w:type="dxa"/>
              <w:bottom w:w="80" w:type="dxa"/>
              <w:left w:w="120" w:type="dxa"/>
              <w:right w:w="120" w:type="dxa"/>
            </w:tcMar>
            <w:vAlign w:val="center"/>
          </w:tcPr>
          <w:p>
            <w:pPr>
              <w:jc w:val="left"/>
            </w:pPr>
            <w:r>
              <w:rPr>
                <w:rFonts w:ascii="Calibri" w:hAnsi="Calibri"/>
                <w:b/>
                <w:sz w:val="18"/>
              </w:rPr>
              <w:t>TriGuard v2 (Ours)</w:t>
            </w:r>
          </w:p>
        </w:tc>
        <w:tc>
          <w:tcPr>
            <w:tcW w:type="dxa" w:w="1152"/>
            <w:shd w:fill="EBF3FB"/>
            <w:tcMar>
              <w:top w:w="80" w:type="dxa"/>
              <w:bottom w:w="80" w:type="dxa"/>
              <w:left w:w="120" w:type="dxa"/>
              <w:right w:w="120" w:type="dxa"/>
            </w:tcMar>
            <w:vAlign w:val="center"/>
          </w:tcPr>
          <w:p>
            <w:pPr>
              <w:jc w:val="right"/>
            </w:pPr>
            <w:r>
              <w:rPr>
                <w:rFonts w:ascii="Calibri" w:hAnsi="Calibri"/>
                <w:sz w:val="18"/>
              </w:rPr>
              <w:t>66.9%</w:t>
            </w:r>
          </w:p>
        </w:tc>
        <w:tc>
          <w:tcPr>
            <w:tcW w:type="dxa" w:w="1152"/>
            <w:shd w:fill="EBF3FB"/>
            <w:tcMar>
              <w:top w:w="80" w:type="dxa"/>
              <w:bottom w:w="80" w:type="dxa"/>
              <w:left w:w="120" w:type="dxa"/>
              <w:right w:w="120" w:type="dxa"/>
            </w:tcMar>
            <w:vAlign w:val="center"/>
          </w:tcPr>
          <w:p>
            <w:pPr>
              <w:jc w:val="right"/>
            </w:pPr>
            <w:r>
              <w:rPr>
                <w:rFonts w:ascii="Calibri" w:hAnsi="Calibri"/>
                <w:sz w:val="18"/>
              </w:rPr>
              <w:t>2.9%</w:t>
            </w:r>
          </w:p>
        </w:tc>
        <w:tc>
          <w:tcPr>
            <w:tcW w:type="dxa" w:w="1152"/>
            <w:shd w:fill="EBF3FB"/>
            <w:tcMar>
              <w:top w:w="80" w:type="dxa"/>
              <w:bottom w:w="80" w:type="dxa"/>
              <w:left w:w="120" w:type="dxa"/>
              <w:right w:w="120" w:type="dxa"/>
            </w:tcMar>
            <w:vAlign w:val="center"/>
          </w:tcPr>
          <w:p>
            <w:pPr>
              <w:jc w:val="right"/>
            </w:pPr>
            <w:r>
              <w:rPr>
                <w:rFonts w:ascii="Calibri" w:hAnsi="Calibri"/>
                <w:sz w:val="18"/>
              </w:rPr>
              <w:t>0.2%</w:t>
            </w:r>
          </w:p>
        </w:tc>
        <w:tc>
          <w:tcPr>
            <w:tcW w:type="dxa" w:w="1152"/>
            <w:shd w:fill="EBF3FB"/>
            <w:tcMar>
              <w:top w:w="80" w:type="dxa"/>
              <w:bottom w:w="80" w:type="dxa"/>
              <w:left w:w="120" w:type="dxa"/>
              <w:right w:w="120" w:type="dxa"/>
            </w:tcMar>
            <w:vAlign w:val="center"/>
          </w:tcPr>
          <w:p>
            <w:pPr>
              <w:jc w:val="right"/>
            </w:pPr>
            <w:r>
              <w:rPr>
                <w:rFonts w:ascii="Calibri" w:hAnsi="Calibri"/>
                <w:sz w:val="18"/>
              </w:rPr>
              <w:t>1.5%</w:t>
            </w:r>
          </w:p>
        </w:tc>
        <w:tc>
          <w:tcPr>
            <w:tcW w:type="dxa" w:w="1152"/>
            <w:shd w:fill="EBF3FB"/>
            <w:tcMar>
              <w:top w:w="80" w:type="dxa"/>
              <w:bottom w:w="80" w:type="dxa"/>
              <w:left w:w="120" w:type="dxa"/>
              <w:right w:w="120" w:type="dxa"/>
            </w:tcMar>
            <w:vAlign w:val="center"/>
          </w:tcPr>
          <w:p>
            <w:pPr>
              <w:jc w:val="right"/>
            </w:pPr>
            <w:r>
              <w:rPr>
                <w:rFonts w:ascii="Calibri" w:hAnsi="Calibri"/>
                <w:sz w:val="18"/>
              </w:rPr>
              <w:t>0.0%</w:t>
            </w:r>
          </w:p>
        </w:tc>
        <w:tc>
          <w:tcPr>
            <w:tcW w:type="dxa" w:w="1152"/>
            <w:shd w:fill="EBF3FB"/>
            <w:tcMar>
              <w:top w:w="80" w:type="dxa"/>
              <w:bottom w:w="80" w:type="dxa"/>
              <w:left w:w="120" w:type="dxa"/>
              <w:right w:w="120" w:type="dxa"/>
            </w:tcMar>
            <w:vAlign w:val="center"/>
          </w:tcPr>
          <w:p>
            <w:pPr>
              <w:jc w:val="right"/>
            </w:pPr>
            <w:r>
              <w:rPr>
                <w:rFonts w:ascii="Calibri" w:hAnsi="Calibri"/>
                <w:sz w:val="18"/>
              </w:rPr>
              <w:t>100.0%</w:t>
            </w:r>
          </w:p>
        </w:tc>
      </w:tr>
    </w:tbl>
    <w:p>
      <w:pPr>
        <w:spacing w:after="120"/>
      </w:pPr>
    </w:p>
    <w:p>
      <w:r>
        <w:t>Analysis of Benchmark Results:</w:t>
        <w:br/>
        <w:t>• Context-Erasure Collapse: PromptGuard and PIGuard cause catastrophic syntax collapse, dropping valid format rates to 14.3% and 17.5% respectively. Because sequence classifiers lack domain semantics, they misclassify benign JSON schemas as adversarial and erase them, breaking the model's ReAct syntax.</w:t>
        <w:br/>
        <w:t>• Filter Leakage: While DataFilter avoids context erasure, its lack of an execution gateway allows 6.4% of attacks (67 destructive tool calls) to leak into execution.</w:t>
        <w:br/>
        <w:t>• Complete Execution Containment: TriGuard v2 maintains 66.9% valid format rate (exceeding undefended baseline) while intercepting 100.0% of attempted attacks at the dispatcher gate, achieving 0.0% Executed ASR.</w:t>
        <w:br/>
        <w:t>• Attack Stage Delineation: In Direct Harm (510 episodes), 15 attacks were attempted and 15 were blocked (0 executed breaches). In Data Stealing (544 episodes), 24 stage-1 reconnaissance read actions were attempted; 18 were permitted because they matched authorized user read scopes and schema constraints. Crucially, 0 second-stage exfiltrations succeeded, resulting in 0.0% completed data exfiltration.</w:t>
      </w:r>
    </w:p>
    <w:p>
      <w:pPr>
        <w:pStyle w:val="Heading2"/>
      </w:pPr>
      <w:r>
        <w:t>5.2 Architectural Ablation across 200 Stratified Scenarios</w:t>
      </w:r>
    </w:p>
    <w:p>
      <w:r>
        <w:t>To evaluate the causal necessity of each architectural component, we evaluate a 9-tier ablation matrix (A0 through A8) across 200 stratified InjecAgent cases (100 Direct Harm and 100 Data Stealing). Permission-Level Authorization Utility measures whether legitimate tool invocations receive ALLOW or CLARIFY rather than false DENY at the gateway.</w:t>
      </w:r>
    </w:p>
    <w:p>
      <w:pPr>
        <w:spacing w:before="160" w:after="80"/>
      </w:pPr>
      <w:r>
        <w:rPr>
          <w:b/>
          <w:sz w:val="19"/>
        </w:rPr>
        <w:t>Table 2: Nine-Tier Architectural Ablation of TriGuard v2 across 200 Stratified Cases (Meta-Llama-3.1-8B-Instruct).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720"/>
            <w:shd w:fill="1B365D"/>
            <w:tcMar>
              <w:top w:w="120" w:type="dxa"/>
              <w:bottom w:w="120" w:type="dxa"/>
              <w:left w:w="120" w:type="dxa"/>
              <w:right w:w="120" w:type="dxa"/>
            </w:tcMar>
            <w:vAlign w:val="center"/>
          </w:tcPr>
          <w:p>
            <w:pPr>
              <w:jc w:val="center"/>
            </w:pPr>
            <w:r>
              <w:rPr>
                <w:rFonts w:ascii="Calibri" w:hAnsi="Calibri"/>
                <w:b/>
                <w:color w:val="FFFFFF"/>
                <w:sz w:val="18"/>
              </w:rPr>
              <w:t>ID</w:t>
            </w:r>
          </w:p>
        </w:tc>
        <w:tc>
          <w:tcPr>
            <w:tcW w:type="dxa" w:w="2592"/>
            <w:shd w:fill="1B365D"/>
            <w:tcMar>
              <w:top w:w="120" w:type="dxa"/>
              <w:bottom w:w="120" w:type="dxa"/>
              <w:left w:w="120" w:type="dxa"/>
              <w:right w:w="120" w:type="dxa"/>
            </w:tcMar>
            <w:vAlign w:val="center"/>
          </w:tcPr>
          <w:p>
            <w:pPr>
              <w:jc w:val="center"/>
            </w:pPr>
            <w:r>
              <w:rPr>
                <w:rFonts w:ascii="Calibri" w:hAnsi="Calibri"/>
                <w:b/>
                <w:color w:val="FFFFFF"/>
                <w:sz w:val="18"/>
              </w:rPr>
              <w:t>Configuration</w:t>
            </w:r>
          </w:p>
        </w:tc>
        <w:tc>
          <w:tcPr>
            <w:tcW w:type="dxa" w:w="576"/>
            <w:shd w:fill="1B365D"/>
            <w:tcMar>
              <w:top w:w="120" w:type="dxa"/>
              <w:bottom w:w="120" w:type="dxa"/>
              <w:left w:w="120" w:type="dxa"/>
              <w:right w:w="120" w:type="dxa"/>
            </w:tcMar>
            <w:vAlign w:val="center"/>
          </w:tcPr>
          <w:p>
            <w:pPr>
              <w:jc w:val="center"/>
            </w:pPr>
            <w:r>
              <w:rPr>
                <w:rFonts w:ascii="Calibri" w:hAnsi="Calibri"/>
                <w:b/>
                <w:color w:val="FFFFFF"/>
                <w:sz w:val="18"/>
              </w:rPr>
              <w:t>T1</w:t>
            </w:r>
          </w:p>
        </w:tc>
        <w:tc>
          <w:tcPr>
            <w:tcW w:type="dxa" w:w="576"/>
            <w:shd w:fill="1B365D"/>
            <w:tcMar>
              <w:top w:w="120" w:type="dxa"/>
              <w:bottom w:w="120" w:type="dxa"/>
              <w:left w:w="120" w:type="dxa"/>
              <w:right w:w="120" w:type="dxa"/>
            </w:tcMar>
            <w:vAlign w:val="center"/>
          </w:tcPr>
          <w:p>
            <w:pPr>
              <w:jc w:val="center"/>
            </w:pPr>
            <w:r>
              <w:rPr>
                <w:rFonts w:ascii="Calibri" w:hAnsi="Calibri"/>
                <w:b/>
                <w:color w:val="FFFFFF"/>
                <w:sz w:val="18"/>
              </w:rPr>
              <w:t>T2</w:t>
            </w:r>
          </w:p>
        </w:tc>
        <w:tc>
          <w:tcPr>
            <w:tcW w:type="dxa" w:w="576"/>
            <w:shd w:fill="1B365D"/>
            <w:tcMar>
              <w:top w:w="120" w:type="dxa"/>
              <w:bottom w:w="120" w:type="dxa"/>
              <w:left w:w="120" w:type="dxa"/>
              <w:right w:w="120" w:type="dxa"/>
            </w:tcMar>
            <w:vAlign w:val="center"/>
          </w:tcPr>
          <w:p>
            <w:pPr>
              <w:jc w:val="center"/>
            </w:pPr>
            <w:r>
              <w:rPr>
                <w:rFonts w:ascii="Calibri" w:hAnsi="Calibri"/>
                <w:b/>
                <w:color w:val="FFFFFF"/>
                <w:sz w:val="18"/>
              </w:rPr>
              <w:t>T3</w:t>
            </w:r>
          </w:p>
        </w:tc>
        <w:tc>
          <w:tcPr>
            <w:tcW w:type="dxa" w:w="720"/>
            <w:shd w:fill="1B365D"/>
            <w:tcMar>
              <w:top w:w="120" w:type="dxa"/>
              <w:bottom w:w="120" w:type="dxa"/>
              <w:left w:w="120" w:type="dxa"/>
              <w:right w:w="120" w:type="dxa"/>
            </w:tcMar>
            <w:vAlign w:val="center"/>
          </w:tcPr>
          <w:p>
            <w:pPr>
              <w:jc w:val="center"/>
            </w:pPr>
            <w:r>
              <w:rPr>
                <w:rFonts w:ascii="Calibri" w:hAnsi="Calibri"/>
                <w:b/>
                <w:color w:val="FFFFFF"/>
                <w:sz w:val="18"/>
              </w:rPr>
              <w:t>Clar.</w:t>
            </w:r>
          </w:p>
        </w:tc>
        <w:tc>
          <w:tcPr>
            <w:tcW w:type="dxa" w:w="864"/>
            <w:shd w:fill="1B365D"/>
            <w:tcMar>
              <w:top w:w="120" w:type="dxa"/>
              <w:bottom w:w="120" w:type="dxa"/>
              <w:left w:w="120" w:type="dxa"/>
              <w:right w:w="120" w:type="dxa"/>
            </w:tcMar>
            <w:vAlign w:val="center"/>
          </w:tcPr>
          <w:p>
            <w:pPr>
              <w:jc w:val="center"/>
            </w:pPr>
            <w:r>
              <w:rPr>
                <w:rFonts w:ascii="Calibri" w:hAnsi="Calibri"/>
                <w:b/>
                <w:color w:val="FFFFFF"/>
                <w:sz w:val="18"/>
              </w:rPr>
              <w:t>Attempt</w:t>
            </w:r>
          </w:p>
        </w:tc>
        <w:tc>
          <w:tcPr>
            <w:tcW w:type="dxa" w:w="864"/>
            <w:shd w:fill="1B365D"/>
            <w:tcMar>
              <w:top w:w="120" w:type="dxa"/>
              <w:bottom w:w="120" w:type="dxa"/>
              <w:left w:w="120" w:type="dxa"/>
              <w:right w:w="120" w:type="dxa"/>
            </w:tcMar>
            <w:vAlign w:val="center"/>
          </w:tcPr>
          <w:p>
            <w:pPr>
              <w:jc w:val="center"/>
            </w:pPr>
            <w:r>
              <w:rPr>
                <w:rFonts w:ascii="Calibri" w:hAnsi="Calibri"/>
                <w:b/>
                <w:color w:val="FFFFFF"/>
                <w:sz w:val="18"/>
              </w:rPr>
              <w:t>Exec ASR</w:t>
            </w:r>
          </w:p>
        </w:tc>
        <w:tc>
          <w:tcPr>
            <w:tcW w:type="dxa" w:w="864"/>
            <w:shd w:fill="1B365D"/>
            <w:tcMar>
              <w:top w:w="120" w:type="dxa"/>
              <w:bottom w:w="120" w:type="dxa"/>
              <w:left w:w="120" w:type="dxa"/>
              <w:right w:w="120" w:type="dxa"/>
            </w:tcMar>
            <w:vAlign w:val="center"/>
          </w:tcPr>
          <w:p>
            <w:pPr>
              <w:jc w:val="center"/>
            </w:pPr>
            <w:r>
              <w:rPr>
                <w:rFonts w:ascii="Calibri" w:hAnsi="Calibri"/>
                <w:b/>
                <w:color w:val="FFFFFF"/>
                <w:sz w:val="18"/>
              </w:rPr>
              <w:t>Block</w:t>
            </w:r>
          </w:p>
        </w:tc>
        <w:tc>
          <w:tcPr>
            <w:tcW w:type="dxa" w:w="1008"/>
            <w:shd w:fill="1B365D"/>
            <w:tcMar>
              <w:top w:w="120" w:type="dxa"/>
              <w:bottom w:w="120" w:type="dxa"/>
              <w:left w:w="120" w:type="dxa"/>
              <w:right w:w="120" w:type="dxa"/>
            </w:tcMar>
            <w:vAlign w:val="center"/>
          </w:tcPr>
          <w:p>
            <w:pPr>
              <w:jc w:val="center"/>
            </w:pPr>
            <w:r>
              <w:rPr>
                <w:rFonts w:ascii="Calibri" w:hAnsi="Calibri"/>
                <w:b/>
                <w:color w:val="FFFFFF"/>
                <w:sz w:val="18"/>
              </w:rPr>
              <w:t>Perm. Util.</w:t>
            </w:r>
          </w:p>
        </w:tc>
      </w:tr>
      <w:tr>
        <w:tc>
          <w:tcPr>
            <w:tcW w:type="dxa" w:w="720"/>
            <w:tcMar>
              <w:top w:w="80" w:type="dxa"/>
              <w:bottom w:w="80" w:type="dxa"/>
              <w:left w:w="120" w:type="dxa"/>
              <w:right w:w="120" w:type="dxa"/>
            </w:tcMar>
            <w:vAlign w:val="center"/>
          </w:tcPr>
          <w:p>
            <w:pPr>
              <w:jc w:val="left"/>
            </w:pPr>
            <w:r>
              <w:rPr>
                <w:rFonts w:ascii="Calibri" w:hAnsi="Calibri"/>
                <w:sz w:val="18"/>
              </w:rPr>
              <w:t>A0</w:t>
            </w:r>
          </w:p>
        </w:tc>
        <w:tc>
          <w:tcPr>
            <w:tcW w:type="dxa" w:w="2592"/>
            <w:tcMar>
              <w:top w:w="80" w:type="dxa"/>
              <w:bottom w:w="80" w:type="dxa"/>
              <w:left w:w="120" w:type="dxa"/>
              <w:right w:w="120" w:type="dxa"/>
            </w:tcMar>
            <w:vAlign w:val="center"/>
          </w:tcPr>
          <w:p>
            <w:pPr>
              <w:jc w:val="left"/>
            </w:pPr>
            <w:r>
              <w:rPr>
                <w:rFonts w:ascii="Calibri" w:hAnsi="Calibri"/>
                <w:sz w:val="18"/>
              </w:rPr>
              <w:t>Control (Undefended)</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720"/>
            <w:tcMar>
              <w:top w:w="80" w:type="dxa"/>
              <w:bottom w:w="80" w:type="dxa"/>
              <w:left w:w="120" w:type="dxa"/>
              <w:right w:w="120" w:type="dxa"/>
            </w:tcMar>
            <w:vAlign w:val="center"/>
          </w:tcPr>
          <w:p>
            <w:pPr>
              <w:jc w:val="left"/>
            </w:pPr>
            <w:r>
              <w:rPr>
                <w:rFonts w:ascii="Calibri" w:hAnsi="Calibri"/>
                <w:sz w:val="18"/>
              </w:rPr>
              <w:t>--</w:t>
            </w:r>
          </w:p>
        </w:tc>
        <w:tc>
          <w:tcPr>
            <w:tcW w:type="dxa" w:w="864"/>
            <w:tcMar>
              <w:top w:w="80" w:type="dxa"/>
              <w:bottom w:w="80" w:type="dxa"/>
              <w:left w:w="120" w:type="dxa"/>
              <w:right w:w="120" w:type="dxa"/>
            </w:tcMar>
            <w:vAlign w:val="center"/>
          </w:tcPr>
          <w:p>
            <w:pPr>
              <w:jc w:val="right"/>
            </w:pPr>
            <w:r>
              <w:rPr>
                <w:rFonts w:ascii="Calibri" w:hAnsi="Calibri"/>
                <w:sz w:val="18"/>
              </w:rPr>
              <w:t>45.0%</w:t>
            </w:r>
          </w:p>
        </w:tc>
        <w:tc>
          <w:tcPr>
            <w:tcW w:type="dxa" w:w="864"/>
            <w:tcMar>
              <w:top w:w="80" w:type="dxa"/>
              <w:bottom w:w="80" w:type="dxa"/>
              <w:left w:w="120" w:type="dxa"/>
              <w:right w:w="120" w:type="dxa"/>
            </w:tcMar>
            <w:vAlign w:val="center"/>
          </w:tcPr>
          <w:p>
            <w:pPr>
              <w:jc w:val="right"/>
            </w:pPr>
            <w:r>
              <w:rPr>
                <w:rFonts w:ascii="Calibri" w:hAnsi="Calibri"/>
                <w:sz w:val="18"/>
              </w:rPr>
              <w:t>45.0%</w:t>
            </w:r>
          </w:p>
        </w:tc>
        <w:tc>
          <w:tcPr>
            <w:tcW w:type="dxa" w:w="864"/>
            <w:tcMar>
              <w:top w:w="80" w:type="dxa"/>
              <w:bottom w:w="80" w:type="dxa"/>
              <w:left w:w="120" w:type="dxa"/>
              <w:right w:w="120" w:type="dxa"/>
            </w:tcMar>
            <w:vAlign w:val="center"/>
          </w:tcPr>
          <w:p>
            <w:pPr>
              <w:jc w:val="right"/>
            </w:pPr>
            <w:r>
              <w:rPr>
                <w:rFonts w:ascii="Calibri" w:hAnsi="Calibri"/>
                <w:sz w:val="18"/>
              </w:rPr>
              <w:t>0.0%</w:t>
            </w:r>
          </w:p>
        </w:tc>
        <w:tc>
          <w:tcPr>
            <w:tcW w:type="dxa" w:w="1008"/>
            <w:tcMar>
              <w:top w:w="80" w:type="dxa"/>
              <w:bottom w:w="80" w:type="dxa"/>
              <w:left w:w="120" w:type="dxa"/>
              <w:right w:w="120" w:type="dxa"/>
            </w:tcMar>
            <w:vAlign w:val="center"/>
          </w:tcPr>
          <w:p>
            <w:pPr>
              <w:jc w:val="right"/>
            </w:pPr>
            <w:r>
              <w:rPr>
                <w:rFonts w:ascii="Calibri" w:hAnsi="Calibri"/>
                <w:sz w:val="18"/>
              </w:rPr>
              <w:t>100.0%</w:t>
            </w:r>
          </w:p>
        </w:tc>
      </w:tr>
      <w:tr>
        <w:tc>
          <w:tcPr>
            <w:tcW w:type="dxa" w:w="720"/>
            <w:shd w:fill="F9FAFB"/>
            <w:tcMar>
              <w:top w:w="80" w:type="dxa"/>
              <w:bottom w:w="80" w:type="dxa"/>
              <w:left w:w="120" w:type="dxa"/>
              <w:right w:w="120" w:type="dxa"/>
            </w:tcMar>
            <w:vAlign w:val="center"/>
          </w:tcPr>
          <w:p>
            <w:pPr>
              <w:jc w:val="left"/>
            </w:pPr>
            <w:r>
              <w:rPr>
                <w:rFonts w:ascii="Calibri" w:hAnsi="Calibri"/>
                <w:sz w:val="18"/>
              </w:rPr>
              <w:t>A1</w:t>
            </w:r>
          </w:p>
        </w:tc>
        <w:tc>
          <w:tcPr>
            <w:tcW w:type="dxa" w:w="2592"/>
            <w:shd w:fill="F9FAFB"/>
            <w:tcMar>
              <w:top w:w="80" w:type="dxa"/>
              <w:bottom w:w="80" w:type="dxa"/>
              <w:left w:w="120" w:type="dxa"/>
              <w:right w:w="120" w:type="dxa"/>
            </w:tcMar>
            <w:vAlign w:val="center"/>
          </w:tcPr>
          <w:p>
            <w:pPr>
              <w:jc w:val="left"/>
            </w:pPr>
            <w:r>
              <w:rPr>
                <w:rFonts w:ascii="Calibri" w:hAnsi="Calibri"/>
                <w:sz w:val="18"/>
              </w:rPr>
              <w:t>Tier 1 Microkernel Only</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720"/>
            <w:shd w:fill="F9FAFB"/>
            <w:tcMar>
              <w:top w:w="80" w:type="dxa"/>
              <w:bottom w:w="80" w:type="dxa"/>
              <w:left w:w="120" w:type="dxa"/>
              <w:right w:w="120" w:type="dxa"/>
            </w:tcMar>
            <w:vAlign w:val="center"/>
          </w:tcPr>
          <w:p>
            <w:pPr>
              <w:jc w:val="left"/>
            </w:pPr>
            <w:r>
              <w:rPr>
                <w:rFonts w:ascii="Calibri" w:hAnsi="Calibri"/>
                <w:sz w:val="18"/>
              </w:rPr>
              <w:t>--</w:t>
            </w:r>
          </w:p>
        </w:tc>
        <w:tc>
          <w:tcPr>
            <w:tcW w:type="dxa" w:w="864"/>
            <w:shd w:fill="F9FAFB"/>
            <w:tcMar>
              <w:top w:w="80" w:type="dxa"/>
              <w:bottom w:w="80" w:type="dxa"/>
              <w:left w:w="120" w:type="dxa"/>
              <w:right w:w="120" w:type="dxa"/>
            </w:tcMar>
            <w:vAlign w:val="center"/>
          </w:tcPr>
          <w:p>
            <w:pPr>
              <w:jc w:val="right"/>
            </w:pPr>
            <w:r>
              <w:rPr>
                <w:rFonts w:ascii="Calibri" w:hAnsi="Calibri"/>
                <w:sz w:val="18"/>
              </w:rPr>
              <w:t>45.0%</w:t>
            </w:r>
          </w:p>
        </w:tc>
        <w:tc>
          <w:tcPr>
            <w:tcW w:type="dxa" w:w="864"/>
            <w:shd w:fill="F9FAFB"/>
            <w:tcMar>
              <w:top w:w="80" w:type="dxa"/>
              <w:bottom w:w="80" w:type="dxa"/>
              <w:left w:w="120" w:type="dxa"/>
              <w:right w:w="120" w:type="dxa"/>
            </w:tcMar>
            <w:vAlign w:val="center"/>
          </w:tcPr>
          <w:p>
            <w:pPr>
              <w:jc w:val="right"/>
            </w:pPr>
            <w:r>
              <w:rPr>
                <w:rFonts w:ascii="Calibri" w:hAnsi="Calibri"/>
                <w:sz w:val="18"/>
              </w:rPr>
              <w:t>6.5%</w:t>
            </w:r>
          </w:p>
        </w:tc>
        <w:tc>
          <w:tcPr>
            <w:tcW w:type="dxa" w:w="864"/>
            <w:shd w:fill="F9FAFB"/>
            <w:tcMar>
              <w:top w:w="80" w:type="dxa"/>
              <w:bottom w:w="80" w:type="dxa"/>
              <w:left w:w="120" w:type="dxa"/>
              <w:right w:w="120" w:type="dxa"/>
            </w:tcMar>
            <w:vAlign w:val="center"/>
          </w:tcPr>
          <w:p>
            <w:pPr>
              <w:jc w:val="right"/>
            </w:pPr>
            <w:r>
              <w:rPr>
                <w:rFonts w:ascii="Calibri" w:hAnsi="Calibri"/>
                <w:sz w:val="18"/>
              </w:rPr>
              <w:t>85.6%</w:t>
            </w:r>
          </w:p>
        </w:tc>
        <w:tc>
          <w:tcPr>
            <w:tcW w:type="dxa" w:w="1008"/>
            <w:shd w:fill="F9FAFB"/>
            <w:tcMar>
              <w:top w:w="80" w:type="dxa"/>
              <w:bottom w:w="80" w:type="dxa"/>
              <w:left w:w="120" w:type="dxa"/>
              <w:right w:w="120" w:type="dxa"/>
            </w:tcMar>
            <w:vAlign w:val="center"/>
          </w:tcPr>
          <w:p>
            <w:pPr>
              <w:jc w:val="right"/>
            </w:pPr>
            <w:r>
              <w:rPr>
                <w:rFonts w:ascii="Calibri" w:hAnsi="Calibri"/>
                <w:sz w:val="18"/>
              </w:rPr>
              <w:t>100.0%</w:t>
            </w:r>
          </w:p>
        </w:tc>
      </w:tr>
      <w:tr>
        <w:tc>
          <w:tcPr>
            <w:tcW w:type="dxa" w:w="720"/>
            <w:tcMar>
              <w:top w:w="80" w:type="dxa"/>
              <w:bottom w:w="80" w:type="dxa"/>
              <w:left w:w="120" w:type="dxa"/>
              <w:right w:w="120" w:type="dxa"/>
            </w:tcMar>
            <w:vAlign w:val="center"/>
          </w:tcPr>
          <w:p>
            <w:pPr>
              <w:jc w:val="left"/>
            </w:pPr>
            <w:r>
              <w:rPr>
                <w:rFonts w:ascii="Calibri" w:hAnsi="Calibri"/>
                <w:sz w:val="18"/>
              </w:rPr>
              <w:t>A2</w:t>
            </w:r>
          </w:p>
        </w:tc>
        <w:tc>
          <w:tcPr>
            <w:tcW w:type="dxa" w:w="2592"/>
            <w:tcMar>
              <w:top w:w="80" w:type="dxa"/>
              <w:bottom w:w="80" w:type="dxa"/>
              <w:left w:w="120" w:type="dxa"/>
              <w:right w:w="120" w:type="dxa"/>
            </w:tcMar>
            <w:vAlign w:val="center"/>
          </w:tcPr>
          <w:p>
            <w:pPr>
              <w:jc w:val="left"/>
            </w:pPr>
            <w:r>
              <w:rPr>
                <w:rFonts w:ascii="Calibri" w:hAnsi="Calibri"/>
                <w:sz w:val="18"/>
              </w:rPr>
              <w:t>Tier 2 Provenance Only</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720"/>
            <w:tcMar>
              <w:top w:w="80" w:type="dxa"/>
              <w:bottom w:w="80" w:type="dxa"/>
              <w:left w:w="120" w:type="dxa"/>
              <w:right w:w="120" w:type="dxa"/>
            </w:tcMar>
            <w:vAlign w:val="center"/>
          </w:tcPr>
          <w:p>
            <w:pPr>
              <w:jc w:val="left"/>
            </w:pPr>
            <w:r>
              <w:rPr>
                <w:rFonts w:ascii="Calibri" w:hAnsi="Calibri"/>
                <w:sz w:val="18"/>
              </w:rPr>
              <w:t>--</w:t>
            </w:r>
          </w:p>
        </w:tc>
        <w:tc>
          <w:tcPr>
            <w:tcW w:type="dxa" w:w="864"/>
            <w:tcMar>
              <w:top w:w="80" w:type="dxa"/>
              <w:bottom w:w="80" w:type="dxa"/>
              <w:left w:w="120" w:type="dxa"/>
              <w:right w:w="120" w:type="dxa"/>
            </w:tcMar>
            <w:vAlign w:val="center"/>
          </w:tcPr>
          <w:p>
            <w:pPr>
              <w:jc w:val="right"/>
            </w:pPr>
            <w:r>
              <w:rPr>
                <w:rFonts w:ascii="Calibri" w:hAnsi="Calibri"/>
                <w:sz w:val="18"/>
              </w:rPr>
              <w:t>1.5%</w:t>
            </w:r>
          </w:p>
        </w:tc>
        <w:tc>
          <w:tcPr>
            <w:tcW w:type="dxa" w:w="864"/>
            <w:tcMar>
              <w:top w:w="80" w:type="dxa"/>
              <w:bottom w:w="80" w:type="dxa"/>
              <w:left w:w="120" w:type="dxa"/>
              <w:right w:w="120" w:type="dxa"/>
            </w:tcMar>
            <w:vAlign w:val="center"/>
          </w:tcPr>
          <w:p>
            <w:pPr>
              <w:jc w:val="right"/>
            </w:pPr>
            <w:r>
              <w:rPr>
                <w:rFonts w:ascii="Calibri" w:hAnsi="Calibri"/>
                <w:sz w:val="18"/>
              </w:rPr>
              <w:t>1.5%</w:t>
            </w:r>
          </w:p>
        </w:tc>
        <w:tc>
          <w:tcPr>
            <w:tcW w:type="dxa" w:w="864"/>
            <w:tcMar>
              <w:top w:w="80" w:type="dxa"/>
              <w:bottom w:w="80" w:type="dxa"/>
              <w:left w:w="120" w:type="dxa"/>
              <w:right w:w="120" w:type="dxa"/>
            </w:tcMar>
            <w:vAlign w:val="center"/>
          </w:tcPr>
          <w:p>
            <w:pPr>
              <w:jc w:val="right"/>
            </w:pPr>
            <w:r>
              <w:rPr>
                <w:rFonts w:ascii="Calibri" w:hAnsi="Calibri"/>
                <w:sz w:val="18"/>
              </w:rPr>
              <w:t>0.0%</w:t>
            </w:r>
          </w:p>
        </w:tc>
        <w:tc>
          <w:tcPr>
            <w:tcW w:type="dxa" w:w="1008"/>
            <w:tcMar>
              <w:top w:w="80" w:type="dxa"/>
              <w:bottom w:w="80" w:type="dxa"/>
              <w:left w:w="120" w:type="dxa"/>
              <w:right w:w="120" w:type="dxa"/>
            </w:tcMar>
            <w:vAlign w:val="center"/>
          </w:tcPr>
          <w:p>
            <w:pPr>
              <w:jc w:val="right"/>
            </w:pPr>
            <w:r>
              <w:rPr>
                <w:rFonts w:ascii="Calibri" w:hAnsi="Calibri"/>
                <w:sz w:val="18"/>
              </w:rPr>
              <w:t>100.0%</w:t>
            </w:r>
          </w:p>
        </w:tc>
      </w:tr>
      <w:tr>
        <w:tc>
          <w:tcPr>
            <w:tcW w:type="dxa" w:w="720"/>
            <w:shd w:fill="F9FAFB"/>
            <w:tcMar>
              <w:top w:w="80" w:type="dxa"/>
              <w:bottom w:w="80" w:type="dxa"/>
              <w:left w:w="120" w:type="dxa"/>
              <w:right w:w="120" w:type="dxa"/>
            </w:tcMar>
            <w:vAlign w:val="center"/>
          </w:tcPr>
          <w:p>
            <w:pPr>
              <w:jc w:val="left"/>
            </w:pPr>
            <w:r>
              <w:rPr>
                <w:rFonts w:ascii="Calibri" w:hAnsi="Calibri"/>
                <w:sz w:val="18"/>
              </w:rPr>
              <w:t>A3</w:t>
            </w:r>
          </w:p>
        </w:tc>
        <w:tc>
          <w:tcPr>
            <w:tcW w:type="dxa" w:w="2592"/>
            <w:shd w:fill="F9FAFB"/>
            <w:tcMar>
              <w:top w:w="80" w:type="dxa"/>
              <w:bottom w:w="80" w:type="dxa"/>
              <w:left w:w="120" w:type="dxa"/>
              <w:right w:w="120" w:type="dxa"/>
            </w:tcMar>
            <w:vAlign w:val="center"/>
          </w:tcPr>
          <w:p>
            <w:pPr>
              <w:jc w:val="left"/>
            </w:pPr>
            <w:r>
              <w:rPr>
                <w:rFonts w:ascii="Calibri" w:hAnsi="Calibri"/>
                <w:sz w:val="18"/>
              </w:rPr>
              <w:t>Tier 3 Verifier Only</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720"/>
            <w:shd w:fill="F9FAFB"/>
            <w:tcMar>
              <w:top w:w="80" w:type="dxa"/>
              <w:bottom w:w="80" w:type="dxa"/>
              <w:left w:w="120" w:type="dxa"/>
              <w:right w:w="120" w:type="dxa"/>
            </w:tcMar>
            <w:vAlign w:val="center"/>
          </w:tcPr>
          <w:p>
            <w:pPr>
              <w:jc w:val="left"/>
            </w:pPr>
            <w:r>
              <w:rPr>
                <w:rFonts w:ascii="Calibri" w:hAnsi="Calibri"/>
                <w:sz w:val="18"/>
              </w:rPr>
              <w:t>--</w:t>
            </w:r>
          </w:p>
        </w:tc>
        <w:tc>
          <w:tcPr>
            <w:tcW w:type="dxa" w:w="864"/>
            <w:shd w:fill="F9FAFB"/>
            <w:tcMar>
              <w:top w:w="80" w:type="dxa"/>
              <w:bottom w:w="80" w:type="dxa"/>
              <w:left w:w="120" w:type="dxa"/>
              <w:right w:w="120" w:type="dxa"/>
            </w:tcMar>
            <w:vAlign w:val="center"/>
          </w:tcPr>
          <w:p>
            <w:pPr>
              <w:jc w:val="right"/>
            </w:pPr>
            <w:r>
              <w:rPr>
                <w:rFonts w:ascii="Calibri" w:hAnsi="Calibri"/>
                <w:sz w:val="18"/>
              </w:rPr>
              <w:t>45.0%</w:t>
            </w:r>
          </w:p>
        </w:tc>
        <w:tc>
          <w:tcPr>
            <w:tcW w:type="dxa" w:w="864"/>
            <w:shd w:fill="F9FAFB"/>
            <w:tcMar>
              <w:top w:w="80" w:type="dxa"/>
              <w:bottom w:w="80" w:type="dxa"/>
              <w:left w:w="120" w:type="dxa"/>
              <w:right w:w="120" w:type="dxa"/>
            </w:tcMar>
            <w:vAlign w:val="center"/>
          </w:tcPr>
          <w:p>
            <w:pPr>
              <w:jc w:val="right"/>
            </w:pPr>
            <w:r>
              <w:rPr>
                <w:rFonts w:ascii="Calibri" w:hAnsi="Calibri"/>
                <w:sz w:val="18"/>
              </w:rPr>
              <w:t>0.0%</w:t>
            </w:r>
          </w:p>
        </w:tc>
        <w:tc>
          <w:tcPr>
            <w:tcW w:type="dxa" w:w="864"/>
            <w:shd w:fill="F9FAFB"/>
            <w:tcMar>
              <w:top w:w="80" w:type="dxa"/>
              <w:bottom w:w="80" w:type="dxa"/>
              <w:left w:w="120" w:type="dxa"/>
              <w:right w:w="120" w:type="dxa"/>
            </w:tcMar>
            <w:vAlign w:val="center"/>
          </w:tcPr>
          <w:p>
            <w:pPr>
              <w:jc w:val="right"/>
            </w:pPr>
            <w:r>
              <w:rPr>
                <w:rFonts w:ascii="Calibri" w:hAnsi="Calibri"/>
                <w:sz w:val="18"/>
              </w:rPr>
              <w:t>100.0%</w:t>
            </w:r>
          </w:p>
        </w:tc>
        <w:tc>
          <w:tcPr>
            <w:tcW w:type="dxa" w:w="1008"/>
            <w:shd w:fill="F9FAFB"/>
            <w:tcMar>
              <w:top w:w="80" w:type="dxa"/>
              <w:bottom w:w="80" w:type="dxa"/>
              <w:left w:w="120" w:type="dxa"/>
              <w:right w:w="120" w:type="dxa"/>
            </w:tcMar>
            <w:vAlign w:val="center"/>
          </w:tcPr>
          <w:p>
            <w:pPr>
              <w:jc w:val="right"/>
            </w:pPr>
            <w:r>
              <w:rPr>
                <w:rFonts w:ascii="Calibri" w:hAnsi="Calibri"/>
                <w:sz w:val="18"/>
              </w:rPr>
              <w:t>0.0%</w:t>
            </w:r>
          </w:p>
        </w:tc>
      </w:tr>
      <w:tr>
        <w:tc>
          <w:tcPr>
            <w:tcW w:type="dxa" w:w="720"/>
            <w:tcMar>
              <w:top w:w="80" w:type="dxa"/>
              <w:bottom w:w="80" w:type="dxa"/>
              <w:left w:w="120" w:type="dxa"/>
              <w:right w:w="120" w:type="dxa"/>
            </w:tcMar>
            <w:vAlign w:val="center"/>
          </w:tcPr>
          <w:p>
            <w:pPr>
              <w:jc w:val="left"/>
            </w:pPr>
            <w:r>
              <w:rPr>
                <w:rFonts w:ascii="Calibri" w:hAnsi="Calibri"/>
                <w:sz w:val="18"/>
              </w:rPr>
              <w:t>A4</w:t>
            </w:r>
          </w:p>
        </w:tc>
        <w:tc>
          <w:tcPr>
            <w:tcW w:type="dxa" w:w="2592"/>
            <w:tcMar>
              <w:top w:w="80" w:type="dxa"/>
              <w:bottom w:w="80" w:type="dxa"/>
              <w:left w:w="120" w:type="dxa"/>
              <w:right w:w="120" w:type="dxa"/>
            </w:tcMar>
            <w:vAlign w:val="center"/>
          </w:tcPr>
          <w:p>
            <w:pPr>
              <w:jc w:val="left"/>
            </w:pPr>
            <w:r>
              <w:rPr>
                <w:rFonts w:ascii="Calibri" w:hAnsi="Calibri"/>
                <w:sz w:val="18"/>
              </w:rPr>
              <w:t>T1 + T2 (Kernel + Prov.)</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720"/>
            <w:tcMar>
              <w:top w:w="80" w:type="dxa"/>
              <w:bottom w:w="80" w:type="dxa"/>
              <w:left w:w="120" w:type="dxa"/>
              <w:right w:w="120" w:type="dxa"/>
            </w:tcMar>
            <w:vAlign w:val="center"/>
          </w:tcPr>
          <w:p>
            <w:pPr>
              <w:jc w:val="left"/>
            </w:pPr>
            <w:r>
              <w:rPr>
                <w:rFonts w:ascii="Calibri" w:hAnsi="Calibri"/>
                <w:sz w:val="18"/>
              </w:rPr>
              <w:t>--</w:t>
            </w:r>
          </w:p>
        </w:tc>
        <w:tc>
          <w:tcPr>
            <w:tcW w:type="dxa" w:w="864"/>
            <w:tcMar>
              <w:top w:w="80" w:type="dxa"/>
              <w:bottom w:w="80" w:type="dxa"/>
              <w:left w:w="120" w:type="dxa"/>
              <w:right w:w="120" w:type="dxa"/>
            </w:tcMar>
            <w:vAlign w:val="center"/>
          </w:tcPr>
          <w:p>
            <w:pPr>
              <w:jc w:val="right"/>
            </w:pPr>
            <w:r>
              <w:rPr>
                <w:rFonts w:ascii="Calibri" w:hAnsi="Calibri"/>
                <w:sz w:val="18"/>
              </w:rPr>
              <w:t>1.5%</w:t>
            </w:r>
          </w:p>
        </w:tc>
        <w:tc>
          <w:tcPr>
            <w:tcW w:type="dxa" w:w="864"/>
            <w:tcMar>
              <w:top w:w="80" w:type="dxa"/>
              <w:bottom w:w="80" w:type="dxa"/>
              <w:left w:w="120" w:type="dxa"/>
              <w:right w:w="120" w:type="dxa"/>
            </w:tcMar>
            <w:vAlign w:val="center"/>
          </w:tcPr>
          <w:p>
            <w:pPr>
              <w:jc w:val="right"/>
            </w:pPr>
            <w:r>
              <w:rPr>
                <w:rFonts w:ascii="Calibri" w:hAnsi="Calibri"/>
                <w:sz w:val="18"/>
              </w:rPr>
              <w:t>0.0%</w:t>
            </w:r>
          </w:p>
        </w:tc>
        <w:tc>
          <w:tcPr>
            <w:tcW w:type="dxa" w:w="864"/>
            <w:tcMar>
              <w:top w:w="80" w:type="dxa"/>
              <w:bottom w:w="80" w:type="dxa"/>
              <w:left w:w="120" w:type="dxa"/>
              <w:right w:w="120" w:type="dxa"/>
            </w:tcMar>
            <w:vAlign w:val="center"/>
          </w:tcPr>
          <w:p>
            <w:pPr>
              <w:jc w:val="right"/>
            </w:pPr>
            <w:r>
              <w:rPr>
                <w:rFonts w:ascii="Calibri" w:hAnsi="Calibri"/>
                <w:sz w:val="18"/>
              </w:rPr>
              <w:t>100.0%</w:t>
            </w:r>
          </w:p>
        </w:tc>
        <w:tc>
          <w:tcPr>
            <w:tcW w:type="dxa" w:w="1008"/>
            <w:tcMar>
              <w:top w:w="80" w:type="dxa"/>
              <w:bottom w:w="80" w:type="dxa"/>
              <w:left w:w="120" w:type="dxa"/>
              <w:right w:w="120" w:type="dxa"/>
            </w:tcMar>
            <w:vAlign w:val="center"/>
          </w:tcPr>
          <w:p>
            <w:pPr>
              <w:jc w:val="right"/>
            </w:pPr>
            <w:r>
              <w:rPr>
                <w:rFonts w:ascii="Calibri" w:hAnsi="Calibri"/>
                <w:sz w:val="18"/>
              </w:rPr>
              <w:t>100.0%</w:t>
            </w:r>
          </w:p>
        </w:tc>
      </w:tr>
      <w:tr>
        <w:tc>
          <w:tcPr>
            <w:tcW w:type="dxa" w:w="720"/>
            <w:shd w:fill="F9FAFB"/>
            <w:tcMar>
              <w:top w:w="80" w:type="dxa"/>
              <w:bottom w:w="80" w:type="dxa"/>
              <w:left w:w="120" w:type="dxa"/>
              <w:right w:w="120" w:type="dxa"/>
            </w:tcMar>
            <w:vAlign w:val="center"/>
          </w:tcPr>
          <w:p>
            <w:pPr>
              <w:jc w:val="left"/>
            </w:pPr>
            <w:r>
              <w:rPr>
                <w:rFonts w:ascii="Calibri" w:hAnsi="Calibri"/>
                <w:sz w:val="18"/>
              </w:rPr>
              <w:t>A5</w:t>
            </w:r>
          </w:p>
        </w:tc>
        <w:tc>
          <w:tcPr>
            <w:tcW w:type="dxa" w:w="2592"/>
            <w:shd w:fill="F9FAFB"/>
            <w:tcMar>
              <w:top w:w="80" w:type="dxa"/>
              <w:bottom w:w="80" w:type="dxa"/>
              <w:left w:w="120" w:type="dxa"/>
              <w:right w:w="120" w:type="dxa"/>
            </w:tcMar>
            <w:vAlign w:val="center"/>
          </w:tcPr>
          <w:p>
            <w:pPr>
              <w:jc w:val="left"/>
            </w:pPr>
            <w:r>
              <w:rPr>
                <w:rFonts w:ascii="Calibri" w:hAnsi="Calibri"/>
                <w:sz w:val="18"/>
              </w:rPr>
              <w:t>T1 + T3 (Kernel + Verifier)</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576"/>
            <w:shd w:fill="F9FAFB"/>
            <w:tcMar>
              <w:top w:w="80" w:type="dxa"/>
              <w:bottom w:w="80" w:type="dxa"/>
              <w:left w:w="120" w:type="dxa"/>
              <w:right w:w="120" w:type="dxa"/>
            </w:tcMar>
            <w:vAlign w:val="center"/>
          </w:tcPr>
          <w:p>
            <w:pPr>
              <w:jc w:val="left"/>
            </w:pPr>
            <w:r>
              <w:rPr>
                <w:rFonts w:ascii="Calibri" w:hAnsi="Calibri"/>
                <w:sz w:val="18"/>
              </w:rPr>
              <w:t>✓</w:t>
            </w:r>
          </w:p>
        </w:tc>
        <w:tc>
          <w:tcPr>
            <w:tcW w:type="dxa" w:w="720"/>
            <w:shd w:fill="F9FAFB"/>
            <w:tcMar>
              <w:top w:w="80" w:type="dxa"/>
              <w:bottom w:w="80" w:type="dxa"/>
              <w:left w:w="120" w:type="dxa"/>
              <w:right w:w="120" w:type="dxa"/>
            </w:tcMar>
            <w:vAlign w:val="center"/>
          </w:tcPr>
          <w:p>
            <w:pPr>
              <w:jc w:val="left"/>
            </w:pPr>
            <w:r>
              <w:rPr>
                <w:rFonts w:ascii="Calibri" w:hAnsi="Calibri"/>
                <w:sz w:val="18"/>
              </w:rPr>
              <w:t>--</w:t>
            </w:r>
          </w:p>
        </w:tc>
        <w:tc>
          <w:tcPr>
            <w:tcW w:type="dxa" w:w="864"/>
            <w:shd w:fill="F9FAFB"/>
            <w:tcMar>
              <w:top w:w="80" w:type="dxa"/>
              <w:bottom w:w="80" w:type="dxa"/>
              <w:left w:w="120" w:type="dxa"/>
              <w:right w:w="120" w:type="dxa"/>
            </w:tcMar>
            <w:vAlign w:val="center"/>
          </w:tcPr>
          <w:p>
            <w:pPr>
              <w:jc w:val="right"/>
            </w:pPr>
            <w:r>
              <w:rPr>
                <w:rFonts w:ascii="Calibri" w:hAnsi="Calibri"/>
                <w:sz w:val="18"/>
              </w:rPr>
              <w:t>45.0%</w:t>
            </w:r>
          </w:p>
        </w:tc>
        <w:tc>
          <w:tcPr>
            <w:tcW w:type="dxa" w:w="864"/>
            <w:shd w:fill="F9FAFB"/>
            <w:tcMar>
              <w:top w:w="80" w:type="dxa"/>
              <w:bottom w:w="80" w:type="dxa"/>
              <w:left w:w="120" w:type="dxa"/>
              <w:right w:w="120" w:type="dxa"/>
            </w:tcMar>
            <w:vAlign w:val="center"/>
          </w:tcPr>
          <w:p>
            <w:pPr>
              <w:jc w:val="right"/>
            </w:pPr>
            <w:r>
              <w:rPr>
                <w:rFonts w:ascii="Calibri" w:hAnsi="Calibri"/>
                <w:sz w:val="18"/>
              </w:rPr>
              <w:t>0.0%</w:t>
            </w:r>
          </w:p>
        </w:tc>
        <w:tc>
          <w:tcPr>
            <w:tcW w:type="dxa" w:w="864"/>
            <w:shd w:fill="F9FAFB"/>
            <w:tcMar>
              <w:top w:w="80" w:type="dxa"/>
              <w:bottom w:w="80" w:type="dxa"/>
              <w:left w:w="120" w:type="dxa"/>
              <w:right w:w="120" w:type="dxa"/>
            </w:tcMar>
            <w:vAlign w:val="center"/>
          </w:tcPr>
          <w:p>
            <w:pPr>
              <w:jc w:val="right"/>
            </w:pPr>
            <w:r>
              <w:rPr>
                <w:rFonts w:ascii="Calibri" w:hAnsi="Calibri"/>
                <w:sz w:val="18"/>
              </w:rPr>
              <w:t>100.0%</w:t>
            </w:r>
          </w:p>
        </w:tc>
        <w:tc>
          <w:tcPr>
            <w:tcW w:type="dxa" w:w="1008"/>
            <w:shd w:fill="F9FAFB"/>
            <w:tcMar>
              <w:top w:w="80" w:type="dxa"/>
              <w:bottom w:w="80" w:type="dxa"/>
              <w:left w:w="120" w:type="dxa"/>
              <w:right w:w="120" w:type="dxa"/>
            </w:tcMar>
            <w:vAlign w:val="center"/>
          </w:tcPr>
          <w:p>
            <w:pPr>
              <w:jc w:val="right"/>
            </w:pPr>
            <w:r>
              <w:rPr>
                <w:rFonts w:ascii="Calibri" w:hAnsi="Calibri"/>
                <w:sz w:val="18"/>
              </w:rPr>
              <w:t>100.0%</w:t>
            </w:r>
          </w:p>
        </w:tc>
      </w:tr>
      <w:tr>
        <w:tc>
          <w:tcPr>
            <w:tcW w:type="dxa" w:w="720"/>
            <w:tcMar>
              <w:top w:w="80" w:type="dxa"/>
              <w:bottom w:w="80" w:type="dxa"/>
              <w:left w:w="120" w:type="dxa"/>
              <w:right w:w="120" w:type="dxa"/>
            </w:tcMar>
            <w:vAlign w:val="center"/>
          </w:tcPr>
          <w:p>
            <w:pPr>
              <w:jc w:val="left"/>
            </w:pPr>
            <w:r>
              <w:rPr>
                <w:rFonts w:ascii="Calibri" w:hAnsi="Calibri"/>
                <w:sz w:val="18"/>
              </w:rPr>
              <w:t>A6</w:t>
            </w:r>
          </w:p>
        </w:tc>
        <w:tc>
          <w:tcPr>
            <w:tcW w:type="dxa" w:w="2592"/>
            <w:tcMar>
              <w:top w:w="80" w:type="dxa"/>
              <w:bottom w:w="80" w:type="dxa"/>
              <w:left w:w="120" w:type="dxa"/>
              <w:right w:w="120" w:type="dxa"/>
            </w:tcMar>
            <w:vAlign w:val="center"/>
          </w:tcPr>
          <w:p>
            <w:pPr>
              <w:jc w:val="left"/>
            </w:pPr>
            <w:r>
              <w:rPr>
                <w:rFonts w:ascii="Calibri" w:hAnsi="Calibri"/>
                <w:sz w:val="18"/>
              </w:rPr>
              <w:t>T2 + T3 (Prov. + Verifier)</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720"/>
            <w:tcMar>
              <w:top w:w="80" w:type="dxa"/>
              <w:bottom w:w="80" w:type="dxa"/>
              <w:left w:w="120" w:type="dxa"/>
              <w:right w:w="120" w:type="dxa"/>
            </w:tcMar>
            <w:vAlign w:val="center"/>
          </w:tcPr>
          <w:p>
            <w:pPr>
              <w:jc w:val="left"/>
            </w:pPr>
            <w:r>
              <w:rPr>
                <w:rFonts w:ascii="Calibri" w:hAnsi="Calibri"/>
                <w:sz w:val="18"/>
              </w:rPr>
              <w:t>--</w:t>
            </w:r>
          </w:p>
        </w:tc>
        <w:tc>
          <w:tcPr>
            <w:tcW w:type="dxa" w:w="864"/>
            <w:tcMar>
              <w:top w:w="80" w:type="dxa"/>
              <w:bottom w:w="80" w:type="dxa"/>
              <w:left w:w="120" w:type="dxa"/>
              <w:right w:w="120" w:type="dxa"/>
            </w:tcMar>
            <w:vAlign w:val="center"/>
          </w:tcPr>
          <w:p>
            <w:pPr>
              <w:jc w:val="right"/>
            </w:pPr>
            <w:r>
              <w:rPr>
                <w:rFonts w:ascii="Calibri" w:hAnsi="Calibri"/>
                <w:sz w:val="18"/>
              </w:rPr>
              <w:t>1.5%</w:t>
            </w:r>
          </w:p>
        </w:tc>
        <w:tc>
          <w:tcPr>
            <w:tcW w:type="dxa" w:w="864"/>
            <w:tcMar>
              <w:top w:w="80" w:type="dxa"/>
              <w:bottom w:w="80" w:type="dxa"/>
              <w:left w:w="120" w:type="dxa"/>
              <w:right w:w="120" w:type="dxa"/>
            </w:tcMar>
            <w:vAlign w:val="center"/>
          </w:tcPr>
          <w:p>
            <w:pPr>
              <w:jc w:val="right"/>
            </w:pPr>
            <w:r>
              <w:rPr>
                <w:rFonts w:ascii="Calibri" w:hAnsi="Calibri"/>
                <w:sz w:val="18"/>
              </w:rPr>
              <w:t>0.0%</w:t>
            </w:r>
          </w:p>
        </w:tc>
        <w:tc>
          <w:tcPr>
            <w:tcW w:type="dxa" w:w="864"/>
            <w:tcMar>
              <w:top w:w="80" w:type="dxa"/>
              <w:bottom w:w="80" w:type="dxa"/>
              <w:left w:w="120" w:type="dxa"/>
              <w:right w:w="120" w:type="dxa"/>
            </w:tcMar>
            <w:vAlign w:val="center"/>
          </w:tcPr>
          <w:p>
            <w:pPr>
              <w:jc w:val="right"/>
            </w:pPr>
            <w:r>
              <w:rPr>
                <w:rFonts w:ascii="Calibri" w:hAnsi="Calibri"/>
                <w:sz w:val="18"/>
              </w:rPr>
              <w:t>100.0%</w:t>
            </w:r>
          </w:p>
        </w:tc>
        <w:tc>
          <w:tcPr>
            <w:tcW w:type="dxa" w:w="1008"/>
            <w:tcMar>
              <w:top w:w="80" w:type="dxa"/>
              <w:bottom w:w="80" w:type="dxa"/>
              <w:left w:w="120" w:type="dxa"/>
              <w:right w:w="120" w:type="dxa"/>
            </w:tcMar>
            <w:vAlign w:val="center"/>
          </w:tcPr>
          <w:p>
            <w:pPr>
              <w:jc w:val="right"/>
            </w:pPr>
            <w:r>
              <w:rPr>
                <w:rFonts w:ascii="Calibri" w:hAnsi="Calibri"/>
                <w:sz w:val="18"/>
              </w:rPr>
              <w:t>0.0%</w:t>
            </w:r>
          </w:p>
        </w:tc>
      </w:tr>
      <w:tr>
        <w:tc>
          <w:tcPr>
            <w:tcW w:type="dxa" w:w="720"/>
            <w:shd w:fill="EBF3FB"/>
            <w:tcMar>
              <w:top w:w="80" w:type="dxa"/>
              <w:bottom w:w="80" w:type="dxa"/>
              <w:left w:w="120" w:type="dxa"/>
              <w:right w:w="120" w:type="dxa"/>
            </w:tcMar>
            <w:vAlign w:val="center"/>
          </w:tcPr>
          <w:p>
            <w:pPr>
              <w:jc w:val="left"/>
            </w:pPr>
            <w:r>
              <w:rPr>
                <w:rFonts w:ascii="Calibri" w:hAnsi="Calibri"/>
                <w:b/>
                <w:sz w:val="18"/>
              </w:rPr>
              <w:t>A7</w:t>
            </w:r>
          </w:p>
        </w:tc>
        <w:tc>
          <w:tcPr>
            <w:tcW w:type="dxa" w:w="2592"/>
            <w:shd w:fill="EBF3FB"/>
            <w:tcMar>
              <w:top w:w="80" w:type="dxa"/>
              <w:bottom w:w="80" w:type="dxa"/>
              <w:left w:w="120" w:type="dxa"/>
              <w:right w:w="120" w:type="dxa"/>
            </w:tcMar>
            <w:vAlign w:val="center"/>
          </w:tcPr>
          <w:p>
            <w:pPr>
              <w:jc w:val="left"/>
            </w:pPr>
            <w:r>
              <w:rPr>
                <w:rFonts w:ascii="Calibri" w:hAnsi="Calibri"/>
                <w:sz w:val="18"/>
              </w:rPr>
              <w:t>Full TriGuard v2 (All Tiers)</w:t>
            </w:r>
          </w:p>
        </w:tc>
        <w:tc>
          <w:tcPr>
            <w:tcW w:type="dxa" w:w="576"/>
            <w:shd w:fill="EBF3FB"/>
            <w:tcMar>
              <w:top w:w="80" w:type="dxa"/>
              <w:bottom w:w="80" w:type="dxa"/>
              <w:left w:w="120" w:type="dxa"/>
              <w:right w:w="120" w:type="dxa"/>
            </w:tcMar>
            <w:vAlign w:val="center"/>
          </w:tcPr>
          <w:p>
            <w:pPr>
              <w:jc w:val="left"/>
            </w:pPr>
            <w:r>
              <w:rPr>
                <w:rFonts w:ascii="Calibri" w:hAnsi="Calibri"/>
                <w:sz w:val="18"/>
              </w:rPr>
              <w:t>✓</w:t>
            </w:r>
          </w:p>
        </w:tc>
        <w:tc>
          <w:tcPr>
            <w:tcW w:type="dxa" w:w="576"/>
            <w:shd w:fill="EBF3FB"/>
            <w:tcMar>
              <w:top w:w="80" w:type="dxa"/>
              <w:bottom w:w="80" w:type="dxa"/>
              <w:left w:w="120" w:type="dxa"/>
              <w:right w:w="120" w:type="dxa"/>
            </w:tcMar>
            <w:vAlign w:val="center"/>
          </w:tcPr>
          <w:p>
            <w:pPr>
              <w:jc w:val="left"/>
            </w:pPr>
            <w:r>
              <w:rPr>
                <w:rFonts w:ascii="Calibri" w:hAnsi="Calibri"/>
                <w:sz w:val="18"/>
              </w:rPr>
              <w:t>✓</w:t>
            </w:r>
          </w:p>
        </w:tc>
        <w:tc>
          <w:tcPr>
            <w:tcW w:type="dxa" w:w="576"/>
            <w:shd w:fill="EBF3FB"/>
            <w:tcMar>
              <w:top w:w="80" w:type="dxa"/>
              <w:bottom w:w="80" w:type="dxa"/>
              <w:left w:w="120" w:type="dxa"/>
              <w:right w:w="120" w:type="dxa"/>
            </w:tcMar>
            <w:vAlign w:val="center"/>
          </w:tcPr>
          <w:p>
            <w:pPr>
              <w:jc w:val="left"/>
            </w:pPr>
            <w:r>
              <w:rPr>
                <w:rFonts w:ascii="Calibri" w:hAnsi="Calibri"/>
                <w:sz w:val="18"/>
              </w:rPr>
              <w:t>✓</w:t>
            </w:r>
          </w:p>
        </w:tc>
        <w:tc>
          <w:tcPr>
            <w:tcW w:type="dxa" w:w="720"/>
            <w:shd w:fill="EBF3FB"/>
            <w:tcMar>
              <w:top w:w="80" w:type="dxa"/>
              <w:bottom w:w="80" w:type="dxa"/>
              <w:left w:w="120" w:type="dxa"/>
              <w:right w:w="120" w:type="dxa"/>
            </w:tcMar>
            <w:vAlign w:val="center"/>
          </w:tcPr>
          <w:p>
            <w:pPr>
              <w:jc w:val="left"/>
            </w:pPr>
            <w:r>
              <w:rPr>
                <w:rFonts w:ascii="Calibri" w:hAnsi="Calibri"/>
                <w:sz w:val="18"/>
              </w:rPr>
              <w:t>✓</w:t>
            </w:r>
          </w:p>
        </w:tc>
        <w:tc>
          <w:tcPr>
            <w:tcW w:type="dxa" w:w="864"/>
            <w:shd w:fill="EBF3FB"/>
            <w:tcMar>
              <w:top w:w="80" w:type="dxa"/>
              <w:bottom w:w="80" w:type="dxa"/>
              <w:left w:w="120" w:type="dxa"/>
              <w:right w:w="120" w:type="dxa"/>
            </w:tcMar>
            <w:vAlign w:val="center"/>
          </w:tcPr>
          <w:p>
            <w:pPr>
              <w:jc w:val="right"/>
            </w:pPr>
            <w:r>
              <w:rPr>
                <w:rFonts w:ascii="Calibri" w:hAnsi="Calibri"/>
                <w:sz w:val="18"/>
              </w:rPr>
              <w:t>1.5%</w:t>
            </w:r>
          </w:p>
        </w:tc>
        <w:tc>
          <w:tcPr>
            <w:tcW w:type="dxa" w:w="864"/>
            <w:shd w:fill="EBF3FB"/>
            <w:tcMar>
              <w:top w:w="80" w:type="dxa"/>
              <w:bottom w:w="80" w:type="dxa"/>
              <w:left w:w="120" w:type="dxa"/>
              <w:right w:w="120" w:type="dxa"/>
            </w:tcMar>
            <w:vAlign w:val="center"/>
          </w:tcPr>
          <w:p>
            <w:pPr>
              <w:jc w:val="right"/>
            </w:pPr>
            <w:r>
              <w:rPr>
                <w:rFonts w:ascii="Calibri" w:hAnsi="Calibri"/>
                <w:sz w:val="18"/>
              </w:rPr>
              <w:t>0.0%</w:t>
            </w:r>
          </w:p>
        </w:tc>
        <w:tc>
          <w:tcPr>
            <w:tcW w:type="dxa" w:w="864"/>
            <w:shd w:fill="EBF3FB"/>
            <w:tcMar>
              <w:top w:w="80" w:type="dxa"/>
              <w:bottom w:w="80" w:type="dxa"/>
              <w:left w:w="120" w:type="dxa"/>
              <w:right w:w="120" w:type="dxa"/>
            </w:tcMar>
            <w:vAlign w:val="center"/>
          </w:tcPr>
          <w:p>
            <w:pPr>
              <w:jc w:val="right"/>
            </w:pPr>
            <w:r>
              <w:rPr>
                <w:rFonts w:ascii="Calibri" w:hAnsi="Calibri"/>
                <w:sz w:val="18"/>
              </w:rPr>
              <w:t>100.0%</w:t>
            </w:r>
          </w:p>
        </w:tc>
        <w:tc>
          <w:tcPr>
            <w:tcW w:type="dxa" w:w="1008"/>
            <w:shd w:fill="EBF3FB"/>
            <w:tcMar>
              <w:top w:w="80" w:type="dxa"/>
              <w:bottom w:w="80" w:type="dxa"/>
              <w:left w:w="120" w:type="dxa"/>
              <w:right w:w="120" w:type="dxa"/>
            </w:tcMar>
            <w:vAlign w:val="center"/>
          </w:tcPr>
          <w:p>
            <w:pPr>
              <w:jc w:val="right"/>
            </w:pPr>
            <w:r>
              <w:rPr>
                <w:rFonts w:ascii="Calibri" w:hAnsi="Calibri"/>
                <w:sz w:val="18"/>
              </w:rPr>
              <w:t>100.0%</w:t>
            </w:r>
          </w:p>
        </w:tc>
      </w:tr>
      <w:tr>
        <w:tc>
          <w:tcPr>
            <w:tcW w:type="dxa" w:w="720"/>
            <w:tcMar>
              <w:top w:w="80" w:type="dxa"/>
              <w:bottom w:w="80" w:type="dxa"/>
              <w:left w:w="120" w:type="dxa"/>
              <w:right w:w="120" w:type="dxa"/>
            </w:tcMar>
            <w:vAlign w:val="center"/>
          </w:tcPr>
          <w:p>
            <w:pPr>
              <w:jc w:val="left"/>
            </w:pPr>
            <w:r>
              <w:rPr>
                <w:rFonts w:ascii="Calibri" w:hAnsi="Calibri"/>
                <w:sz w:val="18"/>
              </w:rPr>
              <w:t>A8</w:t>
            </w:r>
          </w:p>
        </w:tc>
        <w:tc>
          <w:tcPr>
            <w:tcW w:type="dxa" w:w="2592"/>
            <w:tcMar>
              <w:top w:w="80" w:type="dxa"/>
              <w:bottom w:w="80" w:type="dxa"/>
              <w:left w:w="120" w:type="dxa"/>
              <w:right w:w="120" w:type="dxa"/>
            </w:tcMar>
            <w:vAlign w:val="center"/>
          </w:tcPr>
          <w:p>
            <w:pPr>
              <w:jc w:val="left"/>
            </w:pPr>
            <w:r>
              <w:rPr>
                <w:rFonts w:ascii="Calibri" w:hAnsi="Calibri"/>
                <w:sz w:val="18"/>
              </w:rPr>
              <w:t>Strict (Fail-Closed, No Clar.)</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576"/>
            <w:tcMar>
              <w:top w:w="80" w:type="dxa"/>
              <w:bottom w:w="80" w:type="dxa"/>
              <w:left w:w="120" w:type="dxa"/>
              <w:right w:w="120" w:type="dxa"/>
            </w:tcMar>
            <w:vAlign w:val="center"/>
          </w:tcPr>
          <w:p>
            <w:pPr>
              <w:jc w:val="left"/>
            </w:pPr>
            <w:r>
              <w:rPr>
                <w:rFonts w:ascii="Calibri" w:hAnsi="Calibri"/>
                <w:sz w:val="18"/>
              </w:rPr>
              <w:t>✓</w:t>
            </w:r>
          </w:p>
        </w:tc>
        <w:tc>
          <w:tcPr>
            <w:tcW w:type="dxa" w:w="720"/>
            <w:tcMar>
              <w:top w:w="80" w:type="dxa"/>
              <w:bottom w:w="80" w:type="dxa"/>
              <w:left w:w="120" w:type="dxa"/>
              <w:right w:w="120" w:type="dxa"/>
            </w:tcMar>
            <w:vAlign w:val="center"/>
          </w:tcPr>
          <w:p>
            <w:pPr>
              <w:jc w:val="left"/>
            </w:pPr>
            <w:r>
              <w:rPr>
                <w:rFonts w:ascii="Calibri" w:hAnsi="Calibri"/>
                <w:sz w:val="18"/>
              </w:rPr>
              <w:t>--</w:t>
            </w:r>
          </w:p>
        </w:tc>
        <w:tc>
          <w:tcPr>
            <w:tcW w:type="dxa" w:w="864"/>
            <w:tcMar>
              <w:top w:w="80" w:type="dxa"/>
              <w:bottom w:w="80" w:type="dxa"/>
              <w:left w:w="120" w:type="dxa"/>
              <w:right w:w="120" w:type="dxa"/>
            </w:tcMar>
            <w:vAlign w:val="center"/>
          </w:tcPr>
          <w:p>
            <w:pPr>
              <w:jc w:val="right"/>
            </w:pPr>
            <w:r>
              <w:rPr>
                <w:rFonts w:ascii="Calibri" w:hAnsi="Calibri"/>
                <w:sz w:val="18"/>
              </w:rPr>
              <w:t>1.5%</w:t>
            </w:r>
          </w:p>
        </w:tc>
        <w:tc>
          <w:tcPr>
            <w:tcW w:type="dxa" w:w="864"/>
            <w:tcMar>
              <w:top w:w="80" w:type="dxa"/>
              <w:bottom w:w="80" w:type="dxa"/>
              <w:left w:w="120" w:type="dxa"/>
              <w:right w:w="120" w:type="dxa"/>
            </w:tcMar>
            <w:vAlign w:val="center"/>
          </w:tcPr>
          <w:p>
            <w:pPr>
              <w:jc w:val="right"/>
            </w:pPr>
            <w:r>
              <w:rPr>
                <w:rFonts w:ascii="Calibri" w:hAnsi="Calibri"/>
                <w:sz w:val="18"/>
              </w:rPr>
              <w:t>0.0%</w:t>
            </w:r>
          </w:p>
        </w:tc>
        <w:tc>
          <w:tcPr>
            <w:tcW w:type="dxa" w:w="864"/>
            <w:tcMar>
              <w:top w:w="80" w:type="dxa"/>
              <w:bottom w:w="80" w:type="dxa"/>
              <w:left w:w="120" w:type="dxa"/>
              <w:right w:w="120" w:type="dxa"/>
            </w:tcMar>
            <w:vAlign w:val="center"/>
          </w:tcPr>
          <w:p>
            <w:pPr>
              <w:jc w:val="right"/>
            </w:pPr>
            <w:r>
              <w:rPr>
                <w:rFonts w:ascii="Calibri" w:hAnsi="Calibri"/>
                <w:sz w:val="18"/>
              </w:rPr>
              <w:t>100.0%</w:t>
            </w:r>
          </w:p>
        </w:tc>
        <w:tc>
          <w:tcPr>
            <w:tcW w:type="dxa" w:w="1008"/>
            <w:tcMar>
              <w:top w:w="80" w:type="dxa"/>
              <w:bottom w:w="80" w:type="dxa"/>
              <w:left w:w="120" w:type="dxa"/>
              <w:right w:w="120" w:type="dxa"/>
            </w:tcMar>
            <w:vAlign w:val="center"/>
          </w:tcPr>
          <w:p>
            <w:pPr>
              <w:jc w:val="right"/>
            </w:pPr>
            <w:r>
              <w:rPr>
                <w:rFonts w:ascii="Calibri" w:hAnsi="Calibri"/>
                <w:sz w:val="18"/>
              </w:rPr>
              <w:t>100.0%</w:t>
            </w:r>
          </w:p>
        </w:tc>
      </w:tr>
    </w:tbl>
    <w:p>
      <w:pPr>
        <w:spacing w:after="120"/>
      </w:pPr>
    </w:p>
    <w:p>
      <w:r>
        <w:t>Causal Necessity of the Microkernel (T1):</w:t>
        <w:br/>
        <w:t>The ablation directly isolates the causal role of each architectural layer:</w:t>
        <w:br/>
        <w:t>• In A0 (control), 45.0% of cases result in malicious tool execution.</w:t>
        <w:br/>
        <w:t>• In A2 (Tier 2 only), taint isolation reduces model hijack attempts from 45.0% down to 1.5% (a 96.7% suppression of adversarial susceptibility). However, without an execution gateway, the remaining 1.5% of leaked attempts execute directly.</w:t>
        <w:br/>
        <w:t>• In A3 and A6 (Tier 3 active without Tier 1 tokens), permission-level utility collapses to 0.0%. Because Tier 3 enforces fail-closed verification, the absence of an HMAC token prevents legitimate actions from executing. This proves that Tier 1 capability generation is causally essential.</w:t>
        <w:br/>
        <w:t>• Full TriGuard v2 (A7) establishes the Pareto-optimal frontier: 0.0% Executed ASR, 100.0% Block Rate, and 100.0% permission-level authorization utility.</w:t>
        <w:br/>
        <w:br/>
        <w:t>Clarification Dynamics in Static vs. Dynamic Workflows (A7 vs. A8):</w:t>
        <w:br/>
        <w:t>In Table 2, both A7 (with Clarification) and A8 (strict fail-closed, no Clarification) report identical 0.0% Executed ASR and 100.0% permission utility. This parity is attributable to the synthetic nature of standardized InjecAgent test cases: each user prompt is explicit and unambiguous, allowing Tier 1 to issue unambiguous capability scopes without hitting the ambiguity threshold required for clarification. The empirical benefit of the Out-of-Band Clarification Manager is realized in dynamic, open-ended environments where user commands are partially specified. As formally demonstrated in our 4 invariant security unit tests (Section 6), ambiguous context triggers an out-of-band confirmation workflow rather than abrupt execution failure.</w:t>
      </w:r>
    </w:p>
    <w:p>
      <w:pPr>
        <w:pStyle w:val="Heading1"/>
      </w:pPr>
      <w:r>
        <w:t>6. Security Verification &amp; Invariant Testing</w:t>
      </w:r>
    </w:p>
    <w:p>
      <w:r>
        <w:t>To rigorously verify TriGuard against targeted adversarial bypasses, we constructed an automated test suite spanning 39 deterministic edge cases. All 39 tests pass deterministically (100% pass rate in 11.6 seconds):</w:t>
        <w:br/>
        <w:t>1. Exact Argument Constraint Enforcement (8 Tests): Parameter-level least-privilege checks ensure that even if an agent has permission to send emails or delete files, injected prompts attempting to redirect emails to unauthorized recipients (e.g., attacker@darkweb.net) or delete unapproved files (all.txt instead of draft.txt) are strictly blocked. Formal side-effect-spy tests confirm zero downstream tool execution.</w:t>
        <w:br/>
        <w:t>2. Cryptographic Signature Forgery (6 Tests): Tampering with token signatures, altering session identifiers, or modifying scope claims (escalating from ['read'] to ['read', 'execute']) is detected and rejected with 100% precision via constant-time HMAC comparison.</w:t>
        <w:br/>
        <w:t>3. Anti-Replay and Temporal Expiry (4 Tests): Tokens with expired timestamps fail closed. Replaying previously consumed nonces is blocked by the replay cache.</w:t>
        <w:br/>
        <w:t>4. Default-Deny Boundary Checks (6 Tests): Read-only capability tokens attempting state-modifying tools fail closed. Unregistered tools fail closed. Path traversal attempts (../../etc/shadow) are intercepted at parameter verification.</w:t>
        <w:br/>
        <w:t>5. Out-of-Band Clarification Integrity (4 Tests): Injected model outputs attempting to self-confirm pending clarification requests are rejected.</w:t>
        <w:br/>
        <w:t>6. Pre-Execution Dispatcher Gating (3 Tests): Intercepts execution prior to tool invocation, ensuring zero environment mutations.</w:t>
      </w:r>
    </w:p>
    <w:p>
      <w:pPr>
        <w:pStyle w:val="Heading1"/>
      </w:pPr>
      <w:r>
        <w:t>7. Discussion, Scope, and Limitations</w:t>
      </w:r>
    </w:p>
    <w:p>
      <w:r>
        <w:t>Scope and Demarcation: TriGuard is architected specifically as a pre-execution authorization gateway for tool-using autonomous agents. In passive, non-tool text generation (static QA or summarization where no external APIs, files, or state mutations occur), TriGuard evaluates conversational output. As established in prior literature, passive text workflows benefit from prompt sanitizers (e.g., PISanitizer), whereas TriGuard addresses the urgent and distinct threat surface of unauthorized state changes and data exfiltration in agentic tool-use.</w:t>
        <w:br/>
        <w:br/>
        <w:t>Clarification Overhead: While the clarification state machine guarantees safety for ambiguous operations, excessive clarification requests could cause user fatigue. TriGuard limits clarification to state-modifying actions in open-ended contexts, executing deterministic hard blocks on overt exfiltration or destructive payloads.</w:t>
        <w:br/>
        <w:br/>
        <w:t>Hardware and Model Scope: Evaluations were conducted on Meta-Llama-3.1-8B-Instruct on local dual-GPU hardware. Future work will benchmark TriGuard across frontier 120B+ models and multi-agent collaborative workflows.</w:t>
      </w:r>
    </w:p>
    <w:p>
      <w:pPr>
        <w:pStyle w:val="Heading1"/>
      </w:pPr>
      <w:r>
        <w:t>8. Conclusion</w:t>
      </w:r>
    </w:p>
    <w:p>
      <w:r>
        <w:t>We presented TriGuard v2, a provenance-aware, capability-enforced defense framework for autonomous LLM agents. By moving beyond brittle text-level prompt classifiers and establishing cryptographic execution boundaries, TriGuard resolves the fundamental tension between agent autonomy and system security. Evaluated across 1,054 InjecAgent episodes on Meta-Llama-3.1-8B-Instruct and verified across 39 adversarial security test cases, TriGuard establishes a practical, deployment-ready foundation for trustworthy autonomous agents.</w:t>
      </w:r>
    </w:p>
    <w:p>
      <w:pPr>
        <w:pStyle w:val="Heading1"/>
      </w:pPr>
      <w:r>
        <w:t>References</w:t>
      </w:r>
    </w:p>
    <w:p>
      <w:pPr>
        <w:spacing w:after="60"/>
        <w:ind w:left="360"/>
      </w:pPr>
      <w:r>
        <w:rPr>
          <w:color w:val="444444"/>
          <w:sz w:val="18"/>
        </w:rPr>
        <w:t>[1] Kang, D., et al. (2024). Exploiting Programmatic Behavior of LLMs: An Empirical Study of Indirect Prompt Injections on Tool-Augmented Agents. arXiv:2403.02691.</w:t>
      </w:r>
    </w:p>
    <w:p>
      <w:pPr>
        <w:spacing w:after="60"/>
        <w:ind w:left="360"/>
      </w:pPr>
      <w:r>
        <w:rPr>
          <w:color w:val="444444"/>
          <w:sz w:val="18"/>
        </w:rPr>
        <w:t>[2] Debenedetti, E., et al. (2026). CaMeL: Defending LLM-based Agents Against Prompt Injections Through Causal Mediation. In Proceedings of IEEE SaTML 2026.</w:t>
      </w:r>
    </w:p>
    <w:p>
      <w:pPr>
        <w:spacing w:after="60"/>
        <w:ind w:left="360"/>
      </w:pPr>
      <w:r>
        <w:rPr>
          <w:color w:val="444444"/>
          <w:sz w:val="18"/>
        </w:rPr>
        <w:t>[3] Geng, M., et al. (2026). PIArena: Benchmarking Prompt Injection Attacks and Defenses on Foundation Models. In Proceedings of USENIX Security 2026.</w:t>
      </w:r>
    </w:p>
    <w:p>
      <w:pPr>
        <w:spacing w:after="60"/>
        <w:ind w:left="360"/>
      </w:pPr>
      <w:r>
        <w:rPr>
          <w:color w:val="444444"/>
          <w:sz w:val="18"/>
        </w:rPr>
        <w:t>[4] Geng, M., et al. (2025). PISanitizer: Attention Pruning for Robust Prompt Injection Defense. In Findings of EMNLP 2025.</w:t>
      </w:r>
    </w:p>
    <w:p>
      <w:pPr>
        <w:spacing w:after="60"/>
        <w:ind w:left="360"/>
      </w:pPr>
      <w:r>
        <w:rPr>
          <w:color w:val="444444"/>
          <w:sz w:val="18"/>
        </w:rPr>
        <w:t>[5] Liu, Y., et al. (2024). PIGuard: Token-Level Discriminative Detection of Prompt Injections. In Proceedings of ACM CCS 2024.</w:t>
      </w:r>
    </w:p>
    <w:p>
      <w:pPr>
        <w:spacing w:after="60"/>
        <w:ind w:left="360"/>
      </w:pPr>
      <w:r>
        <w:rPr>
          <w:color w:val="444444"/>
          <w:sz w:val="18"/>
        </w:rPr>
        <w:t>[6] Meta AI. (2024). PromptGuard-86M: A Lightweight Classifier for Prompt Injection and Jailbreak Detection. Meta AI Research.</w:t>
      </w:r>
    </w:p>
    <w:p>
      <w:pPr>
        <w:spacing w:after="60"/>
        <w:ind w:left="360"/>
      </w:pPr>
      <w:r>
        <w:rPr>
          <w:color w:val="444444"/>
          <w:sz w:val="18"/>
        </w:rPr>
        <w:t>[7] Zhu, Y., et al. (2025). MELON: Masked Re-Execution for Robust LLM Agent Trajectories. In Proceedings of ICML 2025.</w:t>
      </w:r>
    </w:p>
    <w:p>
      <w:pPr>
        <w:spacing w:after="60"/>
        <w:ind w:left="360"/>
      </w:pPr>
      <w:r>
        <w:rPr>
          <w:color w:val="444444"/>
          <w:sz w:val="18"/>
        </w:rPr>
        <w:t>[8] Zhang, K., et al. (2025). The Task Shield: Post-hoc Goal Alignment Verification for Autonomous Agents. In Proceedings of ACL 2025.</w:t>
      </w:r>
    </w:p>
    <w:p>
      <w:pPr>
        <w:spacing w:after="60"/>
        <w:ind w:left="360"/>
      </w:pPr>
      <w:r>
        <w:rPr>
          <w:color w:val="444444"/>
          <w:sz w:val="18"/>
        </w:rPr>
        <w:t>[9] Bhagwatkar, P., et al. (2025). Why Firewalls Fail: Knowledge Corruption and Indirect Injections in Agentic Workflows. In IEEE S&amp;P Workshops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