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ПОЛИТИКА FASTORIKA LIMITED ПО ПРОТИВОДЕЙСТВИЮ ЛЕГАЛИЗАЦИИ ДОХОДОВ, ПОЛУЧЕННЫХ ПРЕСТУПНЫМ ПУТЕМ, ФИНАНСИРОВАНИЮ ТЕРРОРИЗМА И ФИНАНСИРОВАНИЮ РАСПРОСТРАНЕНИЯ ОРУЖИЯ МАССОВОГО УНИЧТОЖЕНИЯ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1. Общие положения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 компании Fastorika Limited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(в дальнейшем именуемый как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»,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»,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»,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 является частной компанией с ограниченной ответственностью, зарегистрированной в Белизе под регистрационным номером 000050785. Компания предоставляет программные решения для финансовой инфраструктуры, которые позволяют предприятиям и пользователям инициировать, управлять и отслеживать транзакции через подключенных финансовых партнеров.</w:t>
        <w:br w:type="textWrapping"/>
        <w:br w:type="textWrapping"/>
        <w:t xml:space="preserve">Fastorika Limited работает как поставщик технологий, а не как финансовое учреждение. Мы не владеем, не храним и не управляем средствами клиентов напрямую. Все платежи, обмены и расчеты выполняются лицензированными сторонними поставщиками, интегрированными в нашу платформу.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 Определение Транзакции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Для целей настоящей Политики под Транзакцией понимается любая передача стоимости, платежных требований или обменная операция, инициированная пользователем через платформу Fastorika и обработанная внешним финансовым партнером.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Транзакция в контексте услуг Fastorika считается технической операцией, в рамках которой Fastorika обеспечивает интерфейс и коммуникационный уровень между пользователем и регулируемым поставщиком платежей или обмена.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1.3. Цель Политики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Целью Политики по борьбе с отмыванием денег, финансированием терроризма и финансированием распространения оружия массового уничтожения (далее –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Политика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 является установление принципов и внутренних процедур, направленных на предотвращение использования услуг Fastorika для отмывания денег, финансирования терроризма или финансирования пролиферации.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Fastorika Limited придерживается международных стандартов ПОД/ФТ, включая рекомендации FATF, Директивы ЕС по ПОД/ФТ (4AMLD, 5AMLD, 6AMLD) и соответствующее законодательство Белиза о AML.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Сфера применения и цели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Сфера действия политики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Данная Политика распространяется на всех сотрудников, директоров, подрядчиков, агентов и деловых партнеров Fastorika Limited.It также распространяется на всех пользователей платформы Fastorika и любых третьих лиц, участвующих в обработке транзакций, инициированных через программное обеспечение Fastorika.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Принципы, изложенные в настоящем документе, применяются к каждому взаимодействию, услуге и процессу, в которых технологическая инфраструктура Fastorika используется для облегчения финансовой транзакции или обмена данными между клиентами и регулируемыми финансовыми провайдерами.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Цели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Основными целями настоящей Политики являются: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Предотвратить использование инфраструктуры «Fastorika Limited» для отмывания денег, финансирования терроризма или финансирования распространения оружия;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соблюдение стандартов ФАТФ, Директив ЕС по борьбе с отмыванием денег и законодательства Белиза о борьбе с отмыванием денег;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Внедрение эффективных процедур надлежащей проверки клиентов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и расширенной проверки Fue Diligence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четких и поддающихся проверке записей о транзакциях и проверках клиентов;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Сотрудничать с финансовыми институтами, регулирующими и правоохранительными органами в соответствии с законодательством;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Защита репутации и добросовестности компании «Fastorika Limited» и ее партнеров.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Обязательство по соблюдению нормативных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обязуется полностью соблюдать требования по борьбе с отмыванием денег и финансированием терроризма, применимые к ее бизнес-модели и юрисдикции. Мы постоянно пересматриваем и совершенствуем наши внутренние системы, механизмы обучения и мониторинга, чтобы обеспечить прозрачность деятельности Компании и ее соответствие международным обязательствам в сфере ПОД/ФТ.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3. Риск-ориентированный подход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Общий принцип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применяет риск-ориентированный подход (RBA) для выявления, оценки и снижения рисков отмывания денег, финансирования терроризма и финансирования распространения оружия, связанных со своими услугами.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Такой подход позволяет Компании эффективно распределять ресурсы по соблюдению нормативных требований, уделяя особое внимание клиентам, сделкам и регионам с более высоким уровнем риска, сохраняя при этом пропорциональный контроль для категорий с низким уровнем риска.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Факторы риска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Компания оценивает следующие категории риска: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клиента – основан на характере клиента, его бизнес-модели и репутации.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Географический риск – основан на юрисдикции клиента или его контрагентов, включая страны с высоким уровнем риска или страны, находящиеся под санкциями.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продукта/услуги – в зависимости от типа предоставляемой услуги (например, услуги кошелька, интеграции API, модули соответствия).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Транзакционный риск – в зависимости от размера, частоты и характера транзакций.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hanging="4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 доставки Chanel – основан на том, устанавливаются ли отношения с клиентом онлайн, через посредников или напрямую.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 Классификация рисков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Каждому клиенту и каждой сделке присваивается уровень риска: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Низкий риск: верифицированные клиенты с прозрачной историей и активностью в регулируемых регионах.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Средний риск: клиенты с ограниченной документацией или операциями в нескольких юрисдикциях.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Высокий риск: политически значимые лица, клиенты из стран, находящихся под санкциями, или транзакции, связанные с анонимными технологиями или технологиями, повышающими конфиденциальность.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отношении всех клиентов с высоким уровнем риска применяются усиленные меры мониторинга и должной осмотрительности.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Постоянный анализ рисков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регулярно пересматривает свою методологию оценки рисков и обновляет профили рисков клиентов на основе новой информации, изменений в поведении или нормативных разработок. Периодические обзоры гарантируют, что меры контроля ПОД/ФТ остаются актуальными и эффективными.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4. Надлежащая проверка клиентов (НПК) и расширенная комплексная проверка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4.1. Общие принципы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Fastorika Limited проводит надлежащую проверку клиентов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всех клиентов перед установлением деловых отношений или обработкой любой транзакции через свою платформу. Целью НПК является обеспечение того, чтобы Компания знала истинную личность своих клиентов, характер их бизнеса и законность их финансовой деятельности.</w:t>
        <w:br w:type="textWrapping"/>
        <w:br w:type="textWrapping"/>
        <w:t xml:space="preserve">Никакие анонимные аккаунты или не верифицированные клиенты не имеют права пользоваться услугами Fastorika.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4.2. Минимальные требования к НПК (Надлежащая Проверка Клиентов)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Fastorika Limited предоставляет услуги исключительно индивидуальным клиентам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физическим лицам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Компания не занимается регистрацией и обслуживанием юридических лиц.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Идентификация клиента осуществляется непосредственно компанией Fastorika или через регулируемых финансовых партнеров, которые обязаны соблюдать эквивалентные или более высокие стандарты AML/KYC. Когда клиент успешно прошел верификацию у одного из лицензированных платежных или обменных провайдеров Fastorika, Компания может полагаться на такую верификацию без дублирования процесса KYC.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В таких случаях Fastorika гарантирует, что процесс проверки партнера соответствует международным стандартам AML и что все соответствующие данные клиентов могут быть доступны по запросу компетентных органов.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5. Санкции и запрещенные действия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строго запрещает: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Любой бизнес с физическими или юридическими лицами, находящимися под санкциями OFAC, ООН, ЕС или Великобритании;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Транзакции, связанные с терроризмом, оружием, наркотиками, азартными играми или мошенничеством.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Использование Fastorika для конфиденциальных монет или анонимного смешивания криптовалют.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6. Мониторинг и отчетность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Компания постоянно отслеживает активность пользователей и транзакции.</w:t>
        <w:br w:type="textWrapping"/>
        <w:t xml:space="preserve">Подозрительные модели поведения инициируют проверку MLRO, которая принимает решение о подаче отчета о подозрительной деятельности (SAR).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7. Ведение учета и защита данных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Вся информация о клиентах и записи о транзакциях хранятся в течение как минимум 5 лет после окончания отношений. Fastorika надежно хранит данные и обеспечивает соблюдение GPDR и применимых законов Белиза о защите данных. Доступ ограничен только уполномоченным персоналом.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MLRO и обучение персонала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Fastorika Limited назначает сотрудника по отчетности об отмывании денег (MLRO), ответственного за соблюдение требований и отчетность. Все сотрудники проходят ежегодный тренинг по ПОД/ФТ по выявлению подозрительной деятельности и сообщению о ней.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9. Пересмотр и внесение изменений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Данная политика пересматривается ежегодно или по мере внесения изменений в законодательство или операционную деятельность. Любые поправки должны быть одобрены директором и MLRO Fastorika Limited.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5" w:hanging="405"/>
      </w:pPr>
      <w:rPr/>
    </w:lvl>
    <w:lvl w:ilvl="1">
      <w:start w:val="1"/>
      <w:numFmt w:val="decimal"/>
      <w:lvlText w:val="%1.%2."/>
      <w:lvlJc w:val="left"/>
      <w:pPr>
        <w:ind w:left="405" w:hanging="405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5" w:hanging="405"/>
      </w:pPr>
      <w:rPr/>
    </w:lvl>
    <w:lvl w:ilvl="1">
      <w:start w:val="1"/>
      <w:numFmt w:val="decimal"/>
      <w:lvlText w:val="%1.%2."/>
      <w:lvlJc w:val="left"/>
      <w:pPr>
        <w:ind w:left="405" w:hanging="405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5" w:hanging="405"/>
      </w:pPr>
      <w:rPr/>
    </w:lvl>
    <w:lvl w:ilvl="1">
      <w:start w:val="1"/>
      <w:numFmt w:val="decimal"/>
      <w:lvlText w:val="%1.%2."/>
      <w:lvlJc w:val="left"/>
      <w:pPr>
        <w:ind w:left="405" w:hanging="405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PlaceholderText">
    <w:name w:val="Placeholder Text"/>
    <w:basedOn w:val="DefaultParagraphFont"/>
    <w:uiPriority w:val="99"/>
    <w:semiHidden w:val="1"/>
    <w:rsid w:val="00057480"/>
    <w:rPr>
      <w:color w:val="66666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1taerNj9IBWn5OiGftd9ERpF4g==">CgMxLjA4AHIhMWRLdFNJQ3h3V1hFeHlOanp1a2JkSFc0RWx4Y09aWDF1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2025-11-11T09:46:00Z</dcterms:created>
  <dc:creator>python-docx</dc:creator>
</cp:coreProperties>
</file>