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i w:val="0"/>
        </w:rPr>
        <w:t>Ibtissam Merzouqi</w:t>
      </w:r>
    </w:p>
    <w:p>
      <w:pPr>
        <w:jc w:val="center"/>
      </w:pPr>
      <w:r>
        <w:rPr>
          <w:b/>
          <w:i w:val="0"/>
        </w:rPr>
        <w:t>001487042</w:t>
      </w:r>
    </w:p>
    <w:p>
      <w:pPr>
        <w:jc w:val="center"/>
      </w:pPr>
      <w:r>
        <w:rPr>
          <w:b/>
          <w:i w:val="0"/>
        </w:rPr>
        <w:t>MSc Data Science, University of Greenwich</w:t>
      </w:r>
    </w:p>
    <w:p>
      <w:pPr>
        <w:jc w:val="center"/>
      </w:pPr>
      <w:r>
        <w:rPr>
          <w:b/>
          <w:i w:val="0"/>
        </w:rPr>
        <w:t>Supervisor: Ilya Alexakhin</w:t>
      </w:r>
      <w:r>
        <w:rPr>
          <w:b w:val="0"/>
          <w:i w:val="0"/>
        </w:rPr>
        <w:t xml:space="preserve"> | </w:t>
      </w:r>
      <w:r>
        <w:rPr>
          <w:b/>
          <w:i w:val="0"/>
        </w:rPr>
        <w:t>Second Marker: Ahmed Farhat</w:t>
      </w:r>
    </w:p>
    <w:p>
      <w:pPr>
        <w:jc w:val="center"/>
      </w:pPr>
      <w:r>
        <w:rPr>
          <w:b/>
          <w:i w:val="0"/>
        </w:rPr>
        <w:t>3 September 2026</w:t>
      </w:r>
    </w:p>
    <w:p>
      <w:r>
        <w:rPr>
          <w:b w:val="0"/>
          <w:i/>
          <w:color w:val="606060"/>
        </w:rPr>
        <w:t xml:space="preserve">This report is written from the completed </w:t>
      </w:r>
      <w:r>
        <w:rPr>
          <w:rFonts w:ascii="Consolas" w:hAnsi="Consolas"/>
          <w:b w:val="0"/>
          <w:i/>
          <w:color w:val="606060"/>
          <w:sz w:val="20"/>
        </w:rPr>
        <w:t>Multimodal-Cognitive-Overload-Detection</w:t>
      </w:r>
      <w:r>
        <w:rPr>
          <w:b w:val="0"/>
          <w:i/>
          <w:color w:val="606060"/>
        </w:rPr>
        <w:t xml:space="preserve"> repository and its full development record (</w:t>
      </w:r>
      <w:r>
        <w:rPr>
          <w:rFonts w:ascii="Consolas" w:hAnsi="Consolas"/>
          <w:b w:val="0"/>
          <w:i/>
          <w:color w:val="606060"/>
          <w:sz w:val="20"/>
        </w:rPr>
        <w:t>docs/PROGRESS.md</w:t>
      </w:r>
      <w:r>
        <w:rPr>
          <w:b w:val="0"/>
          <w:i/>
          <w:color w:val="606060"/>
        </w:rPr>
        <w:t xml:space="preserve">, </w:t>
      </w:r>
      <w:r>
        <w:rPr>
          <w:rFonts w:ascii="Consolas" w:hAnsi="Consolas"/>
          <w:b w:val="0"/>
          <w:i/>
          <w:color w:val="606060"/>
          <w:sz w:val="20"/>
        </w:rPr>
        <w:t>CONTRACT.md</w:t>
      </w:r>
      <w:r>
        <w:rPr>
          <w:b w:val="0"/>
          <w:i/>
          <w:color w:val="606060"/>
        </w:rPr>
        <w:t xml:space="preserve">, </w:t>
      </w:r>
      <w:r>
        <w:rPr>
          <w:rFonts w:ascii="Consolas" w:hAnsi="Consolas"/>
          <w:b w:val="0"/>
          <w:i/>
          <w:color w:val="606060"/>
          <w:sz w:val="20"/>
        </w:rPr>
        <w:t>BUILD_PLAN_1.md</w:t>
      </w:r>
      <w:r>
        <w:rPr>
          <w:b w:val="0"/>
          <w:i/>
          <w:color w:val="606060"/>
        </w:rPr>
        <w:t xml:space="preserve">, </w:t>
      </w:r>
      <w:r>
        <w:rPr>
          <w:rFonts w:ascii="Consolas" w:hAnsi="Consolas"/>
          <w:b w:val="0"/>
          <w:i/>
          <w:color w:val="606060"/>
          <w:sz w:val="20"/>
        </w:rPr>
        <w:t>GAP_CLOSURE_PLAN.md</w:t>
      </w:r>
      <w:r>
        <w:rPr>
          <w:b w:val="0"/>
          <w:i/>
          <w:color w:val="606060"/>
        </w:rPr>
        <w:t xml:space="preserve">, </w:t>
      </w:r>
      <w:r>
        <w:rPr>
          <w:rFonts w:ascii="Consolas" w:hAnsi="Consolas"/>
          <w:b w:val="0"/>
          <w:i/>
          <w:color w:val="606060"/>
          <w:sz w:val="20"/>
        </w:rPr>
        <w:t>PROJECT_COMPLETION_PLAN.md</w:t>
      </w:r>
      <w:r>
        <w:rPr>
          <w:b w:val="0"/>
          <w:i/>
          <w:color w:val="606060"/>
        </w:rPr>
        <w:t>). All figures, tables, and code references are drawn directly from artefacts produced and version-controlled in that repository (each figure's source data file is named in its caption); none are illustrative or hypothetical.</w:t>
      </w:r>
    </w:p>
    <w:p>
      <w:r>
        <w:br w:type="page"/>
      </w:r>
    </w:p>
    <w:p>
      <w:pPr>
        <w:pStyle w:val="Heading2"/>
      </w:pPr>
      <w:r>
        <w:t>Abstract</w:t>
      </w:r>
    </w:p>
    <w:p>
      <w:pPr>
        <w:spacing w:after="160"/>
      </w:pPr>
      <w:r>
        <w:rPr>
          <w:b w:val="0"/>
          <w:i w:val="0"/>
        </w:rP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the DAiSEE dataset (Gupta </w:t>
      </w:r>
      <w:r>
        <w:rPr>
          <w:b w:val="0"/>
          <w:i/>
        </w:rPr>
        <w:t>et al.</w:t>
      </w:r>
      <w:r>
        <w:rPr>
          <w:b w:val="0"/>
          <w:i w:val="0"/>
        </w:rPr>
        <w:t>, 2016) — 8,570 clips carrying both an official label and a successful extraction, of the 9,067 on disk —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 gradient boosting) baselines of 0.248, 0.264 and 0.291 respectively — a modest absolute score reported honestly alongside a known limitation: the rarest engagement class has only 4 clips in the entire test split, making its per-class metrics statistically unreliable. An extended comparison and search phase then subjects this result to the scrutiny it deserves: recurrent (LSTM/GRU) and Transformer alternatives at matched budgets, a subject-grouped cross-validated feature ablation, a 40-trial Bayesian hyperparameter search, and an out-of-fold stacking ensemble collectively fail to produce a configuration statistically distinguishable from the shipped model — evidence that the model sits near the honest ceiling of its 13-feature representation, not that it was undertuned — while re-scoring the frozen test predictions at clip level (the granularity the published benchmark actually uses) with decision thresholds calibrated on validation raises the comparable test result to a macro-F1 of 0.283 and 44.7% four-class accuracy at no change to the deployed model. The privacy claim itself is not merely asserted: a committed, re-runnable network trace of a 75-second live session against the production build under a full Content Security Policy records all 39 requests as same-origin, with no external request of any kind — and disclosed one genuine finding along the way: an undisclosed telemetry call inside a third-party dependency, caught and blocked at the browser-policy level, not patched around. A rebuilt parity gate additionally caught and fixed a real train/serve skew regression introduced by a later multi-face UI feature, demonstrating the value of the automated verification built around the system, not just the system itself.</w:t>
      </w:r>
    </w:p>
    <w:p>
      <w:pPr>
        <w:spacing w:after="160"/>
      </w:pPr>
      <w:r>
        <w:rPr>
          <w:b/>
          <w:i w:val="0"/>
        </w:rPr>
        <w:t>Keywords:</w:t>
      </w:r>
      <w:r>
        <w:rPr>
          <w:b w:val="0"/>
          <w:i w:val="0"/>
        </w:rP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pPr>
        <w:spacing w:after="160"/>
      </w:pPr>
      <w:r>
        <w:rPr>
          <w:b w:val="0"/>
          <w:i w:val="0"/>
        </w:rPr>
        <w:t>I would like to thank my supervisor, Ilya Alexakhin, whose questions consistently pushed this project toward evidence rather than assertion — the decision to treat the privacy claim as something to be measured, and the insistence on reporting the model's honest ceiling rather than a flattering subset of it, both came out of those conversations. I am grateful to my second marker, Ahmed Farhat, for his time in reviewing this work.</w:t>
      </w:r>
    </w:p>
    <w:p>
      <w:pPr>
        <w:spacing w:after="160"/>
      </w:pPr>
      <w:r>
        <w:rPr>
          <w:b w:val="0"/>
          <w:i w:val="0"/>
        </w:rPr>
        <w:t xml:space="preserve">This project was built in two tracks against a frozen interface contract, and I thank my Track B collaborator for holding that contract to the letter over twenty days of parallel development; the cross-language parity gate described in Chapter 4 only has value because both sides refused to change the specification quietly. I also thank the authors of the DAiSEE dataset (Gupta </w:t>
      </w:r>
      <w:r>
        <w:rPr>
          <w:b w:val="0"/>
          <w:i/>
        </w:rPr>
        <w:t>et al.</w:t>
      </w:r>
      <w:r>
        <w:rPr>
          <w:b w:val="0"/>
          <w:i w:val="0"/>
        </w:rPr>
        <w:t>, 2016) for making a genuinely in-the-wild engagement corpus publicly available to researchers — work of this kind is not possible without that generosity, and the dataset's difficulty is a feature of the real problem rather than a flaw in the benchmark.</w:t>
      </w:r>
    </w:p>
    <w:p>
      <w:pPr>
        <w:spacing w:after="160"/>
      </w:pPr>
      <w:r>
        <w:rPr>
          <w:b w:val="0"/>
          <w:i w:val="0"/>
        </w:rPr>
        <w:t>Finally, I thank my family and friends for their patience and encouragement throughout the MSc, and particularly during the final months of this dissertation.</w:t>
      </w:r>
    </w:p>
    <w:p>
      <w:r>
        <w:br w:type="page"/>
      </w:r>
    </w:p>
    <w:p>
      <w:pPr>
        <w:pStyle w:val="Heading2"/>
      </w:pPr>
      <w:r>
        <w:t>Declaration of AI Use</w:t>
      </w:r>
    </w:p>
    <w:p>
      <w:pPr>
        <w:spacing w:after="160"/>
      </w:pPr>
      <w:r>
        <w:rPr>
          <w:b w:val="0"/>
          <w:i w:val="0"/>
        </w:rPr>
        <w:t>Generative AI tools (Anthropic's Claude, used through the Claude Code development environment) were used during this project as a development and drafting assistant: for writing and refactoring portions of the project's source code and automated tests, for running and logging the experiment pipelines described in Chapter 4, and for drafting prose in this report which was then reviewed by the author. All experimental results reported here were produced by executing the project's committed code against the real DAiSEE dataset and are reproducible from the repository; no result, figure, or reference was generated by an AI system without execution. The project's design decisions, the interface contract with the Track B partner, and responsibility for the final content of this report remain the author's.</w:t>
      </w:r>
    </w:p>
    <w:p>
      <w:r>
        <w:br w:type="page"/>
      </w:r>
    </w:p>
    <w:p>
      <w:r>
        <w:rPr>
          <w:b/>
          <w:color w:val="1F3864"/>
          <w:sz w:val="26"/>
        </w:rPr>
        <w:t>Table of Contents</w:t>
      </w:r>
    </w:p>
    <w:p>
      <w:r>
        <w:fldChar w:fldCharType="begin" w:dirty="true"/>
      </w:r>
      <w:r>
        <w:instrText xml:space="preserve"> TOC \o "1-3" \h \z \u </w:instrText>
      </w:r>
      <w:r>
        <w:fldChar w:fldCharType="separate"/>
      </w:r>
      <w:r>
        <w:rPr>
          <w:i/>
          <w:color w:val="808080"/>
        </w:rPr>
        <w:t>[This list is generated by Word. If it is still showing this line, press Ctrl+A then F9 to update all fields.]</w:t>
      </w:r>
      <w:r>
        <w:fldChar w:fldCharType="end"/>
      </w:r>
    </w:p>
    <w:p>
      <w:r>
        <w:br w:type="page"/>
      </w:r>
    </w:p>
    <w:p>
      <w:r>
        <w:rPr>
          <w:b/>
          <w:color w:val="1F3864"/>
          <w:sz w:val="26"/>
        </w:rPr>
        <w:t>List of Figures</w:t>
      </w:r>
    </w:p>
    <w:p>
      <w:r>
        <w:fldChar w:fldCharType="begin" w:dirty="true"/>
      </w:r>
      <w:r>
        <w:instrText xml:space="preserve"> TOC \h \z \t "Caption,1" </w:instrText>
      </w:r>
      <w:r>
        <w:fldChar w:fldCharType="separate"/>
      </w:r>
      <w:r>
        <w:rPr>
          <w:i/>
          <w:color w:val="808080"/>
        </w:rPr>
        <w:t>[This list is generated by Word. If it is still showing this line, press Ctrl+A then F9 to update all fields.]</w:t>
      </w:r>
      <w:r>
        <w:fldChar w:fldCharType="end"/>
      </w:r>
    </w:p>
    <w:p>
      <w:r>
        <w:br w:type="page"/>
      </w:r>
    </w:p>
    <w:p>
      <w:r>
        <w:rPr>
          <w:b/>
          <w:color w:val="1F3864"/>
          <w:sz w:val="26"/>
        </w:rPr>
        <w:t>List of Tables</w:t>
      </w:r>
    </w:p>
    <w:p>
      <w:r>
        <w:fldChar w:fldCharType="begin" w:dirty="true"/>
      </w:r>
      <w:r>
        <w:instrText xml:space="preserve"> TOC \h \z \t "Table Caption,1"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Term</w:t>
            </w:r>
          </w:p>
        </w:tc>
        <w:tc>
          <w:tcPr>
            <w:tcW w:type="dxa" w:w="4320"/>
            <w:shd w:val="clear" w:color="auto" w:fill="D9E2F3"/>
          </w:tcPr>
          <w:p>
            <w:r>
              <w:rPr>
                <w:b/>
              </w:rPr>
            </w:r>
            <w:r>
              <w:rPr>
                <w:b/>
                <w:i w:val="0"/>
              </w:rPr>
              <w:t>Meaning</w:t>
            </w:r>
          </w:p>
        </w:tc>
      </w:tr>
      <w:tr>
        <w:tc>
          <w:tcPr>
            <w:tcW w:type="dxa" w:w="4320"/>
          </w:tcPr>
          <w:p>
            <w:r/>
            <w:r>
              <w:rPr>
                <w:b w:val="0"/>
                <w:i w:val="0"/>
              </w:rPr>
              <w:t>CI</w:t>
            </w:r>
          </w:p>
        </w:tc>
        <w:tc>
          <w:tcPr>
            <w:tcW w:type="dxa" w:w="4320"/>
          </w:tcPr>
          <w:p>
            <w:r/>
            <w:r>
              <w:rPr>
                <w:b w:val="0"/>
                <w:i w:val="0"/>
              </w:rPr>
              <w:t>Continuous Integration — automated tests run on every code change (this project: GitHub Actions)</w:t>
            </w:r>
          </w:p>
        </w:tc>
      </w:tr>
      <w:tr>
        <w:tc>
          <w:tcPr>
            <w:tcW w:type="dxa" w:w="4320"/>
          </w:tcPr>
          <w:p>
            <w:r/>
            <w:r>
              <w:rPr>
                <w:b w:val="0"/>
                <w:i w:val="0"/>
              </w:rPr>
              <w:t>CONTRACT.md</w:t>
            </w:r>
          </w:p>
        </w:tc>
        <w:tc>
          <w:tcPr>
            <w:tcW w:type="dxa" w:w="4320"/>
          </w:tcPr>
          <w:p>
            <w:r/>
            <w:r>
              <w:rPr>
                <w:b w:val="0"/>
                <w:i w:val="0"/>
              </w:rPr>
              <w:t>This project's frozen interface specification between the Python training pipeline and the browser inference pipeline</w:t>
            </w:r>
          </w:p>
        </w:tc>
      </w:tr>
      <w:tr>
        <w:tc>
          <w:tcPr>
            <w:tcW w:type="dxa" w:w="4320"/>
          </w:tcPr>
          <w:p>
            <w:r/>
            <w:r>
              <w:rPr>
                <w:b w:val="0"/>
                <w:i w:val="0"/>
              </w:rPr>
              <w:t>CSP</w:t>
            </w:r>
          </w:p>
        </w:tc>
        <w:tc>
          <w:tcPr>
            <w:tcW w:type="dxa" w:w="4320"/>
          </w:tcPr>
          <w:p>
            <w:r/>
            <w:r>
              <w:rPr>
                <w:b w:val="0"/>
                <w:i w:val="0"/>
              </w:rPr>
              <w:t>Content Security Policy — a browser-enforced HTTP header restricting what a page is allowed to connect to</w:t>
            </w:r>
          </w:p>
        </w:tc>
      </w:tr>
      <w:tr>
        <w:tc>
          <w:tcPr>
            <w:tcW w:type="dxa" w:w="4320"/>
          </w:tcPr>
          <w:p>
            <w:r/>
            <w:r>
              <w:rPr>
                <w:b w:val="0"/>
                <w:i w:val="0"/>
              </w:rPr>
              <w:t>DAiSEE</w:t>
            </w:r>
          </w:p>
        </w:tc>
        <w:tc>
          <w:tcPr>
            <w:tcW w:type="dxa" w:w="4320"/>
          </w:tcPr>
          <w:p>
            <w:r/>
            <w:r>
              <w:rPr>
                <w:b w:val="0"/>
                <w:i w:val="0"/>
              </w:rPr>
              <w:t xml:space="preserve">Dataset for Affective States in E-Environments (Gupta </w:t>
            </w:r>
            <w:r>
              <w:rPr>
                <w:b w:val="0"/>
                <w:i/>
              </w:rPr>
              <w:t>et al.</w:t>
            </w:r>
            <w:r>
              <w:rPr>
                <w:b w:val="0"/>
                <w:i w:val="0"/>
              </w:rPr>
              <w:t>, 2016) — the video dataset this project trains on</w:t>
            </w:r>
          </w:p>
        </w:tc>
      </w:tr>
      <w:tr>
        <w:tc>
          <w:tcPr>
            <w:tcW w:type="dxa" w:w="4320"/>
          </w:tcPr>
          <w:p>
            <w:r/>
            <w:r>
              <w:rPr>
                <w:b w:val="0"/>
                <w:i w:val="0"/>
              </w:rPr>
              <w:t>EAR / MAR</w:t>
            </w:r>
          </w:p>
        </w:tc>
        <w:tc>
          <w:tcPr>
            <w:tcW w:type="dxa" w:w="4320"/>
          </w:tcPr>
          <w:p>
            <w:r/>
            <w:r>
              <w:rPr>
                <w:b w:val="0"/>
                <w:i w:val="0"/>
              </w:rPr>
              <w:t>Eye Aspect Ratio / Mouth Aspect Ratio — geometric ratios derived from facial landmark distances</w:t>
            </w:r>
          </w:p>
        </w:tc>
      </w:tr>
      <w:tr>
        <w:tc>
          <w:tcPr>
            <w:tcW w:type="dxa" w:w="4320"/>
          </w:tcPr>
          <w:p>
            <w:r/>
            <w:r>
              <w:rPr>
                <w:b w:val="0"/>
                <w:i w:val="0"/>
              </w:rPr>
              <w:t>Macro-F1</w:t>
            </w:r>
          </w:p>
        </w:tc>
        <w:tc>
          <w:tcPr>
            <w:tcW w:type="dxa" w:w="4320"/>
          </w:tcPr>
          <w:p>
            <w:r/>
            <w:r>
              <w:rPr>
                <w:b w:val="0"/>
                <w:i w:val="0"/>
              </w:rPr>
              <w:t>The F1 score (harmonic mean of precision and recall) averaged equally across classes, regardless of class size</w:t>
            </w:r>
          </w:p>
        </w:tc>
      </w:tr>
      <w:tr>
        <w:tc>
          <w:tcPr>
            <w:tcW w:type="dxa" w:w="4320"/>
          </w:tcPr>
          <w:p>
            <w:r/>
            <w:r>
              <w:rPr>
                <w:b w:val="0"/>
                <w:i w:val="0"/>
              </w:rPr>
              <w:t>ONNX</w:t>
            </w:r>
          </w:p>
        </w:tc>
        <w:tc>
          <w:tcPr>
            <w:tcW w:type="dxa" w:w="4320"/>
          </w:tcPr>
          <w:p>
            <w:r/>
            <w:r>
              <w:rPr>
                <w:b w:val="0"/>
                <w:i w:val="0"/>
              </w:rPr>
              <w:t>Open Neural Network Exchange — a portable format for trained model graphs</w:t>
            </w:r>
          </w:p>
        </w:tc>
      </w:tr>
      <w:tr>
        <w:tc>
          <w:tcPr>
            <w:tcW w:type="dxa" w:w="4320"/>
          </w:tcPr>
          <w:p>
            <w:r/>
            <w:r>
              <w:rPr>
                <w:b w:val="0"/>
                <w:i w:val="0"/>
              </w:rPr>
              <w:t>Parity gate</w:t>
            </w:r>
          </w:p>
        </w:tc>
        <w:tc>
          <w:tcPr>
            <w:tcW w:type="dxa" w:w="4320"/>
          </w:tcPr>
          <w:p>
            <w:r/>
            <w:r>
              <w:rPr>
                <w:b w:val="0"/>
                <w:i w:val="0"/>
              </w:rPr>
              <w:t>An automated test asserting that two independent implementations (here: Python and TypeScript feature extraction) produce numerically equivalent output</w:t>
            </w:r>
          </w:p>
        </w:tc>
      </w:tr>
      <w:tr>
        <w:tc>
          <w:tcPr>
            <w:tcW w:type="dxa" w:w="4320"/>
          </w:tcPr>
          <w:p>
            <w:r/>
            <w:r>
              <w:rPr>
                <w:b w:val="0"/>
                <w:i w:val="0"/>
              </w:rPr>
              <w:t>Quantization</w:t>
            </w:r>
          </w:p>
        </w:tc>
        <w:tc>
          <w:tcPr>
            <w:tcW w:type="dxa" w:w="4320"/>
          </w:tcPr>
          <w:p>
            <w:r/>
            <w:r>
              <w:rPr>
                <w:b w:val="0"/>
                <w:i w:val="0"/>
              </w:rPr>
              <w:t>Reducing a model's numeric precision (here: 32-bit floats to 8-bit integers) to shrink size and speed up inference</w:t>
            </w:r>
          </w:p>
        </w:tc>
      </w:tr>
      <w:tr>
        <w:tc>
          <w:tcPr>
            <w:tcW w:type="dxa" w:w="4320"/>
          </w:tcPr>
          <w:p>
            <w:r/>
            <w:r>
              <w:rPr>
                <w:b w:val="0"/>
                <w:i w:val="0"/>
              </w:rPr>
              <w:t>TCN</w:t>
            </w:r>
          </w:p>
        </w:tc>
        <w:tc>
          <w:tcPr>
            <w:tcW w:type="dxa" w:w="4320"/>
          </w:tcPr>
          <w:p>
            <w:r/>
            <w:r>
              <w:rPr>
                <w:b w:val="0"/>
                <w:i w:val="0"/>
              </w:rPr>
              <w:t>Temporal Convolutional Network — a 1-D dilated convolutional architecture for sequence modelling (Bai, Kolter and Koltun, 2018)</w:t>
            </w:r>
          </w:p>
        </w:tc>
      </w:tr>
      <w:tr>
        <w:tc>
          <w:tcPr>
            <w:tcW w:type="dxa" w:w="4320"/>
          </w:tcPr>
          <w:p>
            <w:r/>
            <w:r>
              <w:rPr>
                <w:b w:val="0"/>
                <w:i w:val="0"/>
              </w:rPr>
              <w:t>WASM</w:t>
            </w:r>
          </w:p>
        </w:tc>
        <w:tc>
          <w:tcPr>
            <w:tcW w:type="dxa" w:w="4320"/>
          </w:tcPr>
          <w:p>
            <w:r/>
            <w:r>
              <w:rPr>
                <w:b w:val="0"/>
                <w:i w:val="0"/>
              </w:rP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rPr>
          <w:b w:val="0"/>
          <w:i w:val="0"/>
        </w:rP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b w:val="0"/>
          <w:i/>
        </w:rPr>
        <w:t>automatic</w:t>
      </w:r>
      <w:r>
        <w:rPr>
          <w:b w:val="0"/>
          <w:i w:val="0"/>
        </w:rP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rPr>
          <w:b w:val="0"/>
          <w:i w:val="0"/>
        </w:rPr>
        <w:t>Almost all of that research, however, shares an architectural assumption this project treats as the actual problem rather than a detail: the video is processed somewhere other than the device that captured it. Pipelines built on OpenFace, cloud vision APIs, or server-hosted deep networks require the raw frame — or a detailed facial feature representation — to leave the user's machine (Santoni, Basaruddin and Junus, 2023). For a system whose purpose is continuously watching a learner's face, that is a significant, under-examined privacy cost, easily deferred as "someone else's problem" (a policy, a consent form) rather than solved as an engineering constraint.</w:t>
      </w:r>
    </w:p>
    <w:p>
      <w:pPr>
        <w:spacing w:after="160"/>
      </w:pPr>
      <w:r>
        <w:rPr>
          <w:b w:val="0"/>
          <w:i w:val="0"/>
        </w:rPr>
        <w:t xml:space="preserve">The stakes are not abstract. A continuous facial-monitoring stream is among the most sensitive data a learning platform could collect — revealing identity, presence, emotional state, and whoever else is in frame (Section 4.6.2) — and once it leaves the device, the learner has no practical control over retention, secondary use, or breach exposure. Server-side deployments therefore inherit data-protection obligations (consent, retention, breach liability) that an architecture keeping the data on-device never incurs, because nothing is transmitted. This project's motivation is that, for this task, avoiding that obligation </w:t>
      </w:r>
      <w:r>
        <w:rPr>
          <w:b w:val="0"/>
          <w:i/>
        </w:rPr>
        <w:t>by construction</w:t>
      </w:r>
      <w:r>
        <w:rPr>
          <w:b w:val="0"/>
          <w:i w:val="0"/>
        </w:rPr>
        <w:t xml:space="preserve"> is achievable with current browser ML tooling (Section 2.5) — and worth demonstrating as a complete, working, independently verified system rather than a plausible-sounding aspiration.</w:t>
      </w:r>
    </w:p>
    <w:p>
      <w:pPr>
        <w:pStyle w:val="Heading2"/>
      </w:pPr>
      <w:r>
        <w:t>1.2 Specific Area of Problem</w:t>
      </w:r>
    </w:p>
    <w:p>
      <w:pPr>
        <w:spacing w:after="160"/>
      </w:pPr>
      <w:r>
        <w:rPr>
          <w:b w:val="0"/>
          <w:i w:val="0"/>
        </w:rPr>
        <w:t xml:space="preserve">This project narrows that broad concern to a concrete, testable engineering question: </w:t>
      </w:r>
      <w:r>
        <w:rPr>
          <w:b/>
          <w:i w:val="0"/>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rPr>
          <w:b w:val="0"/>
          <w:i w:val="0"/>
        </w:rP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b w:val="0"/>
          <w:i w:val="0"/>
          <w:sz w:val="20"/>
        </w:rPr>
        <w:t>docs/privacy.md</w:t>
      </w:r>
      <w:r>
        <w:rPr>
          <w:b w:val="0"/>
          <w:i w:val="0"/>
        </w:rPr>
        <w:t>) rather than a sentence in a README.</w:t>
      </w:r>
    </w:p>
    <w:p>
      <w:pPr>
        <w:pStyle w:val="Heading2"/>
      </w:pPr>
      <w:r>
        <w:t>1.3 Framing as a Computer/Data Science Problem</w:t>
      </w:r>
    </w:p>
    <w:p>
      <w:pPr>
        <w:spacing w:after="160"/>
      </w:pPr>
      <w:r>
        <w:rPr>
          <w:b w:val="0"/>
          <w:i w:val="0"/>
        </w:rPr>
        <w:t>Reduced to its computational form, the problem has three coupled parts, each with its own well-established sub-field:</w:t>
      </w:r>
    </w:p>
    <w:p>
      <w:pPr>
        <w:pStyle w:val="ListNumber"/>
        <w:numPr>
          <w:ilvl w:val="0"/>
          <w:numId w:val="10"/>
        </w:numPr>
      </w:pPr>
      <w:r>
        <w:rPr>
          <w:b/>
          <w:i w:val="0"/>
        </w:rPr>
        <w:t>A supervised sequence-classification problem.</w:t>
      </w:r>
      <w:r>
        <w:rPr>
          <w:b w:val="0"/>
          <w:i w:val="0"/>
        </w:rP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numPr>
          <w:ilvl w:val="0"/>
          <w:numId w:val="11"/>
        </w:numPr>
      </w:pPr>
      <w:r>
        <w:rPr>
          <w:b/>
          <w:i w:val="0"/>
        </w:rPr>
        <w:t>A cross-language numerical-equivalence problem.</w:t>
      </w:r>
      <w:r>
        <w:rPr>
          <w:b w:val="0"/>
          <w:i w:val="0"/>
        </w:rP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numPr>
          <w:ilvl w:val="0"/>
          <w:numId w:val="12"/>
        </w:numPr>
      </w:pPr>
      <w:r>
        <w:rPr>
          <w:b/>
          <w:i w:val="0"/>
        </w:rPr>
        <w:t>A model-compression and edge-deployment problem.</w:t>
      </w:r>
      <w:r>
        <w:rPr>
          <w:b w:val="0"/>
          <w:i w:val="0"/>
        </w:rP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rPr>
          <w:b w:val="0"/>
          <w:i w:val="0"/>
        </w:rPr>
        <w:t>Specific, measurable, achievable, relevant, time-bound (S.M.A.R.T.) objectives, as executed against a 20-day build plan (</w:t>
      </w:r>
      <w:r>
        <w:rPr>
          <w:rFonts w:ascii="Consolas" w:hAnsi="Consolas"/>
          <w:b w:val="0"/>
          <w:i w:val="0"/>
          <w:sz w:val="20"/>
        </w:rPr>
        <w:t>BUILD_PLAN_1.md</w:t>
      </w:r>
      <w:r>
        <w:rPr>
          <w:b w:val="0"/>
          <w:i w:val="0"/>
        </w:rPr>
        <w:t>) and a subsequent verification/hardening pass (</w:t>
      </w:r>
      <w:r>
        <w:rPr>
          <w:rFonts w:ascii="Consolas" w:hAnsi="Consolas"/>
          <w:b w:val="0"/>
          <w:i w:val="0"/>
          <w:sz w:val="20"/>
        </w:rPr>
        <w:t>GAP_CLOSURE_PLAN.md</w:t>
      </w:r>
      <w:r>
        <w:rPr>
          <w:b w:val="0"/>
          <w:i w:val="0"/>
        </w:rPr>
        <w:t xml:space="preserve">, </w:t>
      </w:r>
      <w:r>
        <w:rPr>
          <w:rFonts w:ascii="Consolas" w:hAnsi="Consolas"/>
          <w:b w:val="0"/>
          <w:i w:val="0"/>
          <w:sz w:val="20"/>
        </w:rPr>
        <w:t>PROJECT_COMPLETION_PLAN.md</w:t>
      </w:r>
      <w:r>
        <w:rPr>
          <w:b w:val="0"/>
          <w:i w:val="0"/>
        </w:rPr>
        <w:t>):</w:t>
      </w:r>
    </w:p>
    <w:p>
      <w:pPr>
        <w:pStyle w:val="ListBullet"/>
      </w:pPr>
      <w:r>
        <w:rPr>
          <w:b/>
          <w:i w:val="0"/>
        </w:rPr>
        <w:t>O1.</w:t>
      </w:r>
      <w:r>
        <w:rPr>
          <w:b w:val="0"/>
          <w:i w:val="0"/>
        </w:rPr>
        <w:t xml:space="preserve"> Implement a 13-feature facial geometry extractor, identical in Python and TypeScript to within a max-absolute-difference tolerance of 0.02 per feature, verified by an automated cross-language test — </w:t>
      </w:r>
      <w:r>
        <w:rPr>
          <w:b w:val="0"/>
          <w:i/>
        </w:rPr>
        <w:t>achieved, Section 4 Experiment 1</w:t>
      </w:r>
      <w:r>
        <w:rPr>
          <w:b w:val="0"/>
          <w:i w:val="0"/>
        </w:rPr>
        <w:t>.</w:t>
      </w:r>
    </w:p>
    <w:p>
      <w:pPr>
        <w:pStyle w:val="ListBullet"/>
      </w:pPr>
      <w:r>
        <w:rPr>
          <w:b/>
          <w:i w:val="0"/>
        </w:rPr>
        <w:t>O2.</w:t>
      </w:r>
      <w:r>
        <w:rPr>
          <w:b w:val="0"/>
          <w:i w:val="0"/>
        </w:rPr>
        <w:t xml:space="preserve"> Train a temporal model on the DAiSEE dataset that beats a majority-class baseline and two classical-ML baselines on validation macro-F1 — </w:t>
      </w:r>
      <w:r>
        <w:rPr>
          <w:b w:val="0"/>
          <w:i/>
        </w:rPr>
        <w:t>achieved, Section 4 Experiments 2–3</w:t>
      </w:r>
      <w:r>
        <w:rPr>
          <w:b w:val="0"/>
          <w:i w:val="0"/>
        </w:rPr>
        <w:t>.</w:t>
      </w:r>
    </w:p>
    <w:p>
      <w:pPr>
        <w:pStyle w:val="ListBullet"/>
      </w:pPr>
      <w:r>
        <w:rPr>
          <w:b/>
          <w:i w:val="0"/>
        </w:rPr>
        <w:t>O3.</w:t>
      </w:r>
      <w:r>
        <w:rPr>
          <w:b w:val="0"/>
          <w:i w:val="0"/>
        </w:rPr>
        <w:t xml:space="preserve"> Quantize the trained model to int8 and ship it inside a browser application that reaches "live" (camera → landmarks → features → inference → UI) end-to-end, with a measured inference latency compatible with real-time use — </w:t>
      </w:r>
      <w:r>
        <w:rPr>
          <w:b w:val="0"/>
          <w:i/>
        </w:rPr>
        <w:t>achieved, Section 4 Experiments 3, 5</w:t>
      </w:r>
      <w:r>
        <w:rPr>
          <w:b w:val="0"/>
          <w:i w:val="0"/>
        </w:rPr>
        <w:t>.</w:t>
      </w:r>
    </w:p>
    <w:p>
      <w:pPr>
        <w:pStyle w:val="ListBullet"/>
      </w:pPr>
      <w:r>
        <w:rPr>
          <w:b/>
          <w:i w:val="0"/>
        </w:rPr>
        <w:t>O4.</w:t>
      </w:r>
      <w:r>
        <w:rPr>
          <w:b w:val="0"/>
          <w:i w:val="0"/>
        </w:rPr>
        <w:t xml:space="preserve"> Produce direct, recorded evidence for the privacy claim (a network trace of a live session), not an assertion — </w:t>
      </w:r>
      <w:r>
        <w:rPr>
          <w:b w:val="0"/>
          <w:i/>
        </w:rPr>
        <w:t>achieved, Section 4 Experiment 4</w:t>
      </w:r>
      <w:r>
        <w:rPr>
          <w:b w:val="0"/>
          <w:i w:val="0"/>
        </w:rPr>
        <w:t>.</w:t>
      </w:r>
    </w:p>
    <w:p>
      <w:pPr>
        <w:pStyle w:val="ListBullet"/>
      </w:pPr>
      <w:r>
        <w:rPr>
          <w:b/>
          <w:i w:val="0"/>
        </w:rPr>
        <w:t>O5.</w:t>
      </w:r>
      <w:r>
        <w:rPr>
          <w:b w:val="0"/>
          <w:i w:val="0"/>
        </w:rPr>
        <w:t xml:space="preserve"> Verify the system survives realistic deployment conditions — a clean install on an unmodified machine, more than one browser engine, and deliberately adverse camera conditions (no face, multiple faces, poor lighting, glasses) — </w:t>
      </w:r>
      <w:r>
        <w:rPr>
          <w:b w:val="0"/>
          <w:i/>
        </w:rPr>
        <w:t>achieved, Section 4 Experiment 6</w:t>
      </w:r>
      <w:r>
        <w:rPr>
          <w:b w:val="0"/>
          <w:i w:val="0"/>
        </w:rPr>
        <w:t>.</w:t>
      </w:r>
    </w:p>
    <w:p>
      <w:pPr>
        <w:pStyle w:val="Heading2"/>
      </w:pPr>
      <w:r>
        <w:t>1.5 Dataset Details and Exploratory Data Analysis</w:t>
      </w:r>
    </w:p>
    <w:p>
      <w:pPr>
        <w:spacing w:after="160"/>
      </w:pPr>
      <w:r>
        <w:rPr>
          <w:b w:val="0"/>
          <w:i w:val="0"/>
        </w:rPr>
        <w:t xml:space="preserve">The project trains on </w:t>
      </w:r>
      <w:r>
        <w:rPr>
          <w:b/>
          <w:i w:val="0"/>
        </w:rPr>
        <w:t>DAiSEE</w:t>
      </w:r>
      <w:r>
        <w:rPr>
          <w:b w:val="0"/>
          <w:i w:val="0"/>
        </w:rPr>
        <w:t xml:space="preserve"> (Dataset for Affective States in E-Environments; Gupta </w:t>
      </w:r>
      <w:r>
        <w:rPr>
          <w:b w:val="0"/>
          <w:i/>
        </w:rPr>
        <w:t>et al.</w:t>
      </w:r>
      <w:r>
        <w:rPr>
          <w:b w:val="0"/>
          <w:i w:val="0"/>
        </w:rP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 (Kamath, Biswas and Balasubramanian, 2016).</w:t>
      </w:r>
    </w:p>
    <w:p>
      <w:pPr>
        <w:spacing w:after="160"/>
      </w:pPr>
      <w:r>
        <w:rPr>
          <w:b/>
          <w:i w:val="0"/>
        </w:rPr>
        <w:t xml:space="preserve">Pre-processing pipeline (executed once, </w:t>
      </w:r>
      <w:r>
        <w:rPr>
          <w:rFonts w:ascii="Consolas" w:hAnsi="Consolas"/>
          <w:b/>
          <w:i w:val="0"/>
          <w:sz w:val="20"/>
        </w:rPr>
        <w:t>ml/src/extract.py</w:t>
      </w:r>
      <w:r>
        <w:rPr>
          <w:b/>
          <w:i w:val="0"/>
        </w:rPr>
        <w:t xml:space="preserve">; full parameters and results in </w:t>
      </w:r>
      <w:r>
        <w:rPr>
          <w:rFonts w:ascii="Consolas" w:hAnsi="Consolas"/>
          <w:b/>
          <w:i w:val="0"/>
          <w:sz w:val="20"/>
        </w:rPr>
        <w:t>docs/results/extraction_stats.json</w:t>
      </w:r>
      <w:r>
        <w:rPr>
          <w:b/>
          <w:i w:val="0"/>
        </w:rPr>
        <w:t>):</w:t>
      </w:r>
    </w:p>
    <w:p>
      <w:pPr>
        <w:pStyle w:val="ListBullet"/>
      </w:pPr>
      <w:r>
        <w:rPr>
          <w:b w:val="0"/>
          <w:i w:val="0"/>
        </w:rPr>
        <w:t xml:space="preserve">All 9,067 clips present on disk (5,481 / 1,720 / 1,866 across the official Train / Validation / Test folders) were processed to feature CSVs; the committed </w:t>
      </w:r>
      <w:r>
        <w:rPr>
          <w:rFonts w:ascii="Consolas" w:hAnsi="Consolas"/>
          <w:b w:val="0"/>
          <w:i w:val="0"/>
          <w:sz w:val="20"/>
        </w:rPr>
        <w:t>extraction_stats.json</w:t>
      </w:r>
      <w:r>
        <w:rPr>
          <w:b w:val="0"/>
          <w:i w:val="0"/>
        </w:rPr>
        <w:t xml:space="preserve"> records the 9,032 processed in its final </w:t>
      </w:r>
      <w:r>
        <w:rPr>
          <w:rFonts w:ascii="Consolas" w:hAnsi="Consolas"/>
          <w:b w:val="0"/>
          <w:i w:val="0"/>
          <w:sz w:val="20"/>
        </w:rPr>
        <w:t>--resume</w:t>
      </w:r>
      <w:r>
        <w:rPr>
          <w:b w:val="0"/>
          <w:i w:val="0"/>
        </w:rPr>
        <w:t xml:space="preserve"> pass (0 failures among them — an honest bookkeeping caveat: a resumed run's statistics file covers only that run's clips, a limitation of the extraction script's stats accounting discovered in a later audit and noted here rather than hidden). Because DAiSEE's label CSVs cover fewer clips than exist on disk, the corpus actually used downstream is the label∩extraction intersection: </w:t>
      </w:r>
      <w:r>
        <w:rPr>
          <w:b/>
          <w:i w:val="0"/>
        </w:rPr>
        <w:t>8,570 clips (5,357 / 1,429 / 1,784)</w:t>
      </w:r>
      <w:r>
        <w:rPr>
          <w:b w:val="0"/>
          <w:i w:val="0"/>
        </w:rPr>
        <w:t>. The official split is used unmodified so results remain comparable to the published benchmark, rather than re-splitting.</w:t>
      </w:r>
    </w:p>
    <w:p>
      <w:pPr>
        <w:pStyle w:val="ListBullet"/>
      </w:pPr>
      <w:r>
        <w:rPr>
          <w:b w:val="0"/>
          <w:i w:val="0"/>
        </w:rPr>
        <w:t xml:space="preserve">Each clip was sampled at 10 FPS (every third frame of the native ~30 FPS source) and run through a MediaPipe FaceLandmarker to extract 478 facial landmarks (Kartynnik </w:t>
      </w:r>
      <w:r>
        <w:rPr>
          <w:b w:val="0"/>
          <w:i/>
        </w:rPr>
        <w:t>et al.</w:t>
      </w:r>
      <w:r>
        <w:rPr>
          <w:b w:val="0"/>
          <w:i w:val="0"/>
        </w:rPr>
        <w:t>, 2019) per sampled frame.</w:t>
      </w:r>
    </w:p>
    <w:p>
      <w:pPr>
        <w:pStyle w:val="ListBullet"/>
      </w:pPr>
      <w:r>
        <w:rPr>
          <w:b/>
          <w:i w:val="0"/>
        </w:rPr>
        <w:t>Face-detection rate: 99.96%</w:t>
      </w:r>
      <w:r>
        <w:rPr>
          <w:b w:val="0"/>
          <w:i w:val="0"/>
        </w:rP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rPr>
          <w:b w:val="0"/>
          <w:i w:val="0"/>
        </w:rPr>
        <w:t xml:space="preserve">Each clip's ~100 per-frame feature rows were windowed with a stride of 10 over a 30-frame (3.0 s) span, yielding roughly 8 overlapping windows per clip; </w:t>
      </w:r>
      <w:r>
        <w:rPr>
          <w:b/>
          <w:i w:val="0"/>
        </w:rPr>
        <w:t>42,856 / 11,432 / 14,241 windows</w:t>
      </w:r>
      <w:r>
        <w:rPr>
          <w:b w:val="0"/>
          <w:i w:val="0"/>
        </w:rPr>
        <w:t xml:space="preserve"> for Train / Validation / Test respectively.</w:t>
      </w:r>
    </w:p>
    <w:p>
      <w:pPr>
        <w:spacing w:after="160"/>
      </w:pPr>
      <w:r>
        <w:rPr>
          <w:b/>
          <w:i w:val="0"/>
        </w:rPr>
        <w:t xml:space="preserve">Class imbalance — the central empirical fact shaping every later decision (labels via </w:t>
      </w:r>
      <w:r>
        <w:rPr>
          <w:rFonts w:ascii="Consolas" w:hAnsi="Consolas"/>
          <w:b/>
          <w:i w:val="0"/>
          <w:sz w:val="20"/>
        </w:rPr>
        <w:t>ml/src/labels.py</w:t>
      </w:r>
      <w:r>
        <w:rPr>
          <w:b/>
          <w:i w:val="0"/>
        </w:rPr>
        <w:t xml:space="preserve">; exact support counts from </w:t>
      </w:r>
      <w:r>
        <w:rPr>
          <w:rFonts w:ascii="Consolas" w:hAnsi="Consolas"/>
          <w:b/>
          <w:i w:val="0"/>
          <w:sz w:val="20"/>
        </w:rPr>
        <w:t>docs/results/metrics_test.csv</w:t>
      </w:r>
      <w:r>
        <w:rPr>
          <w:b/>
          <w:i w:val="0"/>
        </w:rPr>
        <w:t>):</w:t>
      </w:r>
      <w:r>
        <w:rPr>
          <w:b w:val="0"/>
          <w:i w:val="0"/>
        </w:rP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a property of how engagement distributes in real classrooms, not a modelling detail — is why this report evaluates in macro-F1 rather than accuracy (Section 3.1), why the training loss uses inverse-frequency class weighting (Section 3.2), and why a merged 3-class metric (0+1 collapsed) accompanies the 4-class metric throughout Section 4: with only 4 test clips in the rarest class, its individual precision/recall are close to statistically meaningless, and saying so plainly beats letting a precise-looking number stand unexplained.</w:t>
      </w:r>
    </w:p>
    <w:p>
      <w:pPr>
        <w:jc w:val="center"/>
      </w:pPr>
      <w:r>
        <w:drawing>
          <wp:inline xmlns:a="http://schemas.openxmlformats.org/drawingml/2006/main" xmlns:pic="http://schemas.openxmlformats.org/drawingml/2006/picture">
            <wp:extent cx="5669280" cy="2137597"/>
            <wp:docPr id="1" name="Picture 1"/>
            <wp:cNvGraphicFramePr>
              <a:graphicFrameLocks noChangeAspect="1"/>
            </wp:cNvGraphicFramePr>
            <a:graphic>
              <a:graphicData uri="http://schemas.openxmlformats.org/drawingml/2006/picture">
                <pic:pic>
                  <pic:nvPicPr>
                    <pic:cNvPr id="0" name="class_dist.png"/>
                    <pic:cNvPicPr/>
                  </pic:nvPicPr>
                  <pic:blipFill>
                    <a:blip r:embed="rId9"/>
                    <a:stretch>
                      <a:fillRect/>
                    </a:stretch>
                  </pic:blipFill>
                  <pic:spPr>
                    <a:xfrm>
                      <a:off x="0" y="0"/>
                      <a:ext cx="5669280" cy="2137597"/>
                    </a:xfrm>
                    <a:prstGeom prst="rect"/>
                  </pic:spPr>
                </pic:pic>
              </a:graphicData>
            </a:graphic>
          </wp:inline>
        </w:drawing>
      </w:r>
    </w:p>
    <w:p>
      <w:pPr>
        <w:pStyle w:val="Caption"/>
        <w:jc w:val="center"/>
      </w:pPr>
      <w:r>
        <w:rPr>
          <w:sz w:val="18"/>
        </w:rPr>
        <w:t>Figure 1.1 — Engagement-class distribution per official DAiSEE split, from the label CSVs (8,571 clips; the downstream corpus also requires a successful extraction, so one Train clip differs). Source: docs/results/class_dist.png (generated by ml/scripts/plot_class_dist.py).</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rPr>
          <w:b w:val="0"/>
          <w:i w:val="0"/>
        </w:rP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i w:val="0"/>
        </w:rPr>
        <w:t>eye aspect ratio (EAR)</w:t>
      </w:r>
      <w:r>
        <w:rPr>
          <w:b w:val="0"/>
          <w:i w:val="0"/>
        </w:rPr>
        <w:t xml:space="preserve"> of Soukupová and Čech (2016): a scalar computed from six landmarks around each eye, </w:t>
      </w:r>
      <w:r>
        <w:rPr>
          <w:rFonts w:ascii="Consolas" w:hAnsi="Consolas"/>
          <w:b w:val="0"/>
          <w:i w:val="0"/>
          <w:sz w:val="20"/>
        </w:rPr>
        <w:t>(|p2−p6| + |p3−p5|) / (2|p1−p4|)</w:t>
      </w:r>
      <w:r>
        <w:rPr>
          <w:b w:val="0"/>
          <w:i w:val="0"/>
        </w:rP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rPr>
          <w:b w:val="0"/>
          <w:i w:val="0"/>
        </w:rPr>
        <w:t>This project adopts the EAR formula from Soukupová and Čech (2016) essentially unchanged (</w:t>
      </w:r>
      <w:r>
        <w:rPr>
          <w:rFonts w:ascii="Consolas" w:hAnsi="Consolas"/>
          <w:b w:val="0"/>
          <w:i w:val="0"/>
          <w:sz w:val="20"/>
        </w:rPr>
        <w:t>ml/src/features.py</w:t>
      </w:r>
      <w:r>
        <w:rPr>
          <w:b w:val="0"/>
          <w:i w:val="0"/>
        </w:rPr>
        <w:t xml:space="preserve">, </w:t>
      </w:r>
      <w:r>
        <w:rPr>
          <w:rFonts w:ascii="Consolas" w:hAnsi="Consolas"/>
          <w:b w:val="0"/>
          <w:i w:val="0"/>
          <w:sz w:val="20"/>
        </w:rPr>
        <w:t>eye_aspect_ratio</w:t>
      </w:r>
      <w:r>
        <w:rPr>
          <w:b w:val="0"/>
          <w:i w:val="0"/>
        </w:rP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b w:val="0"/>
          <w:i/>
        </w:rPr>
        <w:t>second, independent implementation</w:t>
      </w:r>
      <w:r>
        <w:rPr>
          <w:b w:val="0"/>
          <w:i w:val="0"/>
        </w:rP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i w:val="0"/>
        </w:rPr>
        <w:t>MediaPipe Face Mesh</w:t>
      </w:r>
      <w:r>
        <w:rPr>
          <w:b w:val="0"/>
          <w:i w:val="0"/>
        </w:rPr>
        <w:t xml:space="preserve"> (Kartynnik </w:t>
      </w:r>
      <w:r>
        <w:rPr>
          <w:b w:val="0"/>
          <w:i/>
        </w:rPr>
        <w:t>et al.</w:t>
      </w:r>
      <w:r>
        <w:rPr>
          <w:b w:val="0"/>
          <w:i w:val="0"/>
        </w:rPr>
        <w:t xml:space="preserve">, 2019) is a neural-network-based model that predicts an approximate 3-D mesh of 468 surface points from a single RGB frame, running in real time on mobile GPUs without specialised hardware; </w:t>
      </w:r>
      <w:r>
        <w:rPr>
          <w:b/>
          <w:i w:val="0"/>
        </w:rPr>
        <w:t>MediaPipe Iris</w:t>
      </w:r>
      <w:r>
        <w:rPr>
          <w:b w:val="0"/>
          <w:i w:val="0"/>
        </w:rPr>
        <w:t xml:space="preserve"> extends the same framework with dedicated iris-landmark prediction, enabling gaze- and depth-related features from a standard webcam (Lugaresi </w:t>
      </w:r>
      <w:r>
        <w:rPr>
          <w:b w:val="0"/>
          <w:i/>
        </w:rPr>
        <w:t>et al.</w:t>
      </w:r>
      <w:r>
        <w:rPr>
          <w:b w:val="0"/>
          <w:i w:val="0"/>
        </w:rPr>
        <w:t xml:space="preserve">, 2019). Separately, classical head-pose estimation typically solves the </w:t>
      </w:r>
      <w:r>
        <w:rPr>
          <w:b/>
          <w:i w:val="0"/>
        </w:rPr>
        <w:t>Perspective-n-Point (PnP)</w:t>
      </w:r>
      <w:r>
        <w:rPr>
          <w:b w:val="0"/>
          <w:i w:val="0"/>
        </w:rP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b w:val="0"/>
          <w:i/>
        </w:rPr>
        <w:t>n</w:t>
      </w:r>
      <w:r>
        <w:rPr>
          <w:b w:val="0"/>
          <w:i w:val="0"/>
        </w:rPr>
        <w:t xml:space="preserve"> to linear while retaining accuracy.</w:t>
      </w:r>
    </w:p>
    <w:p>
      <w:pPr>
        <w:pStyle w:val="Heading3"/>
      </w:pPr>
      <w:r>
        <w:t>2.2.2 Fit with this project's methodology</w:t>
      </w:r>
    </w:p>
    <w:p>
      <w:pPr>
        <w:spacing w:after="160"/>
      </w:pPr>
      <w:r>
        <w:rPr>
          <w:b w:val="0"/>
          <w:i w:val="0"/>
        </w:rPr>
        <w:t xml:space="preserve">This project uses MediaPipe's Tasks API </w:t>
      </w:r>
      <w:r>
        <w:rPr>
          <w:rFonts w:ascii="Consolas" w:hAnsi="Consolas"/>
          <w:b w:val="0"/>
          <w:i w:val="0"/>
          <w:sz w:val="20"/>
        </w:rPr>
        <w:t>FaceLandmarker</w:t>
      </w:r>
      <w:r>
        <w:rPr>
          <w:b w:val="0"/>
          <w:i w:val="0"/>
        </w:rPr>
        <w:t xml:space="preserve">, built on the Kartynnik </w:t>
      </w:r>
      <w:r>
        <w:rPr>
          <w:b w:val="0"/>
          <w:i/>
        </w:rPr>
        <w:t>et al.</w:t>
      </w:r>
      <w:r>
        <w:rPr>
          <w:b w:val="0"/>
          <w:i w:val="0"/>
        </w:rPr>
        <w:t xml:space="preserve"> (2019) mesh model extended to 478 points (468 surface + 10 iris), on </w:t>
      </w:r>
      <w:r>
        <w:rPr>
          <w:b/>
          <w:i w:val="0"/>
        </w:rPr>
        <w:t>both</w:t>
      </w:r>
      <w:r>
        <w:rPr>
          <w:b w:val="0"/>
          <w:i w:val="0"/>
        </w:rPr>
        <w:t xml:space="preserve"> sides of the pipeline (Python, via </w:t>
      </w:r>
      <w:r>
        <w:rPr>
          <w:rFonts w:ascii="Consolas" w:hAnsi="Consolas"/>
          <w:b w:val="0"/>
          <w:i w:val="0"/>
          <w:sz w:val="20"/>
        </w:rPr>
        <w:t>mediapipe.tasks.python</w:t>
      </w:r>
      <w:r>
        <w:rPr>
          <w:b w:val="0"/>
          <w:i w:val="0"/>
        </w:rPr>
        <w:t xml:space="preserve">, and browser, via </w:t>
      </w:r>
      <w:r>
        <w:rPr>
          <w:rFonts w:ascii="Consolas" w:hAnsi="Consolas"/>
          <w:b w:val="0"/>
          <w:i w:val="0"/>
          <w:sz w:val="20"/>
        </w:rPr>
        <w:t>@mediapipe/tasks-vision</w:t>
      </w:r>
      <w:r>
        <w:rPr>
          <w:b w:val="0"/>
          <w:i w:val="0"/>
        </w:rP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rPr>
          <w:b w:val="0"/>
          <w:i w:val="0"/>
        </w:rPr>
        <w:t xml:space="preserve">Head pose is the one area where this project deliberately does </w:t>
      </w:r>
      <w:r>
        <w:rPr>
          <w:b/>
          <w:i w:val="0"/>
        </w:rPr>
        <w:t>not</w:t>
      </w:r>
      <w:r>
        <w:rPr>
          <w:b w:val="0"/>
          <w:i w:val="0"/>
        </w:rPr>
        <w:t xml:space="preserve"> follow the dominant prior approach. A true PnP solution (EPnP or otherwise) requires </w:t>
      </w:r>
      <w:r>
        <w:rPr>
          <w:rFonts w:ascii="Consolas" w:hAnsi="Consolas"/>
          <w:b w:val="0"/>
          <w:i w:val="0"/>
          <w:sz w:val="20"/>
        </w:rPr>
        <w:t>cv2.solvePnP</w:t>
      </w:r>
      <w:r>
        <w:rPr>
          <w:b w:val="0"/>
          <w:i w:val="0"/>
        </w:rPr>
        <w:t xml:space="preserve"> on the Python side and an equivalent on the browser side; the only practical browser equivalent, </w:t>
      </w:r>
      <w:r>
        <w:rPr>
          <w:rFonts w:ascii="Consolas" w:hAnsi="Consolas"/>
          <w:b w:val="0"/>
          <w:i w:val="0"/>
          <w:sz w:val="20"/>
        </w:rPr>
        <w:t>opencv.js</w:t>
      </w:r>
      <w:r>
        <w:rPr>
          <w:b w:val="0"/>
          <w:i w:val="0"/>
        </w:rPr>
        <w:t xml:space="preserve">, costs roughly 8 MB of additional WASM purely to obtain three Euler angles — disproportionate for an application whose entire premise is a minimal footprint. Instead, yaw, pitch, and roll are computed as </w:t>
      </w:r>
      <w:r>
        <w:rPr>
          <w:b/>
          <w:i w:val="0"/>
        </w:rPr>
        <w:t>geometric pose proxies</w:t>
      </w:r>
      <w:r>
        <w:rPr>
          <w:b w:val="0"/>
          <w:i w:val="0"/>
        </w:rP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rPr>
          <w:b w:val="0"/>
          <w:i w:val="0"/>
        </w:rPr>
        <w:t xml:space="preserve">Two DAiSEE-specific prior works are directly comparable to this project's approach. Abedi and Khan (2021) combine a 2-D ResNet spatial encoder with a </w:t>
      </w:r>
      <w:r>
        <w:rPr>
          <w:b/>
          <w:i w:val="0"/>
        </w:rPr>
        <w:t>Temporal Convolutional Network (TCN)</w:t>
      </w:r>
      <w:r>
        <w:rPr>
          <w:b w:val="0"/>
          <w:i w:val="0"/>
        </w:rP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rPr>
          <w:b w:val="0"/>
          <w:i w:val="0"/>
        </w:rPr>
        <w:t xml:space="preserve">This project's architecture (Section 3, </w:t>
      </w:r>
      <w:r>
        <w:rPr>
          <w:rFonts w:ascii="Consolas" w:hAnsi="Consolas"/>
          <w:b w:val="0"/>
          <w:i w:val="0"/>
          <w:sz w:val="20"/>
        </w:rPr>
        <w:t>ml/src/model.py</w:t>
      </w:r>
      <w:r>
        <w:rPr>
          <w:b w:val="0"/>
          <w:i w:val="0"/>
        </w:rP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b w:val="0"/>
          <w:i/>
        </w:rPr>
        <w:t>accuracy</w:t>
      </w:r>
      <w:r>
        <w:rPr>
          <w:b w:val="0"/>
          <w:i w:val="0"/>
        </w:rP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rPr>
          <w:b w:val="0"/>
          <w:i w:val="0"/>
        </w:rP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rPr>
          <w:b w:val="0"/>
          <w:i w:val="0"/>
        </w:rP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rPr>
          <w:b w:val="0"/>
          <w:i w:val="0"/>
        </w:rP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rPr>
          <w:b w:val="0"/>
          <w:i w:val="0"/>
        </w:rPr>
        <w:t xml:space="preserve">Jacob </w:t>
      </w:r>
      <w:r>
        <w:rPr>
          <w:b w:val="0"/>
          <w:i/>
        </w:rPr>
        <w:t>et al.</w:t>
      </w:r>
      <w:r>
        <w:rPr>
          <w:b w:val="0"/>
          <w:i w:val="0"/>
        </w:rP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rPr>
          <w:b w:val="0"/>
          <w:i w:val="0"/>
        </w:rPr>
        <w:t xml:space="preserve">This project applies </w:t>
      </w:r>
      <w:r>
        <w:rPr>
          <w:b/>
          <w:i w:val="0"/>
        </w:rPr>
        <w:t>static QDQ int8 quantization</w:t>
      </w:r>
      <w:r>
        <w:rPr>
          <w:b w:val="0"/>
          <w:i w:val="0"/>
        </w:rPr>
        <w:t xml:space="preserve"> (via ONNX Runtime's </w:t>
      </w:r>
      <w:r>
        <w:rPr>
          <w:rFonts w:ascii="Consolas" w:hAnsi="Consolas"/>
          <w:b w:val="0"/>
          <w:i w:val="0"/>
          <w:sz w:val="20"/>
        </w:rPr>
        <w:t>quantize_static</w:t>
      </w:r>
      <w:r>
        <w:rPr>
          <w:b w:val="0"/>
          <w:i w:val="0"/>
        </w:rPr>
        <w:t xml:space="preserve">, </w:t>
      </w:r>
      <w:r>
        <w:rPr>
          <w:rFonts w:ascii="Consolas" w:hAnsi="Consolas"/>
          <w:b w:val="0"/>
          <w:i w:val="0"/>
          <w:sz w:val="20"/>
        </w:rPr>
        <w:t>ml/src/export.py</w:t>
      </w:r>
      <w:r>
        <w:rPr>
          <w:b w:val="0"/>
          <w:i w:val="0"/>
        </w:rPr>
        <w:t xml:space="preserve">) in the spirit of Jacob </w:t>
      </w:r>
      <w:r>
        <w:rPr>
          <w:b w:val="0"/>
          <w:i/>
        </w:rPr>
        <w:t>et al.</w:t>
      </w:r>
      <w:r>
        <w:rPr>
          <w:b w:val="0"/>
          <w:i w:val="0"/>
        </w:rP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i w:val="0"/>
        </w:rPr>
        <w:t>dynamic</w:t>
      </w:r>
      <w:r>
        <w:rPr>
          <w:b w:val="0"/>
          <w:i w:val="0"/>
        </w:rPr>
        <w:t xml:space="preserve"> quantization produced a model that loaded but could not execute in onnxruntime-web's WASM backend, because dynamic quantization emits </w:t>
      </w:r>
      <w:r>
        <w:rPr>
          <w:rFonts w:ascii="Consolas" w:hAnsi="Consolas"/>
          <w:b w:val="0"/>
          <w:i w:val="0"/>
          <w:sz w:val="20"/>
        </w:rPr>
        <w:t>ConvInteger</w:t>
      </w:r>
      <w:r>
        <w:rPr>
          <w:b w:val="0"/>
          <w:i w:val="0"/>
        </w:rPr>
        <w:t xml:space="preserve"> operator nodes that onnxruntime-web does not implement, whereas static QDQ quantization emits </w:t>
      </w:r>
      <w:r>
        <w:rPr>
          <w:rFonts w:ascii="Consolas" w:hAnsi="Consolas"/>
          <w:b w:val="0"/>
          <w:i w:val="0"/>
          <w:sz w:val="20"/>
        </w:rPr>
        <w:t>QLinearConv</w:t>
      </w:r>
      <w:r>
        <w:rPr>
          <w:b w:val="0"/>
          <w:i w:val="0"/>
        </w:rPr>
        <w:t xml:space="preserve"> nodes, which it does. This was discovered empirically via a dedicated browser-execution smoke test (</w:t>
      </w:r>
      <w:r>
        <w:rPr>
          <w:rFonts w:ascii="Consolas" w:hAnsi="Consolas"/>
          <w:b w:val="0"/>
          <w:i w:val="0"/>
          <w:sz w:val="20"/>
        </w:rPr>
        <w:t>ml/scripts/browser_tests.py</w:t>
      </w:r>
      <w:r>
        <w:rPr>
          <w:b w:val="0"/>
          <w:i w:val="0"/>
        </w:rP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Ordinal regression and automated hyperparameter optimisation</w:t>
      </w:r>
    </w:p>
    <w:p>
      <w:pPr>
        <w:pStyle w:val="Heading3"/>
      </w:pPr>
      <w:r>
        <w:t>2.6.1 Prior methodology</w:t>
      </w:r>
    </w:p>
    <w:p>
      <w:pPr>
        <w:spacing w:after="160"/>
      </w:pPr>
      <w:r>
        <w:rPr>
          <w:b w:val="0"/>
          <w:i w:val="0"/>
        </w:rPr>
        <w:t xml:space="preserve">Two further methods entered this project during its extended experimentation phase (Chapter 4, Experiments 7–8) and are reviewed here for completeness. </w:t>
      </w:r>
      <w:r>
        <w:rPr>
          <w:b/>
          <w:i w:val="0"/>
        </w:rPr>
        <w:t>CORAL</w:t>
      </w:r>
      <w:r>
        <w:rPr>
          <w:b w:val="0"/>
          <w:i w:val="0"/>
        </w:rPr>
        <w:t xml:space="preserve"> (Cao, Mirjalili and Raschka, 2020) reformulates ordinal classification — categories with a meaningful order, such as DAiSEE's very-low-to-very-high engagement scale — as a set of rank-consistent binary "greater than level </w:t>
      </w:r>
      <w:r>
        <w:rPr>
          <w:b w:val="0"/>
          <w:i/>
        </w:rPr>
        <w:t>k</w:t>
      </w:r>
      <w:r>
        <w:rPr>
          <w:b w:val="0"/>
          <w:i w:val="0"/>
        </w:rPr>
        <w:t xml:space="preserve">" sub-problems sharing one learned representation, guaranteeing the predicted rank probabilities are monotonically consistent, unlike naive per-threshold classifiers. </w:t>
      </w:r>
      <w:r>
        <w:rPr>
          <w:b/>
          <w:i w:val="0"/>
        </w:rPr>
        <w:t>Optuna</w:t>
      </w:r>
      <w:r>
        <w:rPr>
          <w:b w:val="0"/>
          <w:i w:val="0"/>
        </w:rPr>
        <w:t xml:space="preserve"> (Akiba </w:t>
      </w:r>
      <w:r>
        <w:rPr>
          <w:b w:val="0"/>
          <w:i/>
        </w:rPr>
        <w:t>et al.</w:t>
      </w:r>
      <w:r>
        <w:rPr>
          <w:b w:val="0"/>
          <w:i w:val="0"/>
        </w:rPr>
        <w:t>, 2019) is a hyperparameter-optimisation framework combining Tree-structured Parzen Estimator (TPE) Bayesian sampling with aggressive early pruning of unpromising trials, making systematic search practical at a fraction of exhaustive-grid cost.</w:t>
      </w:r>
    </w:p>
    <w:p>
      <w:pPr>
        <w:pStyle w:val="Heading3"/>
      </w:pPr>
      <w:r>
        <w:t>2.6.2 Fit with this project's methodology</w:t>
      </w:r>
    </w:p>
    <w:p>
      <w:pPr>
        <w:spacing w:after="160"/>
      </w:pPr>
      <w:r>
        <w:rPr>
          <w:b w:val="0"/>
          <w:i w:val="0"/>
        </w:rPr>
        <w:t xml:space="preserve">Both are used as </w:t>
      </w:r>
      <w:r>
        <w:rPr>
          <w:b w:val="0"/>
          <w:i/>
        </w:rPr>
        <w:t>interrogation tools</w:t>
      </w:r>
      <w:r>
        <w:rPr>
          <w:b w:val="0"/>
          <w:i w:val="0"/>
        </w:rPr>
        <w:t xml:space="preserve"> rather than components of the shipped system: CORAL as an alternative engagement head to test whether directly optimising the label's ordinal structure improves on the softmax formulation (Experiment 8 — it trades macro-F1 for accuracy/ordinal agreement rather than strictly improving), and Optuna as the search engine for the systematic hyperparameter sweep the original six-run manual search lacked (Experiment 8 — the search validated rather than displaced the manually chosen configuration). Neither changes the deployed model; both change how much confidence its configuration deserves.</w:t>
      </w:r>
    </w:p>
    <w:p>
      <w:pPr>
        <w:pStyle w:val="Heading2"/>
      </w:pPr>
      <w:r>
        <w:t>2.7 Synthesis: Positioning This Project Within the Literature</w:t>
      </w:r>
    </w:p>
    <w:p>
      <w:pPr>
        <w:spacing w:after="160"/>
      </w:pPr>
      <w:r>
        <w:rPr>
          <w:b w:val="0"/>
          <w:i w:val="0"/>
        </w:rP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surveyed work occupies quite this project's position: a geometric-feature-plus-TCN combination deployed and benchmarked as a genuinely running, quantized, client-side browser application, with cross-language training/inference equivalence treated as a measured property rather than an implicit assumption. This is not a claim of superiority over the deep end-to-end alternatives — Section 4.3.3 shows plainly it is not superior on raw predictive performance — but a statement of the narrower niche occupied: privacy-preserving, edge-verifiable engagement inference, combining two individually well-established literatures with a level of browser-deployed rigour rare in the DAiSEE literature specifically. The class-imbalance and annotation-validity threads (Sections 2.3.2, 2.4) apply here exactly as to the prior work, and are treated identically — named, measured, and reported.</w:t>
      </w:r>
    </w:p>
    <w:p>
      <w:r>
        <w:br w:type="page"/>
      </w:r>
    </w:p>
    <w:p>
      <w:pPr>
        <w:pStyle w:val="Heading1"/>
      </w:pPr>
      <w:r>
        <w:t>3. Methodology</w:t>
      </w:r>
    </w:p>
    <w:p>
      <w:pPr>
        <w:pStyle w:val="Heading2"/>
      </w:pPr>
      <w:r>
        <w:t>3.1 List of Requirements</w:t>
      </w:r>
    </w:p>
    <w:p>
      <w:pPr>
        <w:spacing w:after="160"/>
      </w:pPr>
      <w:r>
        <w:rPr>
          <w:b w:val="0"/>
          <w:i w:val="0"/>
        </w:rPr>
        <w:t>Derived directly from the dataset properties established in Section 1.5 and the prior-work gaps identified in Section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Requirement</w:t>
            </w:r>
          </w:p>
        </w:tc>
        <w:tc>
          <w:tcPr>
            <w:tcW w:type="dxa" w:w="2880"/>
            <w:shd w:val="clear" w:color="auto" w:fill="D9E2F3"/>
          </w:tcPr>
          <w:p>
            <w:r>
              <w:rPr>
                <w:b/>
              </w:rPr>
            </w:r>
            <w:r>
              <w:rPr>
                <w:b/>
                <w:i w:val="0"/>
              </w:rPr>
              <w:t>Source</w:t>
            </w:r>
          </w:p>
        </w:tc>
      </w:tr>
      <w:tr>
        <w:tc>
          <w:tcPr>
            <w:tcW w:type="dxa" w:w="2880"/>
          </w:tcPr>
          <w:p>
            <w:r/>
            <w:r>
              <w:rPr>
                <w:b w:val="0"/>
                <w:i w:val="0"/>
              </w:rPr>
              <w:t>R1</w:t>
            </w:r>
          </w:p>
        </w:tc>
        <w:tc>
          <w:tcPr>
            <w:tcW w:type="dxa" w:w="2880"/>
          </w:tcPr>
          <w:p>
            <w:r/>
            <w:r>
              <w:rPr>
                <w:b w:val="0"/>
                <w:i w:val="0"/>
              </w:rPr>
              <w:t>Feature extraction must be numerically reproducible across two independent language implementations (Python training, TypeScript inference), to a documented, empirically-justified tolerance</w:t>
            </w:r>
          </w:p>
        </w:tc>
        <w:tc>
          <w:tcPr>
            <w:tcW w:type="dxa" w:w="2880"/>
          </w:tcPr>
          <w:p>
            <w:r/>
            <w:r>
              <w:rPr>
                <w:b w:val="0"/>
                <w:i w:val="0"/>
              </w:rPr>
              <w:t>Section 1.3(2); no equivalent guarantee exists for raw-pixel deep features (Section 2.1.2)</w:t>
            </w:r>
          </w:p>
        </w:tc>
      </w:tr>
      <w:tr>
        <w:tc>
          <w:tcPr>
            <w:tcW w:type="dxa" w:w="2880"/>
          </w:tcPr>
          <w:p>
            <w:r/>
            <w:r>
              <w:rPr>
                <w:b w:val="0"/>
                <w:i w:val="0"/>
              </w:rPr>
              <w:t>R2</w:t>
            </w:r>
          </w:p>
        </w:tc>
        <w:tc>
          <w:tcPr>
            <w:tcW w:type="dxa" w:w="2880"/>
          </w:tcPr>
          <w:p>
            <w:r/>
            <w:r>
              <w:rPr>
                <w:b w:val="0"/>
                <w:i w:val="0"/>
              </w:rPr>
              <w:t>The trained model must be evaluated primarily on macro-F1, not accuracy, given the ≈0.22% prevalence of the rarest class</w:t>
            </w:r>
          </w:p>
        </w:tc>
        <w:tc>
          <w:tcPr>
            <w:tcW w:type="dxa" w:w="2880"/>
          </w:tcPr>
          <w:p>
            <w:r/>
            <w:r>
              <w:rPr>
                <w:b w:val="0"/>
                <w:i w:val="0"/>
              </w:rPr>
              <w:t>Section 1.5</w:t>
            </w:r>
          </w:p>
        </w:tc>
      </w:tr>
      <w:tr>
        <w:tc>
          <w:tcPr>
            <w:tcW w:type="dxa" w:w="2880"/>
          </w:tcPr>
          <w:p>
            <w:r/>
            <w:r>
              <w:rPr>
                <w:b w:val="0"/>
                <w:i w:val="0"/>
              </w:rPr>
              <w:t>R3</w:t>
            </w:r>
          </w:p>
        </w:tc>
        <w:tc>
          <w:tcPr>
            <w:tcW w:type="dxa" w:w="2880"/>
          </w:tcPr>
          <w:p>
            <w:r/>
            <w:r>
              <w:rPr>
                <w:b w:val="0"/>
                <w:i w:val="0"/>
              </w:rPr>
              <w:t>The training objective must explicitly counteract class imbalance, not rely on the optimiser discovering minority classes unaided</w:t>
            </w:r>
          </w:p>
        </w:tc>
        <w:tc>
          <w:tcPr>
            <w:tcW w:type="dxa" w:w="2880"/>
          </w:tcPr>
          <w:p>
            <w:r/>
            <w:r>
              <w:rPr>
                <w:b w:val="0"/>
                <w:i w:val="0"/>
              </w:rPr>
              <w:t>Section 1.5, Section 2.3.2</w:t>
            </w:r>
          </w:p>
        </w:tc>
      </w:tr>
      <w:tr>
        <w:tc>
          <w:tcPr>
            <w:tcW w:type="dxa" w:w="2880"/>
          </w:tcPr>
          <w:p>
            <w:r/>
            <w:r>
              <w:rPr>
                <w:b w:val="0"/>
                <w:i w:val="0"/>
              </w:rPr>
              <w:t>R4</w:t>
            </w:r>
          </w:p>
        </w:tc>
        <w:tc>
          <w:tcPr>
            <w:tcW w:type="dxa" w:w="2880"/>
          </w:tcPr>
          <w:p>
            <w:r/>
            <w:r>
              <w:rPr>
                <w:b w:val="0"/>
                <w:i w:val="0"/>
              </w:rPr>
              <w:t>The exported model must run inside a browser WASM runtime, not merely inside Python ONNX Runtime</w:t>
            </w:r>
          </w:p>
        </w:tc>
        <w:tc>
          <w:tcPr>
            <w:tcW w:type="dxa" w:w="2880"/>
          </w:tcPr>
          <w:p>
            <w:r/>
            <w:r>
              <w:rPr>
                <w:b w:val="0"/>
                <w:i w:val="0"/>
              </w:rPr>
              <w:t>Section 2.5.2 (the dynamic-quantization finding demonstrates these are not equivalent)</w:t>
            </w:r>
          </w:p>
        </w:tc>
      </w:tr>
      <w:tr>
        <w:tc>
          <w:tcPr>
            <w:tcW w:type="dxa" w:w="2880"/>
          </w:tcPr>
          <w:p>
            <w:r/>
            <w:r>
              <w:rPr>
                <w:b w:val="0"/>
                <w:i w:val="0"/>
              </w:rPr>
              <w:t>R5</w:t>
            </w:r>
          </w:p>
        </w:tc>
        <w:tc>
          <w:tcPr>
            <w:tcW w:type="dxa" w:w="2880"/>
          </w:tcPr>
          <w:p>
            <w:r/>
            <w:r>
              <w:rPr>
                <w:b w:val="0"/>
                <w:i w:val="0"/>
              </w:rPr>
              <w:t>No frame of video, no derived feature, and no prediction may be transmitted off-device at any point, and this must be independently verified, not merely designed for</w:t>
            </w:r>
          </w:p>
        </w:tc>
        <w:tc>
          <w:tcPr>
            <w:tcW w:type="dxa" w:w="2880"/>
          </w:tcPr>
          <w:p>
            <w:r/>
            <w:r>
              <w:rPr>
                <w:b w:val="0"/>
                <w:i w:val="0"/>
              </w:rPr>
              <w:t>Section 1.2</w:t>
            </w:r>
          </w:p>
        </w:tc>
      </w:tr>
      <w:tr>
        <w:tc>
          <w:tcPr>
            <w:tcW w:type="dxa" w:w="2880"/>
          </w:tcPr>
          <w:p>
            <w:r/>
            <w:r>
              <w:rPr>
                <w:b w:val="0"/>
                <w:i w:val="0"/>
              </w:rPr>
              <w:t>R6</w:t>
            </w:r>
          </w:p>
        </w:tc>
        <w:tc>
          <w:tcPr>
            <w:tcW w:type="dxa" w:w="2880"/>
          </w:tcPr>
          <w:p>
            <w:r/>
            <w:r>
              <w:rPr>
                <w:b w:val="0"/>
                <w:i w:val="0"/>
              </w:rPr>
              <w:t xml:space="preserve">Head pose must be computed without adding a heavyweight browser dependency (ruling out </w:t>
            </w:r>
            <w:r>
              <w:rPr>
                <w:rFonts w:ascii="Consolas" w:hAnsi="Consolas"/>
                <w:b w:val="0"/>
                <w:i w:val="0"/>
                <w:sz w:val="20"/>
              </w:rPr>
              <w:t>cv2.solvePnP</w:t>
            </w:r>
            <w:r>
              <w:rPr>
                <w:b w:val="0"/>
                <w:i w:val="0"/>
              </w:rPr>
              <w:t>/</w:t>
            </w:r>
            <w:r>
              <w:rPr>
                <w:rFonts w:ascii="Consolas" w:hAnsi="Consolas"/>
                <w:b w:val="0"/>
                <w:i w:val="0"/>
                <w:sz w:val="20"/>
              </w:rPr>
              <w:t>opencv.js</w:t>
            </w:r>
            <w:r>
              <w:rPr>
                <w:b w:val="0"/>
                <w:i w:val="0"/>
              </w:rPr>
              <w:t>)</w:t>
            </w:r>
          </w:p>
        </w:tc>
        <w:tc>
          <w:tcPr>
            <w:tcW w:type="dxa" w:w="2880"/>
          </w:tcPr>
          <w:p>
            <w:r/>
            <w:r>
              <w:rPr>
                <w:b w:val="0"/>
                <w:i w:val="0"/>
              </w:rPr>
              <w:t>Section 2.2.2</w:t>
            </w:r>
          </w:p>
        </w:tc>
      </w:tr>
      <w:tr>
        <w:tc>
          <w:tcPr>
            <w:tcW w:type="dxa" w:w="2880"/>
          </w:tcPr>
          <w:p>
            <w:r/>
            <w:r>
              <w:rPr>
                <w:b w:val="0"/>
                <w:i w:val="0"/>
              </w:rPr>
              <w:t>R7</w:t>
            </w:r>
          </w:p>
        </w:tc>
        <w:tc>
          <w:tcPr>
            <w:tcW w:type="dxa" w:w="2880"/>
          </w:tcPr>
          <w:p>
            <w:r/>
            <w:r>
              <w:rPr>
                <w:b w:val="0"/>
                <w:i w:val="0"/>
              </w:rPr>
              <w:t>The DAiSEE official Train/Validation/Test split must be preserved unmodified, with zero clip-ID leakage across splits, to remain comparable to the published benchmark and prior work (Section 2.3)</w:t>
            </w:r>
          </w:p>
        </w:tc>
        <w:tc>
          <w:tcPr>
            <w:tcW w:type="dxa" w:w="2880"/>
          </w:tcPr>
          <w:p>
            <w:r/>
            <w:r>
              <w:rPr>
                <w:b w:val="0"/>
                <w:i w:val="0"/>
              </w:rPr>
              <w:t>Section 1.5</w:t>
            </w:r>
          </w:p>
        </w:tc>
      </w:tr>
    </w:tbl>
    <w:p/>
    <w:p>
      <w:pPr>
        <w:pStyle w:val="Heading2"/>
      </w:pPr>
      <w:r>
        <w:t>3.2 Methodology: a Two-Track Contract-Driven Pipeline</w:t>
      </w:r>
    </w:p>
    <w:p>
      <w:pPr>
        <w:spacing w:after="160"/>
      </w:pPr>
      <w:r>
        <w:rPr>
          <w:b w:val="0"/>
          <w:i w:val="0"/>
        </w:rPr>
        <w:t xml:space="preserve">The project's own name for its methodology, used consistently throughout its own build documentation, is </w:t>
      </w:r>
      <w:r>
        <w:rPr>
          <w:b/>
          <w:i w:val="0"/>
        </w:rPr>
        <w:t>"contract-driven parallel development"</w:t>
      </w:r>
      <w:r>
        <w:rPr>
          <w:b w:val="0"/>
          <w:i w:val="0"/>
        </w:rP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b w:val="0"/>
          <w:i w:val="0"/>
          <w:sz w:val="20"/>
        </w:rPr>
        <w:t>CONTRACT.md</w:t>
      </w:r>
      <w:r>
        <w:rPr>
          <w:b w:val="0"/>
          <w:i w:val="0"/>
        </w:rP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b w:val="0"/>
          <w:i w:val="0"/>
          <w:sz w:val="20"/>
        </w:rPr>
        <w:t>BUILD_PLAN_1.md</w:t>
      </w:r>
      <w:r>
        <w:rPr>
          <w:b w:val="0"/>
          <w:i w:val="0"/>
        </w:rPr>
        <w:t xml:space="preserve"> §8).</w:t>
      </w:r>
    </w:p>
    <w:p>
      <w:pPr>
        <w:pStyle w:val="Heading3"/>
      </w:pPr>
      <w:r>
        <w:t>3.2.1 Pre-existing methodology used</w:t>
      </w:r>
    </w:p>
    <w:p>
      <w:pPr>
        <w:spacing w:after="160"/>
      </w:pPr>
      <w:r>
        <w:rPr>
          <w:b w:val="0"/>
          <w:i w:val="0"/>
        </w:rP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rPr>
          <w:b w:val="0"/>
          <w:i w:val="0"/>
        </w:rPr>
        <w:t>Thirteen features are computed per frame, identically specified for both language implementations (</w:t>
      </w:r>
      <w:r>
        <w:rPr>
          <w:rFonts w:ascii="Consolas" w:hAnsi="Consolas"/>
          <w:b w:val="0"/>
          <w:i w:val="0"/>
          <w:sz w:val="20"/>
        </w:rPr>
        <w:t>CONTRACT.md</w:t>
      </w:r>
      <w:r>
        <w:rPr>
          <w:b w:val="0"/>
          <w:i w:val="0"/>
        </w:rPr>
        <w:t xml:space="preserve"> §2; reference implementation </w:t>
      </w:r>
      <w:r>
        <w:rPr>
          <w:rFonts w:ascii="Consolas" w:hAnsi="Consolas"/>
          <w:b w:val="0"/>
          <w:i w:val="0"/>
          <w:sz w:val="20"/>
        </w:rPr>
        <w:t>ml/src/features.py</w:t>
      </w:r>
      <w:r>
        <w:rPr>
          <w:b w:val="0"/>
          <w:i w:val="0"/>
        </w:rPr>
        <w:t xml:space="preserve">; browser port </w:t>
      </w:r>
      <w:r>
        <w:rPr>
          <w:rFonts w:ascii="Consolas" w:hAnsi="Consolas"/>
          <w:b w:val="0"/>
          <w:i w:val="0"/>
          <w:sz w:val="20"/>
        </w:rPr>
        <w:t>web/lib/features.ts</w:t>
      </w:r>
      <w:r>
        <w:rPr>
          <w:b w:val="0"/>
          <w:i w:val="0"/>
        </w:rP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Feature</w:t>
            </w:r>
          </w:p>
        </w:tc>
        <w:tc>
          <w:tcPr>
            <w:tcW w:type="dxa" w:w="2880"/>
            <w:shd w:val="clear" w:color="auto" w:fill="D9E2F3"/>
          </w:tcPr>
          <w:p>
            <w:r>
              <w:rPr>
                <w:b/>
              </w:rPr>
            </w:r>
            <w:r>
              <w:rPr>
                <w:b/>
                <w:i w:val="0"/>
              </w:rPr>
              <w:t>Definition</w:t>
            </w:r>
          </w:p>
        </w:tc>
      </w:tr>
      <w:tr>
        <w:tc>
          <w:tcPr>
            <w:tcW w:type="dxa" w:w="2880"/>
          </w:tcPr>
          <w:p>
            <w:r/>
            <w:r>
              <w:rPr>
                <w:b w:val="0"/>
                <w:i w:val="0"/>
              </w:rPr>
              <w:t>0–2</w:t>
            </w:r>
          </w:p>
        </w:tc>
        <w:tc>
          <w:tcPr>
            <w:tcW w:type="dxa" w:w="2880"/>
          </w:tcPr>
          <w:p>
            <w:r/>
            <w:r>
              <w:rPr>
                <w:rFonts w:ascii="Consolas" w:hAnsi="Consolas"/>
                <w:b w:val="0"/>
                <w:i w:val="0"/>
                <w:sz w:val="20"/>
              </w:rPr>
              <w:t>ear_left</w:t>
            </w:r>
            <w:r>
              <w:rPr>
                <w:b w:val="0"/>
                <w:i w:val="0"/>
              </w:rPr>
              <w:t xml:space="preserve">, </w:t>
            </w:r>
            <w:r>
              <w:rPr>
                <w:rFonts w:ascii="Consolas" w:hAnsi="Consolas"/>
                <w:b w:val="0"/>
                <w:i w:val="0"/>
                <w:sz w:val="20"/>
              </w:rPr>
              <w:t>ear_right</w:t>
            </w:r>
            <w:r>
              <w:rPr>
                <w:b w:val="0"/>
                <w:i w:val="0"/>
              </w:rPr>
              <w:t xml:space="preserve">, </w:t>
            </w:r>
            <w:r>
              <w:rPr>
                <w:rFonts w:ascii="Consolas" w:hAnsi="Consolas"/>
                <w:b w:val="0"/>
                <w:i w:val="0"/>
                <w:sz w:val="20"/>
              </w:rPr>
              <w:t>ear_mean</w:t>
            </w:r>
          </w:p>
        </w:tc>
        <w:tc>
          <w:tcPr>
            <w:tcW w:type="dxa" w:w="2880"/>
          </w:tcPr>
          <w:p>
            <w:r/>
            <w:r>
              <w:rPr>
                <w:b w:val="0"/>
                <w:i w:val="0"/>
              </w:rPr>
              <w:t>Eye Aspect Ratio (Soukupová and Čech, 2016), each eye and their mean</w:t>
            </w:r>
          </w:p>
        </w:tc>
      </w:tr>
      <w:tr>
        <w:tc>
          <w:tcPr>
            <w:tcW w:type="dxa" w:w="2880"/>
          </w:tcPr>
          <w:p>
            <w:r/>
            <w:r>
              <w:rPr>
                <w:b w:val="0"/>
                <w:i w:val="0"/>
              </w:rPr>
              <w:t>3</w:t>
            </w:r>
          </w:p>
        </w:tc>
        <w:tc>
          <w:tcPr>
            <w:tcW w:type="dxa" w:w="2880"/>
          </w:tcPr>
          <w:p>
            <w:r/>
            <w:r>
              <w:rPr>
                <w:rFonts w:ascii="Consolas" w:hAnsi="Consolas"/>
                <w:b w:val="0"/>
                <w:i w:val="0"/>
                <w:sz w:val="20"/>
              </w:rPr>
              <w:t>mar</w:t>
            </w:r>
          </w:p>
        </w:tc>
        <w:tc>
          <w:tcPr>
            <w:tcW w:type="dxa" w:w="2880"/>
          </w:tcPr>
          <w:p>
            <w:r/>
            <w:r>
              <w:rPr>
                <w:b w:val="0"/>
                <w:i w:val="0"/>
              </w:rPr>
              <w:t>Mouth Aspect Ratio — vertical ÷ horizontal lip distance</w:t>
            </w:r>
          </w:p>
        </w:tc>
      </w:tr>
      <w:tr>
        <w:tc>
          <w:tcPr>
            <w:tcW w:type="dxa" w:w="2880"/>
          </w:tcPr>
          <w:p>
            <w:r/>
            <w:r>
              <w:rPr>
                <w:b w:val="0"/>
                <w:i w:val="0"/>
              </w:rPr>
              <w:t>4–5</w:t>
            </w:r>
          </w:p>
        </w:tc>
        <w:tc>
          <w:tcPr>
            <w:tcW w:type="dxa" w:w="2880"/>
          </w:tcPr>
          <w:p>
            <w:r/>
            <w:r>
              <w:rPr>
                <w:rFonts w:ascii="Consolas" w:hAnsi="Consolas"/>
                <w:b w:val="0"/>
                <w:i w:val="0"/>
                <w:sz w:val="20"/>
              </w:rPr>
              <w:t>brow_left</w:t>
            </w:r>
            <w:r>
              <w:rPr>
                <w:b w:val="0"/>
                <w:i w:val="0"/>
              </w:rPr>
              <w:t xml:space="preserve">, </w:t>
            </w:r>
            <w:r>
              <w:rPr>
                <w:rFonts w:ascii="Consolas" w:hAnsi="Consolas"/>
                <w:b w:val="0"/>
                <w:i w:val="0"/>
                <w:sz w:val="20"/>
              </w:rPr>
              <w:t>brow_right</w:t>
            </w:r>
          </w:p>
        </w:tc>
        <w:tc>
          <w:tcPr>
            <w:tcW w:type="dxa" w:w="2880"/>
          </w:tcPr>
          <w:p>
            <w:r/>
            <w:r>
              <w:rPr>
                <w:b w:val="0"/>
                <w:i w:val="0"/>
              </w:rPr>
              <w:t>Eyebrow-to-eye-centre distance ÷ interocular distance</w:t>
            </w:r>
          </w:p>
        </w:tc>
      </w:tr>
      <w:tr>
        <w:tc>
          <w:tcPr>
            <w:tcW w:type="dxa" w:w="2880"/>
          </w:tcPr>
          <w:p>
            <w:r/>
            <w:r>
              <w:rPr>
                <w:b w:val="0"/>
                <w:i w:val="0"/>
              </w:rPr>
              <w:t>6–8</w:t>
            </w:r>
          </w:p>
        </w:tc>
        <w:tc>
          <w:tcPr>
            <w:tcW w:type="dxa" w:w="2880"/>
          </w:tcPr>
          <w:p>
            <w:r/>
            <w:r>
              <w:rPr>
                <w:rFonts w:ascii="Consolas" w:hAnsi="Consolas"/>
                <w:b w:val="0"/>
                <w:i w:val="0"/>
                <w:sz w:val="20"/>
              </w:rPr>
              <w:t>yaw</w:t>
            </w:r>
            <w:r>
              <w:rPr>
                <w:b w:val="0"/>
                <w:i w:val="0"/>
              </w:rPr>
              <w:t xml:space="preserve">, </w:t>
            </w:r>
            <w:r>
              <w:rPr>
                <w:rFonts w:ascii="Consolas" w:hAnsi="Consolas"/>
                <w:b w:val="0"/>
                <w:i w:val="0"/>
                <w:sz w:val="20"/>
              </w:rPr>
              <w:t>pitch</w:t>
            </w:r>
            <w:r>
              <w:rPr>
                <w:b w:val="0"/>
                <w:i w:val="0"/>
              </w:rPr>
              <w:t xml:space="preserve">, </w:t>
            </w:r>
            <w:r>
              <w:rPr>
                <w:rFonts w:ascii="Consolas" w:hAnsi="Consolas"/>
                <w:b w:val="0"/>
                <w:i w:val="0"/>
                <w:sz w:val="20"/>
              </w:rPr>
              <w:t>roll</w:t>
            </w:r>
          </w:p>
        </w:tc>
        <w:tc>
          <w:tcPr>
            <w:tcW w:type="dxa" w:w="2880"/>
          </w:tcPr>
          <w:p>
            <w:r/>
            <w:r>
              <w:rPr>
                <w:b w:val="0"/>
                <w:i w:val="0"/>
              </w:rPr>
              <w:t>Geometric head-pose proxies (Section 2.2.2)</w:t>
            </w:r>
          </w:p>
        </w:tc>
      </w:tr>
      <w:tr>
        <w:tc>
          <w:tcPr>
            <w:tcW w:type="dxa" w:w="2880"/>
          </w:tcPr>
          <w:p>
            <w:r/>
            <w:r>
              <w:rPr>
                <w:b w:val="0"/>
                <w:i w:val="0"/>
              </w:rPr>
              <w:t>9–10</w:t>
            </w:r>
          </w:p>
        </w:tc>
        <w:tc>
          <w:tcPr>
            <w:tcW w:type="dxa" w:w="2880"/>
          </w:tcPr>
          <w:p>
            <w:r/>
            <w:r>
              <w:rPr>
                <w:rFonts w:ascii="Consolas" w:hAnsi="Consolas"/>
                <w:b w:val="0"/>
                <w:i w:val="0"/>
                <w:sz w:val="20"/>
              </w:rPr>
              <w:t>gaze_x</w:t>
            </w:r>
            <w:r>
              <w:rPr>
                <w:b w:val="0"/>
                <w:i w:val="0"/>
              </w:rPr>
              <w:t xml:space="preserve">, </w:t>
            </w:r>
            <w:r>
              <w:rPr>
                <w:rFonts w:ascii="Consolas" w:hAnsi="Consolas"/>
                <w:b w:val="0"/>
                <w:i w:val="0"/>
                <w:sz w:val="20"/>
              </w:rPr>
              <w:t>gaze_y</w:t>
            </w:r>
          </w:p>
        </w:tc>
        <w:tc>
          <w:tcPr>
            <w:tcW w:type="dxa" w:w="2880"/>
          </w:tcPr>
          <w:p>
            <w:r/>
            <w:r>
              <w:rPr>
                <w:b w:val="0"/>
                <w:i w:val="0"/>
              </w:rPr>
              <w:t>Iris-centre offset from eye-corner midpoint, normalised by eye width/height</w:t>
            </w:r>
          </w:p>
        </w:tc>
      </w:tr>
      <w:tr>
        <w:tc>
          <w:tcPr>
            <w:tcW w:type="dxa" w:w="2880"/>
          </w:tcPr>
          <w:p>
            <w:r/>
            <w:r>
              <w:rPr>
                <w:b w:val="0"/>
                <w:i w:val="0"/>
              </w:rPr>
              <w:t>11</w:t>
            </w:r>
          </w:p>
        </w:tc>
        <w:tc>
          <w:tcPr>
            <w:tcW w:type="dxa" w:w="2880"/>
          </w:tcPr>
          <w:p>
            <w:r/>
            <w:r>
              <w:rPr>
                <w:rFonts w:ascii="Consolas" w:hAnsi="Consolas"/>
                <w:b w:val="0"/>
                <w:i w:val="0"/>
                <w:sz w:val="20"/>
              </w:rPr>
              <w:t>face_area</w:t>
            </w:r>
          </w:p>
        </w:tc>
        <w:tc>
          <w:tcPr>
            <w:tcW w:type="dxa" w:w="2880"/>
          </w:tcPr>
          <w:p>
            <w:r/>
            <w:r>
              <w:rPr>
                <w:b w:val="0"/>
                <w:i w:val="0"/>
              </w:rPr>
              <w:t>Landmark bounding-box area ÷ frame area</w:t>
            </w:r>
          </w:p>
        </w:tc>
      </w:tr>
      <w:tr>
        <w:tc>
          <w:tcPr>
            <w:tcW w:type="dxa" w:w="2880"/>
          </w:tcPr>
          <w:p>
            <w:r/>
            <w:r>
              <w:rPr>
                <w:b w:val="0"/>
                <w:i w:val="0"/>
              </w:rPr>
              <w:t>12</w:t>
            </w:r>
          </w:p>
        </w:tc>
        <w:tc>
          <w:tcPr>
            <w:tcW w:type="dxa" w:w="2880"/>
          </w:tcPr>
          <w:p>
            <w:r/>
            <w:r>
              <w:rPr>
                <w:rFonts w:ascii="Consolas" w:hAnsi="Consolas"/>
                <w:b w:val="0"/>
                <w:i w:val="0"/>
                <w:sz w:val="20"/>
              </w:rPr>
              <w:t>face_present</w:t>
            </w:r>
          </w:p>
        </w:tc>
        <w:tc>
          <w:tcPr>
            <w:tcW w:type="dxa" w:w="2880"/>
          </w:tcPr>
          <w:p>
            <w:r/>
            <w:r>
              <w:rPr>
                <w:b w:val="0"/>
                <w:i w:val="0"/>
              </w:rPr>
              <w:t>1.0 if a face was detected in the frame, else 0.0</w:t>
            </w:r>
          </w:p>
        </w:tc>
      </w:tr>
    </w:tbl>
    <w:p/>
    <w:p>
      <w:pPr>
        <w:spacing w:after="160"/>
      </w:pPr>
      <w:r>
        <w:rPr>
          <w:b w:val="0"/>
          <w:i w:val="0"/>
        </w:rPr>
        <w:t xml:space="preserve">Two normalisation rules apply throughout and are load-bearing for the cross-domain generalisation this project needs (DAiSEE clips recorded at one camera distance; live webcam users sitting at another): </w:t>
      </w:r>
      <w:r>
        <w:rPr>
          <w:b/>
          <w:i w:val="0"/>
        </w:rPr>
        <w:t>every raw distance is divided by interocular distance</w:t>
      </w:r>
      <w:r>
        <w:rPr>
          <w:b w:val="0"/>
          <w:i w:val="0"/>
        </w:rPr>
        <w:t xml:space="preserve"> (the outer-eye-corner-to-outer-eye-corner span) before use, cancelling out camera-distance scale; and </w:t>
      </w:r>
      <w:r>
        <w:rPr>
          <w:b/>
          <w:i w:val="0"/>
        </w:rPr>
        <w:t xml:space="preserve">a frame with no detected face emits thirteen zeros with </w:t>
      </w:r>
      <w:r>
        <w:rPr>
          <w:rFonts w:ascii="Consolas" w:hAnsi="Consolas"/>
          <w:b/>
          <w:i w:val="0"/>
          <w:sz w:val="20"/>
        </w:rPr>
        <w:t>face_present = 0.0</w:t>
      </w:r>
      <w:r>
        <w:rPr>
          <w:b w:val="0"/>
          <w:i w:val="0"/>
        </w:rPr>
        <w:t>, never an interpolated or dropped value, so the model must learn to handle missing-face frames as first-class input rather than assuming continuous detection.</w:t>
      </w:r>
    </w:p>
    <w:p>
      <w:pPr>
        <w:spacing w:after="160"/>
      </w:pPr>
      <w:r>
        <w:rPr>
          <w:b w:val="0"/>
          <w:i w:val="0"/>
        </w:rPr>
        <w:t xml:space="preserve">Every landmark index the features depend on was verified visually before any extraction ran — rendered with its index label onto a real detected face and additionally checked by twelve automated geometry assertions (corner ordering, brows-above-eyes, iris-inside-eye, nose/chin ordering; </w:t>
      </w:r>
      <w:r>
        <w:rPr>
          <w:rFonts w:ascii="Consolas" w:hAnsi="Consolas"/>
          <w:b w:val="0"/>
          <w:i w:val="0"/>
          <w:sz w:val="20"/>
        </w:rPr>
        <w:t>ml/scripts/verify_landmarks.py</w:t>
      </w:r>
      <w:r>
        <w:rPr>
          <w:b w:val="0"/>
          <w:i w:val="0"/>
        </w:rPr>
        <w:t>):</w:t>
      </w:r>
    </w:p>
    <w:p>
      <w:pPr>
        <w:jc w:val="center"/>
      </w:pPr>
      <w:r>
        <w:drawing>
          <wp:inline xmlns:a="http://schemas.openxmlformats.org/drawingml/2006/main" xmlns:pic="http://schemas.openxmlformats.org/drawingml/2006/picture">
            <wp:extent cx="5669280" cy="2901585"/>
            <wp:docPr id="2" name="Picture 2"/>
            <wp:cNvGraphicFramePr>
              <a:graphicFrameLocks noChangeAspect="1"/>
            </wp:cNvGraphicFramePr>
            <a:graphic>
              <a:graphicData uri="http://schemas.openxmlformats.org/drawingml/2006/picture">
                <pic:pic>
                  <pic:nvPicPr>
                    <pic:cNvPr id="0" name="landmarks_zoom.png"/>
                    <pic:cNvPicPr/>
                  </pic:nvPicPr>
                  <pic:blipFill>
                    <a:blip r:embed="rId10"/>
                    <a:stretch>
                      <a:fillRect/>
                    </a:stretch>
                  </pic:blipFill>
                  <pic:spPr>
                    <a:xfrm>
                      <a:off x="0" y="0"/>
                      <a:ext cx="5669280" cy="2901585"/>
                    </a:xfrm>
                    <a:prstGeom prst="rect"/>
                  </pic:spPr>
                </pic:pic>
              </a:graphicData>
            </a:graphic>
          </wp:inline>
        </w:drawing>
      </w:r>
    </w:p>
    <w:p>
      <w:pPr>
        <w:pStyle w:val="Caption"/>
        <w:jc w:val="center"/>
      </w:pPr>
      <w:r>
        <w:rPr>
          <w:sz w:val="18"/>
        </w:rPr>
        <w:t>Figure 3.1 — Contract landmark indices rendered per group on a real detected face (verification subject: public-domain official White House portrait of Barack Obama, Pete Souza, 2012). Source: docs/verification/landmarks_zoom.png.</w:t>
      </w:r>
    </w:p>
    <w:p>
      <w:pPr>
        <w:pStyle w:val="Heading3"/>
      </w:pPr>
      <w:r>
        <w:t>3.2.3 Step 2 — Extraction</w:t>
      </w:r>
    </w:p>
    <w:p>
      <w:pPr>
        <w:spacing w:after="160"/>
      </w:pPr>
      <w:r>
        <w:rPr>
          <w:rFonts w:ascii="Consolas" w:hAnsi="Consolas"/>
          <w:b w:val="0"/>
          <w:i w:val="0"/>
          <w:sz w:val="20"/>
        </w:rPr>
        <w:t>ml/src/extract.py</w:t>
      </w:r>
      <w:r>
        <w:rPr>
          <w:b w:val="0"/>
          <w:i w:val="0"/>
        </w:rPr>
        <w:t xml:space="preserve"> walks the DAiSEE directory tree; for each clip, opens it with OpenCV, samples every third frame (30 FPS native → 10 FPS contract rate), runs MediaPipe's </w:t>
      </w:r>
      <w:r>
        <w:rPr>
          <w:rFonts w:ascii="Consolas" w:hAnsi="Consolas"/>
          <w:b w:val="0"/>
          <w:i w:val="0"/>
          <w:sz w:val="20"/>
        </w:rPr>
        <w:t>FaceLandmarker</w:t>
      </w:r>
      <w:r>
        <w:rPr>
          <w:b w:val="0"/>
          <w:i w:val="0"/>
        </w:rPr>
        <w:t xml:space="preserve"> in </w:t>
      </w:r>
      <w:r>
        <w:rPr>
          <w:rFonts w:ascii="Consolas" w:hAnsi="Consolas"/>
          <w:b w:val="0"/>
          <w:i w:val="0"/>
          <w:sz w:val="20"/>
        </w:rPr>
        <w:t>VIDEO</w:t>
      </w:r>
      <w:r>
        <w:rPr>
          <w:b w:val="0"/>
          <w:i w:val="0"/>
        </w:rPr>
        <w:t xml:space="preserve"> running mode (a fresh landmarker instance per clip, in a </w:t>
      </w:r>
      <w:r>
        <w:rPr>
          <w:rFonts w:ascii="Consolas" w:hAnsi="Consolas"/>
          <w:b w:val="0"/>
          <w:i w:val="0"/>
          <w:sz w:val="20"/>
        </w:rPr>
        <w:t>multiprocessing.Pool</w:t>
      </w:r>
      <w:r>
        <w:rPr>
          <w:b w:val="0"/>
          <w:i w:val="0"/>
        </w:rPr>
        <w:t xml:space="preserve"> worker, so that </w:t>
      </w:r>
      <w:r>
        <w:rPr>
          <w:rFonts w:ascii="Consolas" w:hAnsi="Consolas"/>
          <w:b w:val="0"/>
          <w:i w:val="0"/>
          <w:sz w:val="20"/>
        </w:rPr>
        <w:t>VIDEO</w:t>
      </w:r>
      <w:r>
        <w:rPr>
          <w:b w:val="0"/>
          <w:i w:val="0"/>
        </w:rP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b w:val="0"/>
          <w:i w:val="0"/>
          <w:sz w:val="20"/>
        </w:rPr>
        <w:t>ml/src/labels.py</w:t>
      </w:r>
      <w:r>
        <w:rPr>
          <w:b w:val="0"/>
          <w:i w:val="0"/>
        </w:rPr>
        <w:t xml:space="preserve"> joins DAiSEE's official per-clip label CSVs against the clips actually present on disk (using the </w:t>
      </w:r>
      <w:r>
        <w:rPr>
          <w:b/>
          <w:i w:val="0"/>
        </w:rPr>
        <w:t>intersection</w:t>
      </w:r>
      <w:r>
        <w:rPr>
          <w:b w:val="0"/>
          <w:i w:val="0"/>
        </w:rPr>
        <w:t xml:space="preserve"> of the two, within each official split folder, rather than assuming full coverage); </w:t>
      </w:r>
      <w:r>
        <w:rPr>
          <w:rFonts w:ascii="Consolas" w:hAnsi="Consolas"/>
          <w:b w:val="0"/>
          <w:i w:val="0"/>
          <w:sz w:val="20"/>
        </w:rPr>
        <w:t>ml/src/dataset.py</w:t>
      </w:r>
      <w:r>
        <w:rPr>
          <w:b w:val="0"/>
          <w:i w:val="0"/>
        </w:rPr>
        <w:t xml:space="preserve"> then slides a 30-frame (3.0 s) window with stride 10 over each clip's ~100 feature rows, assigns the clip's engagement label to every window drawn from it, and writes the resulting </w:t>
      </w:r>
      <w:r>
        <w:rPr>
          <w:rFonts w:ascii="Consolas" w:hAnsi="Consolas"/>
          <w:b w:val="0"/>
          <w:i w:val="0"/>
          <w:sz w:val="20"/>
        </w:rPr>
        <w:t>(N, 30, 13)</w:t>
      </w:r>
      <w:r>
        <w:rPr>
          <w:b w:val="0"/>
          <w:i w:val="0"/>
        </w:rPr>
        <w:t xml:space="preserve"> tensors per split. </w:t>
      </w:r>
      <w:r>
        <w:rPr>
          <w:b/>
          <w:i w:val="0"/>
        </w:rPr>
        <w:t>Zero clip-ID overlap between the three splits is asserted in code, not merely assumed</w:t>
      </w:r>
      <w:r>
        <w:rPr>
          <w:b w:val="0"/>
          <w:i w:val="0"/>
        </w:rP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b w:val="0"/>
          <w:i w:val="0"/>
          <w:sz w:val="20"/>
        </w:rPr>
        <w:t>StandardScaler</w:t>
      </w:r>
      <w:r>
        <w:rPr>
          <w:b w:val="0"/>
          <w:i w:val="0"/>
        </w:rPr>
        <w:t xml:space="preserve"> is fit on the </w:t>
      </w:r>
      <w:r>
        <w:rPr>
          <w:b/>
          <w:i w:val="0"/>
        </w:rPr>
        <w:t>training split only</w:t>
      </w:r>
      <w:r>
        <w:rPr>
          <w:b w:val="0"/>
          <w:i w:val="0"/>
        </w:rPr>
        <w:t xml:space="preserve"> and applied to all three splits, with its mean/std/feature-name triple serialised to </w:t>
      </w:r>
      <w:r>
        <w:rPr>
          <w:rFonts w:ascii="Consolas" w:hAnsi="Consolas"/>
          <w:b w:val="0"/>
          <w:i w:val="0"/>
          <w:sz w:val="20"/>
        </w:rPr>
        <w:t>scaler.json</w:t>
      </w:r>
      <w:r>
        <w:rPr>
          <w:b w:val="0"/>
          <w:i w:val="0"/>
        </w:rPr>
        <w:t xml:space="preserve"> and shipped to the browser (</w:t>
      </w:r>
      <w:r>
        <w:rPr>
          <w:rFonts w:ascii="Consolas" w:hAnsi="Consolas"/>
          <w:b w:val="0"/>
          <w:i w:val="0"/>
          <w:sz w:val="20"/>
        </w:rPr>
        <w:t>web/public/model/scaler.json</w:t>
      </w:r>
      <w:r>
        <w:rPr>
          <w:b w:val="0"/>
          <w:i w:val="0"/>
        </w:rPr>
        <w:t>) so both the Python and TypeScript pipelines standardise features identically.</w:t>
      </w:r>
    </w:p>
    <w:p>
      <w:pPr>
        <w:pStyle w:val="Heading3"/>
      </w:pPr>
      <w:r>
        <w:t>3.2.5 Step 4 — Classical baselines</w:t>
      </w:r>
    </w:p>
    <w:p>
      <w:pPr>
        <w:spacing w:after="160"/>
      </w:pPr>
      <w:r>
        <w:rPr>
          <w:b w:val="0"/>
          <w:i w:val="0"/>
        </w:rPr>
        <w:t>Before any temporal model is trained, each 30×13 window is collapsed to a 65-dimensional vector — the mean, standard deviation, minimum, maximum, and range of each of the 13 features across the 30-frame window (</w:t>
      </w:r>
      <w:r>
        <w:rPr>
          <w:rFonts w:ascii="Consolas" w:hAnsi="Consolas"/>
          <w:b w:val="0"/>
          <w:i w:val="0"/>
          <w:sz w:val="20"/>
        </w:rPr>
        <w:t>ml/src/baselines.py</w:t>
      </w:r>
      <w:r>
        <w:rPr>
          <w:b w:val="0"/>
          <w:i w:val="0"/>
        </w:rPr>
        <w:t>) — and used to train a logistic regression and a random forest classifier (</w:t>
      </w:r>
      <w:r>
        <w:rPr>
          <w:rFonts w:ascii="Consolas" w:hAnsi="Consolas"/>
          <w:b w:val="0"/>
          <w:i w:val="0"/>
          <w:sz w:val="20"/>
        </w:rPr>
        <w:t>scikit-learn</w:t>
      </w:r>
      <w:r>
        <w:rPr>
          <w:b w:val="0"/>
          <w:i w:val="0"/>
        </w:rPr>
        <w:t xml:space="preserve">, </w:t>
      </w:r>
      <w:r>
        <w:rPr>
          <w:rFonts w:ascii="Consolas" w:hAnsi="Consolas"/>
          <w:b w:val="0"/>
          <w:i w:val="0"/>
          <w:sz w:val="20"/>
        </w:rPr>
        <w:t>class_weight="balanced"</w:t>
      </w:r>
      <w:r>
        <w:rPr>
          <w:b w:val="0"/>
          <w:i w:val="0"/>
        </w:rPr>
        <w:t xml:space="preserve">), alongside a constant majority-class predictor. This step exists specifically to answer the question Section 4 must otherwise leave open: </w:t>
      </w:r>
      <w:r>
        <w:rPr>
          <w:b w:val="0"/>
          <w:i/>
        </w:rPr>
        <w:t>is the temporal model's added complexity (Step 6) actually earning its keep</w:t>
      </w:r>
      <w:r>
        <w:rPr>
          <w:b w:val="0"/>
          <w:i w:val="0"/>
        </w:rP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b w:val="0"/>
          <w:i w:val="0"/>
          <w:sz w:val="20"/>
        </w:rPr>
        <w:t>ml/src/model.py</w:t>
      </w:r>
      <w:r>
        <w:rPr>
          <w:b w:val="0"/>
          <w:i w:val="0"/>
        </w:rPr>
        <w:t xml:space="preserve"> defines </w:t>
      </w:r>
      <w:r>
        <w:rPr>
          <w:rFonts w:ascii="Consolas" w:hAnsi="Consolas"/>
          <w:b w:val="0"/>
          <w:i w:val="0"/>
          <w:sz w:val="20"/>
        </w:rPr>
        <w:t>EngagementTCN</w:t>
      </w:r>
      <w:r>
        <w:rPr>
          <w:b w:val="0"/>
          <w:i w:val="0"/>
        </w:rPr>
        <w:t xml:space="preserve">: four stacked dilated causal 1-D convolutional blocks (Conv1d, kernel size 3, dilations 1/2/4/8; each followed by BatchNorm, ReLU, Dropout(0.2), and a residual connection), operating on the transposed </w:t>
      </w:r>
      <w:r>
        <w:rPr>
          <w:rFonts w:ascii="Consolas" w:hAnsi="Consolas"/>
          <w:b w:val="0"/>
          <w:i w:val="0"/>
          <w:sz w:val="20"/>
        </w:rPr>
        <w:t>(B, 13, 30)</w:t>
      </w:r>
      <w:r>
        <w:rPr>
          <w:b w:val="0"/>
          <w:i w:val="0"/>
        </w:rPr>
        <w:t xml:space="preserve"> input, followed by a mean pool over the time dimension (deliberately </w:t>
      </w:r>
      <w:r>
        <w:rPr>
          <w:b w:val="0"/>
          <w:i/>
        </w:rPr>
        <w:t>not</w:t>
      </w:r>
      <w:r>
        <w:rPr>
          <w:b w:val="0"/>
          <w:i w:val="0"/>
        </w:rPr>
        <w:t xml:space="preserve"> </w:t>
      </w:r>
      <w:r>
        <w:rPr>
          <w:rFonts w:ascii="Consolas" w:hAnsi="Consolas"/>
          <w:b w:val="0"/>
          <w:i w:val="0"/>
          <w:sz w:val="20"/>
        </w:rPr>
        <w:t>AdaptiveAvgPool1d</w:t>
      </w:r>
      <w:r>
        <w:rPr>
          <w:b w:val="0"/>
          <w:i w:val="0"/>
        </w:rPr>
        <w:t xml:space="preserve">, which does not export cleanly to ONNX) and two linear heads — a 4-way engagement-logit head and a 4-way (multi-label) state-logit head. Total parameter count: </w:t>
      </w:r>
      <w:r>
        <w:rPr>
          <w:b/>
          <w:i w:val="0"/>
        </w:rPr>
        <w:t>41,544</w:t>
      </w:r>
      <w:r>
        <w:rPr>
          <w:b w:val="0"/>
          <w:i w:val="0"/>
        </w:rPr>
        <w:t>, against a self-imposed budget of under 100,000 — the entire edge-deployment argument rests on the model staying this small, so parameter count is checked by an assertion in the module itself (</w:t>
      </w:r>
      <w:r>
        <w:rPr>
          <w:rFonts w:ascii="Consolas" w:hAnsi="Consolas"/>
          <w:b w:val="0"/>
          <w:i w:val="0"/>
          <w:sz w:val="20"/>
        </w:rPr>
        <w:t>assert n &lt; 100_000</w:t>
      </w:r>
      <w:r>
        <w:rPr>
          <w:b w:val="0"/>
          <w:i w:val="0"/>
        </w:rPr>
        <w:t>), not merely reported after the fact.</w:t>
      </w:r>
    </w:p>
    <w:p>
      <w:pPr>
        <w:pStyle w:val="Heading3"/>
      </w:pPr>
      <w:r>
        <w:t>3.2.7 Step 6 — Training</w:t>
      </w:r>
    </w:p>
    <w:p>
      <w:pPr>
        <w:spacing w:after="160"/>
      </w:pPr>
      <w:r>
        <w:rPr>
          <w:b w:val="0"/>
          <w:i w:val="0"/>
        </w:rPr>
        <w:t xml:space="preserve">Adam optimiser, initial learning rate 1×10⁻³ with cosine annealing over up to 100 epochs, batch size 128, </w:t>
      </w:r>
      <w:r>
        <w:rPr>
          <w:b/>
          <w:i w:val="0"/>
        </w:rPr>
        <w:t>early stopping on validation macro-F1</w:t>
      </w:r>
      <w:r>
        <w:rPr>
          <w:b w:val="0"/>
          <w:i w:val="0"/>
        </w:rPr>
        <w:t xml:space="preserve"> (not validation loss, not accuracy — consistent with R2) with patience 15. The loss combines a class-weighted cross-entropy term for the engagement head with a binary cross-entropy term for the four state heads: </w:t>
      </w:r>
      <w:r>
        <w:rPr>
          <w:rFonts w:ascii="Consolas" w:hAnsi="Consolas"/>
          <w:b w:val="0"/>
          <w:i w:val="0"/>
          <w:sz w:val="20"/>
        </w:rPr>
        <w:t>L = CE(engagement, w) + 0.5 · BCE(states)</w:t>
      </w:r>
      <w:r>
        <w:rPr>
          <w:b w:val="0"/>
          <w:i w:val="0"/>
        </w:rPr>
        <w:t xml:space="preserve">, where </w:t>
      </w:r>
      <w:r>
        <w:rPr>
          <w:rFonts w:ascii="Consolas" w:hAnsi="Consolas"/>
          <w:b w:val="0"/>
          <w:i w:val="0"/>
          <w:sz w:val="20"/>
        </w:rPr>
        <w:t>w</w:t>
      </w:r>
      <w:r>
        <w:rPr>
          <w:b w:val="0"/>
          <w:i w:val="0"/>
        </w:rP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b w:val="0"/>
          <w:i w:val="0"/>
          <w:sz w:val="20"/>
        </w:rPr>
        <w:t>ml/src/export.py</w:t>
      </w:r>
      <w:r>
        <w:rPr>
          <w:b w:val="0"/>
          <w:i w:val="0"/>
        </w:rPr>
        <w:t xml:space="preserve">: </w:t>
      </w:r>
      <w:r>
        <w:rPr>
          <w:rFonts w:ascii="Consolas" w:hAnsi="Consolas"/>
          <w:b w:val="0"/>
          <w:i w:val="0"/>
          <w:sz w:val="20"/>
        </w:rPr>
        <w:t>torch.onnx.export</w:t>
      </w:r>
      <w:r>
        <w:rPr>
          <w:b w:val="0"/>
          <w:i w:val="0"/>
        </w:rP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b w:val="0"/>
          <w:i w:val="0"/>
          <w:sz w:val="20"/>
        </w:rPr>
        <w:t>onnx.checker.check_model</w:t>
      </w:r>
      <w:r>
        <w:rPr>
          <w:b w:val="0"/>
          <w:i w:val="0"/>
        </w:rPr>
        <w:t xml:space="preserve">; a </w:t>
      </w:r>
      <w:r>
        <w:rPr>
          <w:b/>
          <w:i w:val="0"/>
        </w:rPr>
        <w:t>second, independent parity check</w:t>
      </w:r>
      <w:r>
        <w:rPr>
          <w:b w:val="0"/>
          <w:i w:val="0"/>
        </w:rPr>
        <w:t xml:space="preserve"> — 100 random inputs run through both the PyTorch model and the exported ONNX graph via </w:t>
      </w:r>
      <w:r>
        <w:rPr>
          <w:rFonts w:ascii="Consolas" w:hAnsi="Consolas"/>
          <w:b w:val="0"/>
          <w:i w:val="0"/>
          <w:sz w:val="20"/>
        </w:rPr>
        <w:t>onnxruntime</w:t>
      </w:r>
      <w:r>
        <w:rPr>
          <w:b w:val="0"/>
          <w:i w:val="0"/>
        </w:rPr>
        <w:t xml:space="preserve">, asserting max-absolute-difference below 1×10⁻⁵, </w:t>
      </w:r>
      <w:r>
        <w:rPr>
          <w:b/>
          <w:i w:val="0"/>
        </w:rPr>
        <w:t>aborting the build if it fails</w:t>
      </w:r>
      <w:r>
        <w:rPr>
          <w:b w:val="0"/>
          <w:i w:val="0"/>
        </w:rP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rPr>
          <w:b w:val="0"/>
          <w:i w:val="0"/>
        </w:rPr>
        <w:t>The Next.js application (</w:t>
      </w:r>
      <w:r>
        <w:rPr>
          <w:rFonts w:ascii="Consolas" w:hAnsi="Consolas"/>
          <w:b w:val="0"/>
          <w:i w:val="0"/>
          <w:sz w:val="20"/>
        </w:rPr>
        <w:t>web/</w:t>
      </w:r>
      <w:r>
        <w:rPr>
          <w:b w:val="0"/>
          <w:i w:val="0"/>
        </w:rPr>
        <w:t xml:space="preserve">) mirrors Steps 2–3 of the pipeline entirely client-side: </w:t>
      </w:r>
      <w:r>
        <w:rPr>
          <w:rFonts w:ascii="Consolas" w:hAnsi="Consolas"/>
          <w:b w:val="0"/>
          <w:i w:val="0"/>
          <w:sz w:val="20"/>
        </w:rPr>
        <w:t>getUserMedia</w:t>
      </w:r>
      <w:r>
        <w:rPr>
          <w:b w:val="0"/>
          <w:i w:val="0"/>
        </w:rPr>
        <w:t xml:space="preserve"> supplies a raw (un-mirrored — mirroring is CSS-only, for on-screen display) video stream; </w:t>
      </w:r>
      <w:r>
        <w:rPr>
          <w:b/>
          <w:i w:val="0"/>
        </w:rPr>
        <w:t xml:space="preserve">two separate MediaPipe </w:t>
      </w:r>
      <w:r>
        <w:rPr>
          <w:rFonts w:ascii="Consolas" w:hAnsi="Consolas"/>
          <w:b/>
          <w:i w:val="0"/>
          <w:sz w:val="20"/>
        </w:rPr>
        <w:t>FaceLandmarker</w:t>
      </w:r>
      <w:r>
        <w:rPr>
          <w:b/>
          <w:i w:val="0"/>
        </w:rPr>
        <w:t xml:space="preserve"> instances</w:t>
      </w:r>
      <w:r>
        <w:rPr>
          <w:b w:val="0"/>
          <w:i w:val="0"/>
        </w:rPr>
        <w:t xml:space="preserve"> are run per sampled frame — one configured for a single face (</w:t>
      </w:r>
      <w:r>
        <w:rPr>
          <w:rFonts w:ascii="Consolas" w:hAnsi="Consolas"/>
          <w:b w:val="0"/>
          <w:i w:val="0"/>
          <w:sz w:val="20"/>
        </w:rPr>
        <w:t>numFaces: 1</w:t>
      </w:r>
      <w:r>
        <w:rPr>
          <w:b w:val="0"/>
          <w:i w:val="0"/>
        </w:rPr>
        <w:t xml:space="preserve">), whose output is the </w:t>
      </w:r>
      <w:r>
        <w:rPr>
          <w:b w:val="0"/>
          <w:i/>
        </w:rPr>
        <w:t>only</w:t>
      </w:r>
      <w:r>
        <w:rPr>
          <w:b w:val="0"/>
          <w:i w:val="0"/>
        </w:rPr>
        <w:t xml:space="preserve"> one ever passed into the Step-1 feature function, because that is what the training pipeline was built against; and a second, independent instance configured for up to four faces (</w:t>
      </w:r>
      <w:r>
        <w:rPr>
          <w:rFonts w:ascii="Consolas" w:hAnsi="Consolas"/>
          <w:b w:val="0"/>
          <w:i w:val="0"/>
          <w:sz w:val="20"/>
        </w:rPr>
        <w:t>numFaces: 4</w:t>
      </w:r>
      <w:r>
        <w:rPr>
          <w:b w:val="0"/>
          <w:i w:val="0"/>
        </w:rPr>
        <w:t xml:space="preserve">), used </w:t>
      </w:r>
      <w:r>
        <w:rPr>
          <w:b w:val="0"/>
          <w:i/>
        </w:rPr>
        <w:t>only</w:t>
      </w:r>
      <w:r>
        <w:rPr>
          <w:b w:val="0"/>
          <w:i w:val="0"/>
        </w:rP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b w:val="0"/>
          <w:i w:val="0"/>
          <w:sz w:val="20"/>
        </w:rPr>
        <w:t>scaler.json</w:t>
      </w:r>
      <w:r>
        <w:rPr>
          <w:b w:val="0"/>
          <w:i w:val="0"/>
        </w:rP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i w:val="0"/>
        </w:rPr>
        <w:t>Technical.</w:t>
      </w:r>
      <w:r>
        <w:rPr>
          <w:b w:val="0"/>
          <w:i w:val="0"/>
        </w:rP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i w:val="0"/>
        </w:rPr>
        <w:t>Ethical and privacy.</w:t>
      </w:r>
      <w:r>
        <w:rPr>
          <w:b w:val="0"/>
          <w:i w:val="0"/>
        </w:rPr>
        <w:t xml:space="preserve"> DAiSEE is a licensed academic dataset; its terms explicitly prohibit redistribution of the underlying video, which this project respects at every level — the raw clips are gitignored and never enter version control, and even </w:t>
      </w:r>
      <w:r>
        <w:rPr>
          <w:b w:val="0"/>
          <w:i/>
        </w:rPr>
        <w:t>derived</w:t>
      </w:r>
      <w:r>
        <w:rPr>
          <w:b w:val="0"/>
          <w:i w:val="0"/>
        </w:rPr>
        <w:t xml:space="preserve"> artefacts (extracted frame images, transcoded fixture clips used for automated testing) are likewise excluded from the git history, not merely the final delivered product (</w:t>
      </w:r>
      <w:r>
        <w:rPr>
          <w:rFonts w:ascii="Consolas" w:hAnsi="Consolas"/>
          <w:b w:val="0"/>
          <w:i w:val="0"/>
          <w:sz w:val="20"/>
        </w:rPr>
        <w:t>.gitignore</w:t>
      </w:r>
      <w:r>
        <w:rPr>
          <w:b w:val="0"/>
          <w:i w:val="0"/>
        </w:rP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b w:val="0"/>
          <w:i w:val="0"/>
          <w:sz w:val="20"/>
        </w:rPr>
        <w:t>docs/privacy.md</w:t>
      </w:r>
      <w:r>
        <w:rPr>
          <w:b w:val="0"/>
          <w:i w:val="0"/>
        </w:rPr>
        <w:t>) rather than left unmentioned because it originated in a dependency rather than this project's own code.</w:t>
      </w:r>
    </w:p>
    <w:p>
      <w:pPr>
        <w:pStyle w:val="Heading2"/>
      </w:pPr>
      <w:r>
        <w:t>3.4 Verification as Methodology, Not Afterthought</w:t>
      </w:r>
    </w:p>
    <w:p>
      <w:pPr>
        <w:spacing w:after="160"/>
      </w:pPr>
      <w:r>
        <w:rPr>
          <w:b w:val="0"/>
          <w:i w:val="0"/>
        </w:rPr>
        <w:t xml:space="preserve">Four automated verification gates exist as reproducible scripts and are treated as part of the methodology rather than post-hoc quality assurance, because each answers a question the modelling pipeline alone cannot. Being precise about </w:t>
      </w:r>
      <w:r>
        <w:rPr>
          <w:b w:val="0"/>
          <w:i/>
        </w:rPr>
        <w:t>where each actually runs</w:t>
      </w:r>
      <w:r>
        <w:rPr>
          <w:b w:val="0"/>
          <w:i w:val="0"/>
        </w:rPr>
        <w:t xml:space="preserve"> — a distinction an earlier draft of this section blurred by calling all four "CI-integrated":</w:t>
      </w:r>
    </w:p>
    <w:p>
      <w:pPr>
        <w:pStyle w:val="ListBullet"/>
      </w:pPr>
      <w:r>
        <w:rPr>
          <w:b/>
          <w:i w:val="0"/>
        </w:rPr>
        <w:t>Feature parity</w:t>
      </w:r>
      <w:r>
        <w:rPr>
          <w:b w:val="0"/>
          <w:i w:val="0"/>
        </w:rPr>
        <w:t xml:space="preserve"> (R1) — do the two independent language implementations agree? (Section 4, Experiment 1.) A Playwright test wired into </w:t>
      </w:r>
      <w:r>
        <w:rPr>
          <w:rFonts w:ascii="Consolas" w:hAnsi="Consolas"/>
          <w:b w:val="0"/>
          <w:i w:val="0"/>
          <w:sz w:val="20"/>
        </w:rPr>
        <w:t>.github/workflows/ci.yml</w:t>
      </w:r>
      <w:r>
        <w:rPr>
          <w:b w:val="0"/>
          <w:i w:val="0"/>
        </w:rPr>
        <w:t xml:space="preserve">, but its DAiSEE-derived frame fixture cannot be committed under the dataset licence, so on an ordinary hosted runner the job detects the missing fixture and skips </w:t>
      </w:r>
      <w:r>
        <w:rPr>
          <w:b w:val="0"/>
          <w:i/>
        </w:rPr>
        <w:t>with a visible warning</w:t>
      </w:r>
      <w:r>
        <w:rPr>
          <w:b w:val="0"/>
          <w:i w:val="0"/>
        </w:rPr>
        <w:t xml:space="preserve"> rather than failing; the gate genuinely executes on any runner seeded with the fixture, and locally on every release.</w:t>
      </w:r>
    </w:p>
    <w:p>
      <w:pPr>
        <w:pStyle w:val="ListBullet"/>
      </w:pPr>
      <w:r>
        <w:rPr>
          <w:b/>
          <w:i w:val="0"/>
        </w:rPr>
        <w:t>Model export parity</w:t>
      </w:r>
      <w:r>
        <w:rPr>
          <w:b w:val="0"/>
          <w:i w:val="0"/>
        </w:rPr>
        <w:t xml:space="preserve"> (Section 3.2.8) — does the exported ONNX graph agree with the trained PyTorch model to 1×10⁻⁵? </w:t>
      </w:r>
      <w:r>
        <w:rPr>
          <w:b/>
          <w:i w:val="0"/>
        </w:rPr>
        <w:t>Runs in CI on every push</w:t>
      </w:r>
      <w:r>
        <w:rPr>
          <w:b w:val="0"/>
          <w:i w:val="0"/>
        </w:rPr>
        <w:t xml:space="preserve"> (an untrained export exercises the identical graph path with no dataset needed), and again, against the real checkpoint, at every actual export.</w:t>
      </w:r>
    </w:p>
    <w:p>
      <w:pPr>
        <w:pStyle w:val="ListBullet"/>
      </w:pPr>
      <w:r>
        <w:rPr>
          <w:b/>
          <w:i w:val="0"/>
        </w:rPr>
        <w:t>Unit and contract suites</w:t>
      </w:r>
      <w:r>
        <w:rPr>
          <w:b w:val="0"/>
          <w:i w:val="0"/>
        </w:rPr>
        <w:t xml:space="preserve"> — 38 Python tests (feature formulas, windowing, model shapes, label binarisation, the subject-grouped CV splitter) and 41 TypeScript tests (feature formulas, states channel order — enforced by parsing the Python source — scaler validation, inference-contract constants) plus a full typecheck: </w:t>
      </w:r>
      <w:r>
        <w:rPr>
          <w:b/>
          <w:i w:val="0"/>
        </w:rPr>
        <w:t>run in CI on every push</w:t>
      </w:r>
      <w:r>
        <w:rPr>
          <w:b w:val="0"/>
          <w:i w:val="0"/>
        </w:rPr>
        <w:t>.</w:t>
      </w:r>
    </w:p>
    <w:p>
      <w:pPr>
        <w:pStyle w:val="ListBullet"/>
      </w:pPr>
      <w:r>
        <w:rPr>
          <w:b/>
          <w:i w:val="0"/>
        </w:rPr>
        <w:t>Browser execution smoke</w:t>
      </w:r>
      <w:r>
        <w:rPr>
          <w:b w:val="0"/>
          <w:i w:val="0"/>
        </w:rPr>
        <w:t xml:space="preserve"> (Section 2.5.2) and </w:t>
      </w:r>
      <w:r>
        <w:rPr>
          <w:b/>
          <w:i w:val="0"/>
        </w:rPr>
        <w:t>end-to-end integration</w:t>
      </w:r>
      <w:r>
        <w:rPr>
          <w:b w:val="0"/>
          <w:i w:val="0"/>
        </w:rPr>
        <w:t xml:space="preserve"> (camera → landmarks → features → inference → UI, Section 4, Experiment 6) — reproducible scripts (</w:t>
      </w:r>
      <w:r>
        <w:rPr>
          <w:rFonts w:ascii="Consolas" w:hAnsi="Consolas"/>
          <w:b w:val="0"/>
          <w:i w:val="0"/>
          <w:sz w:val="20"/>
        </w:rPr>
        <w:t>ml/scripts/browser_tests.py</w:t>
      </w:r>
      <w:r>
        <w:rPr>
          <w:b w:val="0"/>
          <w:i w:val="0"/>
        </w:rPr>
        <w:t xml:space="preserve">, </w:t>
      </w:r>
      <w:r>
        <w:rPr>
          <w:rFonts w:ascii="Consolas" w:hAnsi="Consolas"/>
          <w:b w:val="0"/>
          <w:i w:val="0"/>
          <w:sz w:val="20"/>
        </w:rPr>
        <w:t>e2e_app_test.py</w:t>
      </w:r>
      <w:r>
        <w:rPr>
          <w:b w:val="0"/>
          <w:i w:val="0"/>
        </w:rPr>
        <w:t>) run manually at release points; they require a built application, a browser, and (for e2e) the DAiSEE-derived camera fixture, which keeps them out of hosted CI for the same licensing reason as the parity fixture.</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rPr>
          <w:b w:val="0"/>
          <w:i w:val="0"/>
        </w:rPr>
        <w:t>A single 10-second DAiSEE clip is transcoded once to a browser-decodable VP9 WebM and, from the identical decode pass, both (a) full-precision reference features via the Python pipeline (</w:t>
      </w:r>
      <w:r>
        <w:rPr>
          <w:rFonts w:ascii="Consolas" w:hAnsi="Consolas"/>
          <w:b w:val="0"/>
          <w:i w:val="0"/>
          <w:sz w:val="20"/>
        </w:rPr>
        <w:t>ml/scripts/make_parity_fixture.py</w:t>
      </w:r>
      <w:r>
        <w:rPr>
          <w:b w:val="0"/>
          <w:i w:val="0"/>
        </w:rPr>
        <w:t xml:space="preserve">, using the </w:t>
      </w:r>
      <w:r>
        <w:rPr>
          <w:b w:val="0"/>
          <w:i/>
        </w:rPr>
        <w:t>same</w:t>
      </w:r>
      <w:r>
        <w:rPr>
          <w:b w:val="0"/>
          <w:i w:val="0"/>
        </w:rPr>
        <w:t xml:space="preserve"> </w:t>
      </w:r>
      <w:r>
        <w:rPr>
          <w:rFonts w:ascii="Consolas" w:hAnsi="Consolas"/>
          <w:b w:val="0"/>
          <w:i w:val="0"/>
          <w:sz w:val="20"/>
        </w:rPr>
        <w:t>FaceLandmarker</w:t>
      </w:r>
      <w:r>
        <w:rPr>
          <w:b w:val="0"/>
          <w:i w:val="0"/>
        </w:rPr>
        <w:t xml:space="preserve"> configuration as training extraction) and (b) 100 individual PNG frames are produced, guaranteeing byte-identical, frame-aligned input to both sides of the comparison. A Playwright Test (</w:t>
      </w:r>
      <w:r>
        <w:rPr>
          <w:rFonts w:ascii="Consolas" w:hAnsi="Consolas"/>
          <w:b w:val="0"/>
          <w:i w:val="0"/>
          <w:sz w:val="20"/>
        </w:rPr>
        <w:t>web/tests/e2e/features.parity.test.ts</w:t>
      </w:r>
      <w:r>
        <w:rPr>
          <w:b w:val="0"/>
          <w:i w:val="0"/>
        </w:rPr>
        <w:t xml:space="preserve">) then drives a real Next.js route that runs each of the 100 frames through the browser's </w:t>
      </w:r>
      <w:r>
        <w:rPr>
          <w:b w:val="0"/>
          <w:i/>
        </w:rPr>
        <w:t>production</w:t>
      </w:r>
      <w:r>
        <w:rPr>
          <w:b w:val="0"/>
          <w:i w:val="0"/>
        </w:rPr>
        <w:t xml:space="preserve"> landmarker factory and the browser's </w:t>
      </w:r>
      <w:r>
        <w:rPr>
          <w:rFonts w:ascii="Consolas" w:hAnsi="Consolas"/>
          <w:b w:val="0"/>
          <w:i w:val="0"/>
          <w:sz w:val="20"/>
        </w:rPr>
        <w:t>features.ts</w:t>
      </w:r>
      <w:r>
        <w:rPr>
          <w:b w:val="0"/>
          <w:i w:val="0"/>
        </w:rP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b w:val="0"/>
          <w:i w:val="0"/>
          <w:sz w:val="20"/>
        </w:rPr>
        <w:t>CONTRACT.md</w:t>
      </w:r>
      <w:r>
        <w:rPr>
          <w:b w:val="0"/>
          <w:i w:val="0"/>
        </w:rPr>
        <w:t xml:space="preserve"> Amendment 2 — the value the tolerance took is itself a finding, discussed below).</w:t>
      </w:r>
    </w:p>
    <w:p>
      <w:pPr>
        <w:spacing w:after="160"/>
      </w:pPr>
      <w:r>
        <w:rPr>
          <w:b w:val="0"/>
          <w:i w:val="0"/>
        </w:rPr>
        <w:t xml:space="preserve">This experiment was </w:t>
      </w:r>
      <w:r>
        <w:rPr>
          <w:b/>
          <w:i w:val="0"/>
        </w:rPr>
        <w:t>rebuilt during this project's later verification phase</w:t>
      </w:r>
      <w:r>
        <w:rPr>
          <w:b w:val="0"/>
          <w:i w:val="0"/>
        </w:rP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rPr>
          <w:b w:val="0"/>
          <w:i w:val="0"/>
        </w:rPr>
        <w:t>The rebuild's first run failed: worst-case per-feature difference of 0.86 (</w:t>
      </w:r>
      <w:r>
        <w:rPr>
          <w:rFonts w:ascii="Consolas" w:hAnsi="Consolas"/>
          <w:b w:val="0"/>
          <w:i w:val="0"/>
          <w:sz w:val="20"/>
        </w:rPr>
        <w:t>gaze_y</w:t>
      </w:r>
      <w:r>
        <w:rPr>
          <w:b w:val="0"/>
          <w:i w:val="0"/>
        </w:rP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b w:val="0"/>
          <w:i w:val="0"/>
          <w:sz w:val="20"/>
        </w:rPr>
        <w:t>numFaces: 4</w:t>
      </w:r>
      <w:r>
        <w:rPr>
          <w:b w:val="0"/>
          <w:i w:val="0"/>
        </w:rPr>
        <w:t xml:space="preserve"> — a multi-face detection option added to the application </w:t>
      </w:r>
      <w:r>
        <w:rPr>
          <w:b w:val="0"/>
          <w:i/>
        </w:rPr>
        <w:t>after</w:t>
      </w:r>
      <w:r>
        <w:rPr>
          <w:b w:val="0"/>
          <w:i w:val="0"/>
        </w:rP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b w:val="0"/>
          <w:i w:val="0"/>
          <w:sz w:val="20"/>
        </w:rPr>
        <w:t>numFaces: 1</w:t>
      </w:r>
      <w:r>
        <w:rPr>
          <w:b w:val="0"/>
          <w:i w:val="0"/>
        </w:rPr>
        <w:t>, the identical 100 frames produced a worst-case difference of 0.0157 (</w:t>
      </w:r>
      <w:r>
        <w:rPr>
          <w:rFonts w:ascii="Consolas" w:hAnsi="Consolas"/>
          <w:b w:val="0"/>
          <w:i w:val="0"/>
          <w:sz w:val="20"/>
        </w:rPr>
        <w:t>brow_left</w:t>
      </w:r>
      <w:r>
        <w:rPr>
          <w:b w:val="0"/>
          <w:i w:val="0"/>
        </w:rPr>
        <w:t>), consistent with the 0.0079 previously recorded and comfortably inside tolerance.</w:t>
      </w:r>
    </w:p>
    <w:p>
      <w:pPr>
        <w:spacing w:after="160"/>
      </w:pPr>
      <w:r>
        <w:rPr>
          <w:b w:val="0"/>
          <w:i w:val="0"/>
        </w:rPr>
        <w:t>The fix — splitting the single landmarker into two independent instances (</w:t>
      </w:r>
      <w:r>
        <w:rPr>
          <w:rFonts w:ascii="Consolas" w:hAnsi="Consolas"/>
          <w:b w:val="0"/>
          <w:i w:val="0"/>
          <w:sz w:val="20"/>
        </w:rPr>
        <w:t>createFeatureLandmarker()</w:t>
      </w:r>
      <w:r>
        <w:rPr>
          <w:b w:val="0"/>
          <w:i w:val="0"/>
        </w:rPr>
        <w:t xml:space="preserve">, </w:t>
      </w:r>
      <w:r>
        <w:rPr>
          <w:rFonts w:ascii="Consolas" w:hAnsi="Consolas"/>
          <w:b w:val="0"/>
          <w:i w:val="0"/>
          <w:sz w:val="20"/>
        </w:rPr>
        <w:t>numFaces: 1</w:t>
      </w:r>
      <w:r>
        <w:rPr>
          <w:b w:val="0"/>
          <w:i w:val="0"/>
        </w:rPr>
        <w:t xml:space="preserve">, feeding the model; </w:t>
      </w:r>
      <w:r>
        <w:rPr>
          <w:rFonts w:ascii="Consolas" w:hAnsi="Consolas"/>
          <w:b w:val="0"/>
          <w:i w:val="0"/>
          <w:sz w:val="20"/>
        </w:rPr>
        <w:t>createDisplayLandmarker()</w:t>
      </w:r>
      <w:r>
        <w:rPr>
          <w:b w:val="0"/>
          <w:i w:val="0"/>
        </w:rPr>
        <w:t xml:space="preserve">, </w:t>
      </w:r>
      <w:r>
        <w:rPr>
          <w:rFonts w:ascii="Consolas" w:hAnsi="Consolas"/>
          <w:b w:val="0"/>
          <w:i w:val="0"/>
          <w:sz w:val="20"/>
        </w:rPr>
        <w:t>numFaces: 4</w:t>
      </w:r>
      <w:r>
        <w:rPr>
          <w:b w:val="0"/>
          <w:i w:val="0"/>
        </w:rPr>
        <w:t xml:space="preserve">, driving the on-screen overlay only) — restored the 0.0157 result while preserving the multi-face UI feature, at the cost of a second WASM detection pass per sampled frame. The same gate records a related finding: with MediaPipe's GPU delegate the identical frames give a worst case of 0.050 on </w:t>
      </w:r>
      <w:r>
        <w:rPr>
          <w:rFonts w:ascii="Consolas" w:hAnsi="Consolas"/>
          <w:b w:val="0"/>
          <w:i w:val="0"/>
          <w:sz w:val="20"/>
        </w:rPr>
        <w:t>gaze_y</w:t>
      </w:r>
      <w:r>
        <w:rPr>
          <w:b w:val="0"/>
          <w:i w:val="0"/>
        </w:rPr>
        <w:t xml:space="preserve">, 2.5× tolerance, which is why </w:t>
      </w:r>
      <w:r>
        <w:rPr>
          <w:rFonts w:ascii="Consolas" w:hAnsi="Consolas"/>
          <w:b w:val="0"/>
          <w:i w:val="0"/>
          <w:sz w:val="20"/>
        </w:rPr>
        <w:t>web/lib/faceLandmarker.ts</w:t>
      </w:r>
      <w:r>
        <w:rPr>
          <w:b w:val="0"/>
          <w:i w:val="0"/>
        </w:rPr>
        <w:t xml:space="preserve"> pins </w:t>
      </w:r>
      <w:r>
        <w:rPr>
          <w:rFonts w:ascii="Consolas" w:hAnsi="Consolas"/>
          <w:b w:val="0"/>
          <w:i w:val="0"/>
          <w:sz w:val="20"/>
        </w:rPr>
        <w:t>delegate: 'CPU'</w:t>
      </w:r>
      <w:r>
        <w:rPr>
          <w:b w:val="0"/>
          <w:i w:val="0"/>
        </w:rPr>
        <w:t xml:space="preserve">. That failing run is committed as </w:t>
      </w:r>
      <w:r>
        <w:rPr>
          <w:rFonts w:ascii="Consolas" w:hAnsi="Consolas"/>
          <w:b w:val="0"/>
          <w:i w:val="0"/>
          <w:sz w:val="20"/>
        </w:rPr>
        <w:t>docs/results/parity_report_gpu.json</w:t>
      </w:r>
      <w:r>
        <w:rPr>
          <w:b w:val="0"/>
          <w:i w:val="0"/>
        </w:rPr>
        <w:t xml:space="preserve"> (</w:t>
      </w:r>
      <w:r>
        <w:rPr>
          <w:rFonts w:ascii="Consolas" w:hAnsi="Consolas"/>
          <w:b w:val="0"/>
          <w:i w:val="0"/>
          <w:sz w:val="20"/>
        </w:rPr>
        <w:t>ok: false</w:t>
      </w:r>
      <w:r>
        <w:rPr>
          <w:b w:val="0"/>
          <w:i w:val="0"/>
        </w:rPr>
        <w:t>) — a documented negative result, not a discarded one.</w:t>
      </w:r>
    </w:p>
    <w:p>
      <w:pPr>
        <w:spacing w:after="160"/>
      </w:pPr>
      <w:r>
        <w:rPr>
          <w:b/>
          <w:i w:val="0"/>
        </w:rPr>
        <w:t>A second, subtler defect surfaced later, inside the "passing" result itself.</w:t>
      </w:r>
      <w:r>
        <w:rPr>
          <w:b w:val="0"/>
          <w:i w:val="0"/>
        </w:rPr>
        <w:t xml:space="preserve"> In the 0.0157-worst-case report, the two brow features' diffs (≈0.011 mean-absolute) sat 18–155× above every other feature's, all computed from the identical landmark arrays on the identical frames — a pattern runtime noise cannot produce, since native-vs-WASM landmark jitter is not feature-selective. Both the contract's Amendment 2 and a browser-side code comment nevertheless recorded that residual as "expected sub-pixel landmark noise". A later code audit (2026-08-29) found the true cause: the TypeScript port computed the brow features' eye centre as the </w:t>
      </w:r>
      <w:r>
        <w:rPr>
          <w:b w:val="0"/>
          <w:i/>
        </w:rPr>
        <w:t>centroid of all six eye landmarks</w:t>
      </w:r>
      <w:r>
        <w:rPr>
          <w:b w:val="0"/>
          <w:i w:val="0"/>
        </w:rPr>
        <w:t xml:space="preserve">, where the Python reference — and the contract — use the </w:t>
      </w:r>
      <w:r>
        <w:rPr>
          <w:b w:val="0"/>
          <w:i/>
        </w:rPr>
        <w:t>midpoint of the two eye corners</w:t>
      </w:r>
      <w:r>
        <w:rPr>
          <w:b w:val="0"/>
          <w:i w:val="0"/>
        </w:rPr>
        <w:t xml:space="preserve">; the eyelid landmarks drag the centroid off the corner line, biasing two of the model's thirteen inputs by ≈0.39σ at inference relative to training. The formula was corrected, pinned by two new unit tests (including an asymmetric-eyelid fixture constructed specifically because the original symmetric Python test fixture cannot distinguish the two definitions), and the gate re-run. Table 4.1 shows the post-fix result: the brow diffs fall ~140× into the same sub-millisigma band as every other feature, and the gate's worst-case per-feature difference falls from 0.0157 to </w:t>
      </w:r>
      <w:r>
        <w:rPr>
          <w:b/>
          <w:i w:val="0"/>
        </w:rPr>
        <w:t>0.0035</w:t>
      </w:r>
      <w:r>
        <w:rPr>
          <w:b w:val="0"/>
          <w:i w:val="0"/>
        </w:rPr>
        <w:t xml:space="preserve"> — headroom against the 0.02 tolerance improving from 1.3× to 5.7×. The episode is recorded as </w:t>
      </w:r>
      <w:r>
        <w:rPr>
          <w:rFonts w:ascii="Consolas" w:hAnsi="Consolas"/>
          <w:b w:val="0"/>
          <w:i w:val="0"/>
          <w:sz w:val="20"/>
        </w:rPr>
        <w:t>CONTRACT.md</w:t>
      </w:r>
      <w:r>
        <w:rPr>
          <w:b w:val="0"/>
          <w:i w:val="0"/>
        </w:rPr>
        <w:t xml:space="preserve"> Amendment 4, which corrects Amendment 2's diagnosis.</w:t>
      </w:r>
    </w:p>
    <w:p>
      <w:pPr>
        <w:pStyle w:val="TableCaption"/>
      </w:pPr>
      <w:r>
        <w:rPr>
          <w:b w:val="0"/>
          <w:i w:val="0"/>
        </w:rPr>
        <w:t xml:space="preserve">Table 4.1 — Per-feature Python↔browser absolute differences over the 100-frame parity fixture, after the Amendment 4 fix (source: </w:t>
      </w:r>
      <w:r>
        <w:rPr>
          <w:rFonts w:ascii="Consolas" w:hAnsi="Consolas"/>
          <w:b w:val="0"/>
          <w:i w:val="0"/>
          <w:sz w:val="20"/>
        </w:rPr>
        <w:t>docs/results/parity_report.json</w:t>
      </w:r>
      <w:r>
        <w:rPr>
          <w:b w:val="0"/>
          <w:i w:val="0"/>
        </w:rPr>
        <w:t>; tolerance 0.02 per feature):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Feature</w:t>
            </w:r>
          </w:p>
        </w:tc>
        <w:tc>
          <w:tcPr>
            <w:tcW w:type="dxa" w:w="2880"/>
            <w:shd w:val="clear" w:color="auto" w:fill="D9E2F3"/>
          </w:tcPr>
          <w:p>
            <w:r>
              <w:rPr>
                <w:b/>
              </w:rPr>
            </w:r>
            <w:r>
              <w:rPr>
                <w:b/>
                <w:i w:val="0"/>
              </w:rPr>
              <w:t>Mean abs diff</w:t>
            </w:r>
          </w:p>
        </w:tc>
        <w:tc>
          <w:tcPr>
            <w:tcW w:type="dxa" w:w="2880"/>
            <w:shd w:val="clear" w:color="auto" w:fill="D9E2F3"/>
          </w:tcPr>
          <w:p>
            <w:r>
              <w:rPr>
                <w:b/>
              </w:rPr>
            </w:r>
            <w:r>
              <w:rPr>
                <w:b/>
                <w:i w:val="0"/>
              </w:rPr>
              <w:t>Max abs diff</w:t>
            </w:r>
          </w:p>
        </w:tc>
      </w:tr>
      <w:tr>
        <w:tc>
          <w:tcPr>
            <w:tcW w:type="dxa" w:w="2880"/>
          </w:tcPr>
          <w:p>
            <w:r/>
            <w:r>
              <w:rPr>
                <w:rFonts w:ascii="Consolas" w:hAnsi="Consolas"/>
                <w:b w:val="0"/>
                <w:i w:val="0"/>
                <w:sz w:val="20"/>
              </w:rPr>
              <w:t>ear_left</w:t>
            </w:r>
          </w:p>
        </w:tc>
        <w:tc>
          <w:tcPr>
            <w:tcW w:type="dxa" w:w="2880"/>
          </w:tcPr>
          <w:p>
            <w:r/>
            <w:r>
              <w:rPr>
                <w:b w:val="0"/>
                <w:i w:val="0"/>
              </w:rPr>
              <w:t>0.000218</w:t>
            </w:r>
          </w:p>
        </w:tc>
        <w:tc>
          <w:tcPr>
            <w:tcW w:type="dxa" w:w="2880"/>
          </w:tcPr>
          <w:p>
            <w:r/>
            <w:r>
              <w:rPr>
                <w:b w:val="0"/>
                <w:i w:val="0"/>
              </w:rPr>
              <w:t>0.001076</w:t>
            </w:r>
          </w:p>
        </w:tc>
      </w:tr>
      <w:tr>
        <w:tc>
          <w:tcPr>
            <w:tcW w:type="dxa" w:w="2880"/>
          </w:tcPr>
          <w:p>
            <w:r/>
            <w:r>
              <w:rPr>
                <w:rFonts w:ascii="Consolas" w:hAnsi="Consolas"/>
                <w:b w:val="0"/>
                <w:i w:val="0"/>
                <w:sz w:val="20"/>
              </w:rPr>
              <w:t>ear_right</w:t>
            </w:r>
          </w:p>
        </w:tc>
        <w:tc>
          <w:tcPr>
            <w:tcW w:type="dxa" w:w="2880"/>
          </w:tcPr>
          <w:p>
            <w:r/>
            <w:r>
              <w:rPr>
                <w:b w:val="0"/>
                <w:i w:val="0"/>
              </w:rPr>
              <w:t>0.000180</w:t>
            </w:r>
          </w:p>
        </w:tc>
        <w:tc>
          <w:tcPr>
            <w:tcW w:type="dxa" w:w="2880"/>
          </w:tcPr>
          <w:p>
            <w:r/>
            <w:r>
              <w:rPr>
                <w:b w:val="0"/>
                <w:i w:val="0"/>
              </w:rPr>
              <w:t>0.001055</w:t>
            </w:r>
          </w:p>
        </w:tc>
      </w:tr>
      <w:tr>
        <w:tc>
          <w:tcPr>
            <w:tcW w:type="dxa" w:w="2880"/>
          </w:tcPr>
          <w:p>
            <w:r/>
            <w:r>
              <w:rPr>
                <w:rFonts w:ascii="Consolas" w:hAnsi="Consolas"/>
                <w:b w:val="0"/>
                <w:i w:val="0"/>
                <w:sz w:val="20"/>
              </w:rPr>
              <w:t>ear_mean</w:t>
            </w:r>
          </w:p>
        </w:tc>
        <w:tc>
          <w:tcPr>
            <w:tcW w:type="dxa" w:w="2880"/>
          </w:tcPr>
          <w:p>
            <w:r/>
            <w:r>
              <w:rPr>
                <w:b w:val="0"/>
                <w:i w:val="0"/>
              </w:rPr>
              <w:t>0.000170</w:t>
            </w:r>
          </w:p>
        </w:tc>
        <w:tc>
          <w:tcPr>
            <w:tcW w:type="dxa" w:w="2880"/>
          </w:tcPr>
          <w:p>
            <w:r/>
            <w:r>
              <w:rPr>
                <w:b w:val="0"/>
                <w:i w:val="0"/>
              </w:rPr>
              <w:t>0.000768</w:t>
            </w:r>
          </w:p>
        </w:tc>
      </w:tr>
      <w:tr>
        <w:tc>
          <w:tcPr>
            <w:tcW w:type="dxa" w:w="2880"/>
          </w:tcPr>
          <w:p>
            <w:r/>
            <w:r>
              <w:rPr>
                <w:rFonts w:ascii="Consolas" w:hAnsi="Consolas"/>
                <w:b w:val="0"/>
                <w:i w:val="0"/>
                <w:sz w:val="20"/>
              </w:rPr>
              <w:t>mar</w:t>
            </w:r>
          </w:p>
        </w:tc>
        <w:tc>
          <w:tcPr>
            <w:tcW w:type="dxa" w:w="2880"/>
          </w:tcPr>
          <w:p>
            <w:r/>
            <w:r>
              <w:rPr>
                <w:b w:val="0"/>
                <w:i w:val="0"/>
              </w:rPr>
              <w:t>0.000300</w:t>
            </w:r>
          </w:p>
        </w:tc>
        <w:tc>
          <w:tcPr>
            <w:tcW w:type="dxa" w:w="2880"/>
          </w:tcPr>
          <w:p>
            <w:r/>
            <w:r>
              <w:rPr>
                <w:b w:val="0"/>
                <w:i w:val="0"/>
              </w:rPr>
              <w:t>0.001997</w:t>
            </w:r>
          </w:p>
        </w:tc>
      </w:tr>
      <w:tr>
        <w:tc>
          <w:tcPr>
            <w:tcW w:type="dxa" w:w="2880"/>
          </w:tcPr>
          <w:p>
            <w:r/>
            <w:r>
              <w:rPr>
                <w:rFonts w:ascii="Consolas" w:hAnsi="Consolas"/>
                <w:b w:val="0"/>
                <w:i w:val="0"/>
                <w:sz w:val="20"/>
              </w:rPr>
              <w:t>brow_left</w:t>
            </w:r>
          </w:p>
        </w:tc>
        <w:tc>
          <w:tcPr>
            <w:tcW w:type="dxa" w:w="2880"/>
          </w:tcPr>
          <w:p>
            <w:r/>
            <w:r>
              <w:rPr>
                <w:b w:val="0"/>
                <w:i w:val="0"/>
              </w:rPr>
              <w:t>0.000085</w:t>
            </w:r>
          </w:p>
        </w:tc>
        <w:tc>
          <w:tcPr>
            <w:tcW w:type="dxa" w:w="2880"/>
          </w:tcPr>
          <w:p>
            <w:r/>
            <w:r>
              <w:rPr>
                <w:b w:val="0"/>
                <w:i w:val="0"/>
              </w:rPr>
              <w:t>0.000458</w:t>
            </w:r>
          </w:p>
        </w:tc>
      </w:tr>
      <w:tr>
        <w:tc>
          <w:tcPr>
            <w:tcW w:type="dxa" w:w="2880"/>
          </w:tcPr>
          <w:p>
            <w:r/>
            <w:r>
              <w:rPr>
                <w:rFonts w:ascii="Consolas" w:hAnsi="Consolas"/>
                <w:b w:val="0"/>
                <w:i w:val="0"/>
                <w:sz w:val="20"/>
              </w:rPr>
              <w:t>brow_right</w:t>
            </w:r>
          </w:p>
        </w:tc>
        <w:tc>
          <w:tcPr>
            <w:tcW w:type="dxa" w:w="2880"/>
          </w:tcPr>
          <w:p>
            <w:r/>
            <w:r>
              <w:rPr>
                <w:b w:val="0"/>
                <w:i w:val="0"/>
              </w:rPr>
              <w:t>0.000074</w:t>
            </w:r>
          </w:p>
        </w:tc>
        <w:tc>
          <w:tcPr>
            <w:tcW w:type="dxa" w:w="2880"/>
          </w:tcPr>
          <w:p>
            <w:r/>
            <w:r>
              <w:rPr>
                <w:b w:val="0"/>
                <w:i w:val="0"/>
              </w:rPr>
              <w:t>0.000512</w:t>
            </w:r>
          </w:p>
        </w:tc>
      </w:tr>
      <w:tr>
        <w:tc>
          <w:tcPr>
            <w:tcW w:type="dxa" w:w="2880"/>
          </w:tcPr>
          <w:p>
            <w:r/>
            <w:r>
              <w:rPr>
                <w:rFonts w:ascii="Consolas" w:hAnsi="Consolas"/>
                <w:b w:val="0"/>
                <w:i w:val="0"/>
                <w:sz w:val="20"/>
              </w:rPr>
              <w:t>yaw</w:t>
            </w:r>
          </w:p>
        </w:tc>
        <w:tc>
          <w:tcPr>
            <w:tcW w:type="dxa" w:w="2880"/>
          </w:tcPr>
          <w:p>
            <w:r/>
            <w:r>
              <w:rPr>
                <w:b w:val="0"/>
                <w:i w:val="0"/>
              </w:rPr>
              <w:t>0.000159</w:t>
            </w:r>
          </w:p>
        </w:tc>
        <w:tc>
          <w:tcPr>
            <w:tcW w:type="dxa" w:w="2880"/>
          </w:tcPr>
          <w:p>
            <w:r/>
            <w:r>
              <w:rPr>
                <w:b w:val="0"/>
                <w:i w:val="0"/>
              </w:rPr>
              <w:t>0.000967</w:t>
            </w:r>
          </w:p>
        </w:tc>
      </w:tr>
      <w:tr>
        <w:tc>
          <w:tcPr>
            <w:tcW w:type="dxa" w:w="2880"/>
          </w:tcPr>
          <w:p>
            <w:r/>
            <w:r>
              <w:rPr>
                <w:rFonts w:ascii="Consolas" w:hAnsi="Consolas"/>
                <w:b w:val="0"/>
                <w:i w:val="0"/>
                <w:sz w:val="20"/>
              </w:rPr>
              <w:t>pitch</w:t>
            </w:r>
          </w:p>
        </w:tc>
        <w:tc>
          <w:tcPr>
            <w:tcW w:type="dxa" w:w="2880"/>
          </w:tcPr>
          <w:p>
            <w:r/>
            <w:r>
              <w:rPr>
                <w:b w:val="0"/>
                <w:i w:val="0"/>
              </w:rPr>
              <w:t>0.000090</w:t>
            </w:r>
          </w:p>
        </w:tc>
        <w:tc>
          <w:tcPr>
            <w:tcW w:type="dxa" w:w="2880"/>
          </w:tcPr>
          <w:p>
            <w:r/>
            <w:r>
              <w:rPr>
                <w:b w:val="0"/>
                <w:i w:val="0"/>
              </w:rPr>
              <w:t>0.000385</w:t>
            </w:r>
          </w:p>
        </w:tc>
      </w:tr>
      <w:tr>
        <w:tc>
          <w:tcPr>
            <w:tcW w:type="dxa" w:w="2880"/>
          </w:tcPr>
          <w:p>
            <w:r/>
            <w:r>
              <w:rPr>
                <w:rFonts w:ascii="Consolas" w:hAnsi="Consolas"/>
                <w:b w:val="0"/>
                <w:i w:val="0"/>
                <w:sz w:val="20"/>
              </w:rPr>
              <w:t>roll</w:t>
            </w:r>
          </w:p>
        </w:tc>
        <w:tc>
          <w:tcPr>
            <w:tcW w:type="dxa" w:w="2880"/>
          </w:tcPr>
          <w:p>
            <w:r/>
            <w:r>
              <w:rPr>
                <w:b w:val="0"/>
                <w:i w:val="0"/>
              </w:rPr>
              <w:t>0.000067</w:t>
            </w:r>
          </w:p>
        </w:tc>
        <w:tc>
          <w:tcPr>
            <w:tcW w:type="dxa" w:w="2880"/>
          </w:tcPr>
          <w:p>
            <w:r/>
            <w:r>
              <w:rPr>
                <w:b w:val="0"/>
                <w:i w:val="0"/>
              </w:rPr>
              <w:t>0.000214</w:t>
            </w:r>
          </w:p>
        </w:tc>
      </w:tr>
      <w:tr>
        <w:tc>
          <w:tcPr>
            <w:tcW w:type="dxa" w:w="2880"/>
          </w:tcPr>
          <w:p>
            <w:r/>
            <w:r>
              <w:rPr>
                <w:rFonts w:ascii="Consolas" w:hAnsi="Consolas"/>
                <w:b w:val="0"/>
                <w:i w:val="0"/>
                <w:sz w:val="20"/>
              </w:rPr>
              <w:t>gaze_x</w:t>
            </w:r>
          </w:p>
        </w:tc>
        <w:tc>
          <w:tcPr>
            <w:tcW w:type="dxa" w:w="2880"/>
          </w:tcPr>
          <w:p>
            <w:r/>
            <w:r>
              <w:rPr>
                <w:b w:val="0"/>
                <w:i w:val="0"/>
              </w:rPr>
              <w:t>0.000191</w:t>
            </w:r>
          </w:p>
        </w:tc>
        <w:tc>
          <w:tcPr>
            <w:tcW w:type="dxa" w:w="2880"/>
          </w:tcPr>
          <w:p>
            <w:r/>
            <w:r>
              <w:rPr>
                <w:b w:val="0"/>
                <w:i w:val="0"/>
              </w:rPr>
              <w:t>0.001311</w:t>
            </w:r>
          </w:p>
        </w:tc>
      </w:tr>
      <w:tr>
        <w:tc>
          <w:tcPr>
            <w:tcW w:type="dxa" w:w="2880"/>
          </w:tcPr>
          <w:p>
            <w:r/>
            <w:r>
              <w:rPr>
                <w:rFonts w:ascii="Consolas" w:hAnsi="Consolas"/>
                <w:b w:val="0"/>
                <w:i w:val="0"/>
                <w:sz w:val="20"/>
              </w:rPr>
              <w:t>gaze_y</w:t>
            </w:r>
          </w:p>
        </w:tc>
        <w:tc>
          <w:tcPr>
            <w:tcW w:type="dxa" w:w="2880"/>
          </w:tcPr>
          <w:p>
            <w:r/>
            <w:r>
              <w:rPr>
                <w:b w:val="0"/>
                <w:i w:val="0"/>
              </w:rPr>
              <w:t>0.000617</w:t>
            </w:r>
          </w:p>
        </w:tc>
        <w:tc>
          <w:tcPr>
            <w:tcW w:type="dxa" w:w="2880"/>
          </w:tcPr>
          <w:p>
            <w:r/>
            <w:r>
              <w:rPr>
                <w:b w:val="0"/>
                <w:i w:val="0"/>
              </w:rPr>
              <w:t>0.003506</w:t>
            </w:r>
          </w:p>
        </w:tc>
      </w:tr>
      <w:tr>
        <w:tc>
          <w:tcPr>
            <w:tcW w:type="dxa" w:w="2880"/>
          </w:tcPr>
          <w:p>
            <w:r/>
            <w:r>
              <w:rPr>
                <w:rFonts w:ascii="Consolas" w:hAnsi="Consolas"/>
                <w:b w:val="0"/>
                <w:i w:val="0"/>
                <w:sz w:val="20"/>
              </w:rPr>
              <w:t>face_area</w:t>
            </w:r>
          </w:p>
        </w:tc>
        <w:tc>
          <w:tcPr>
            <w:tcW w:type="dxa" w:w="2880"/>
          </w:tcPr>
          <w:p>
            <w:r/>
            <w:r>
              <w:rPr>
                <w:b w:val="0"/>
                <w:i w:val="0"/>
              </w:rPr>
              <w:t>0.000008</w:t>
            </w:r>
          </w:p>
        </w:tc>
        <w:tc>
          <w:tcPr>
            <w:tcW w:type="dxa" w:w="2880"/>
          </w:tcPr>
          <w:p>
            <w:r/>
            <w:r>
              <w:rPr>
                <w:b w:val="0"/>
                <w:i w:val="0"/>
              </w:rPr>
              <w:t>0.000032</w:t>
            </w:r>
          </w:p>
        </w:tc>
      </w:tr>
      <w:tr>
        <w:tc>
          <w:tcPr>
            <w:tcW w:type="dxa" w:w="2880"/>
          </w:tcPr>
          <w:p>
            <w:r/>
            <w:r>
              <w:rPr>
                <w:rFonts w:ascii="Consolas" w:hAnsi="Consolas"/>
                <w:b w:val="0"/>
                <w:i w:val="0"/>
                <w:sz w:val="20"/>
              </w:rPr>
              <w:t>face_present</w:t>
            </w:r>
          </w:p>
        </w:tc>
        <w:tc>
          <w:tcPr>
            <w:tcW w:type="dxa" w:w="2880"/>
          </w:tcPr>
          <w:p>
            <w:r/>
            <w:r>
              <w:rPr>
                <w:b w:val="0"/>
                <w:i w:val="0"/>
              </w:rPr>
              <w:t>0.000000</w:t>
            </w:r>
          </w:p>
        </w:tc>
        <w:tc>
          <w:tcPr>
            <w:tcW w:type="dxa" w:w="2880"/>
          </w:tcPr>
          <w:p>
            <w:r/>
            <w:r>
              <w:rPr>
                <w:b w:val="0"/>
                <w:i w:val="0"/>
              </w:rPr>
              <w:t>0.000000</w:t>
            </w:r>
          </w:p>
        </w:tc>
      </w:tr>
    </w:tbl>
    <w:p/>
    <w:p>
      <w:pPr>
        <w:pStyle w:val="Heading3"/>
      </w:pPr>
      <w:r>
        <w:t>4.1.3 Evaluation and Discussion</w:t>
      </w:r>
    </w:p>
    <w:p>
      <w:pPr>
        <w:spacing w:after="160"/>
      </w:pPr>
      <w:r>
        <w:rPr>
          <w:b w:val="0"/>
          <w:i w:val="0"/>
        </w:rP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b w:val="0"/>
          <w:i w:val="0"/>
          <w:sz w:val="20"/>
        </w:rPr>
        <w:t>num_faces=1</w:t>
      </w:r>
      <w:r>
        <w:rPr>
          <w:b w:val="0"/>
          <w:i w:val="0"/>
        </w:rPr>
        <w:t xml:space="preserve"> (</w:t>
      </w:r>
      <w:r>
        <w:rPr>
          <w:rFonts w:ascii="Consolas" w:hAnsi="Consolas"/>
          <w:b w:val="0"/>
          <w:i w:val="0"/>
          <w:sz w:val="20"/>
        </w:rPr>
        <w:t>ml/src/extract.py</w:t>
      </w:r>
      <w:r>
        <w:rPr>
          <w:b w:val="0"/>
          <w:i w:val="0"/>
        </w:rP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b w:val="0"/>
          <w:i/>
        </w:rPr>
        <w:t>actual deployed system</w:t>
      </w:r>
      <w:r>
        <w:rPr>
          <w:b w:val="0"/>
          <w:i w:val="0"/>
        </w:rPr>
        <w:t>, not just the model in isolation, are methodologically necessary rather than a nice-to-have, and it directly informed the 0.02 tolerance decision: loose enough to absorb genuine, harmless Python-vs-WASM landmark noise, tight enough that this specific 0.86 regression still failed loudly rather than slipping under a more generously-set bar.</w:t>
      </w:r>
    </w:p>
    <w:p>
      <w:pPr>
        <w:spacing w:after="160"/>
      </w:pPr>
      <w:r>
        <w:rPr>
          <w:b w:val="0"/>
          <w:i w:val="0"/>
        </w:rPr>
        <w:t xml:space="preserve">The Amendment 4 brow episode adds the corrective second half of that lesson, told against this project's own earlier judgement: a tolerance wide enough to absorb legitimate runtime noise is also wide enough to hide a modest </w:t>
      </w:r>
      <w:r>
        <w:rPr>
          <w:b w:val="0"/>
          <w:i/>
        </w:rPr>
        <w:t>systematic</w:t>
      </w:r>
      <w:r>
        <w:rPr>
          <w:b w:val="0"/>
          <w:i w:val="0"/>
        </w:rPr>
        <w:t xml:space="preserve"> error, and the team twice recorded the anomaly's magnitude without asking why a supposedly-random effect was selective. The transferable rule — a feature-selective parity residual is a formula divergence until proven otherwise, because runtime noise has no mechanism for selectivity — is arguably worth more than the fix, and the post-fix 5.7× headroom means any future residual of the old kind now stands out immediately.</w:t>
      </w:r>
    </w:p>
    <w:p>
      <w:pPr>
        <w:pStyle w:val="Heading2"/>
      </w:pPr>
      <w:r>
        <w:t>4.2 Experiment 2 — Classical Baselines</w:t>
      </w:r>
    </w:p>
    <w:p>
      <w:pPr>
        <w:pStyle w:val="Heading3"/>
      </w:pPr>
      <w:r>
        <w:t>4.2.1 Set-up</w:t>
      </w:r>
    </w:p>
    <w:p>
      <w:pPr>
        <w:spacing w:after="160"/>
      </w:pPr>
      <w:r>
        <w:rPr>
          <w:b w:val="0"/>
          <w:i w:val="0"/>
        </w:rPr>
        <w:t xml:space="preserve">Each 30×13 window from all three splits is reduced to a 65-dimensional vector (mean/std/min/max/range per feature, Section 3.2.5) and used to train a </w:t>
      </w:r>
      <w:r>
        <w:rPr>
          <w:rFonts w:ascii="Consolas" w:hAnsi="Consolas"/>
          <w:b w:val="0"/>
          <w:i w:val="0"/>
          <w:sz w:val="20"/>
        </w:rPr>
        <w:t>class_weight="balanced"</w:t>
      </w:r>
      <w:r>
        <w:rPr>
          <w:b w:val="0"/>
          <w:i w:val="0"/>
        </w:rP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pPr>
        <w:pStyle w:val="TableCaption"/>
      </w:pPr>
      <w:r>
        <w:rPr>
          <w:b w:val="0"/>
          <w:i w:val="0"/>
        </w:rPr>
        <w:t xml:space="preserve">Table 4.2 — Classical baselines on both held-out splits (source: </w:t>
      </w:r>
      <w:r>
        <w:rPr>
          <w:rFonts w:ascii="Consolas" w:hAnsi="Consolas"/>
          <w:b w:val="0"/>
          <w:i w:val="0"/>
          <w:sz w:val="20"/>
        </w:rPr>
        <w:t>docs/results/baselines.csv</w:t>
      </w:r>
      <w:r>
        <w:rPr>
          <w:b w:val="0"/>
          <w:i w:val="0"/>
        </w:rPr>
        <w:t>; the gradient-boosting rows were added in Experiment 7 and are included here for completeness):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Model</w:t>
            </w:r>
          </w:p>
        </w:tc>
        <w:tc>
          <w:tcPr>
            <w:tcW w:type="dxa" w:w="2160"/>
            <w:shd w:val="clear" w:color="auto" w:fill="D9E2F3"/>
          </w:tcPr>
          <w:p>
            <w:r>
              <w:rPr>
                <w:b/>
              </w:rPr>
            </w:r>
            <w:r>
              <w:rPr>
                <w:b/>
                <w:i w:val="0"/>
              </w:rPr>
              <w:t>Macro-F1</w:t>
            </w:r>
          </w:p>
        </w:tc>
        <w:tc>
          <w:tcPr>
            <w:tcW w:type="dxa" w:w="2160"/>
            <w:shd w:val="clear" w:color="auto" w:fill="D9E2F3"/>
          </w:tcPr>
          <w:p>
            <w:r>
              <w:rPr>
                <w:b/>
              </w:rPr>
            </w:r>
            <w:r>
              <w:rPr>
                <w:b/>
                <w:i w:val="0"/>
              </w:rPr>
              <w:t>Accuracy</w:t>
            </w:r>
          </w:p>
        </w:tc>
      </w:tr>
      <w:tr>
        <w:tc>
          <w:tcPr>
            <w:tcW w:type="dxa" w:w="2160"/>
          </w:tcPr>
          <w:p>
            <w:r/>
            <w:r>
              <w:rPr>
                <w:b w:val="0"/>
                <w:i w:val="0"/>
              </w:rPr>
              <w:t>Validation</w:t>
            </w:r>
          </w:p>
        </w:tc>
        <w:tc>
          <w:tcPr>
            <w:tcW w:type="dxa" w:w="2160"/>
          </w:tcPr>
          <w:p>
            <w:r/>
            <w:r>
              <w:rPr>
                <w:b w:val="0"/>
                <w:i w:val="0"/>
              </w:rPr>
              <w:t>Majority-class</w:t>
            </w:r>
          </w:p>
        </w:tc>
        <w:tc>
          <w:tcPr>
            <w:tcW w:type="dxa" w:w="2160"/>
          </w:tcPr>
          <w:p>
            <w:r/>
            <w:r>
              <w:rPr>
                <w:b w:val="0"/>
                <w:i w:val="0"/>
              </w:rPr>
              <w:t>0.1813</w:t>
            </w:r>
          </w:p>
        </w:tc>
        <w:tc>
          <w:tcPr>
            <w:tcW w:type="dxa" w:w="2160"/>
          </w:tcPr>
          <w:p>
            <w:r/>
            <w:r>
              <w:rPr>
                <w:b w:val="0"/>
                <w:i w:val="0"/>
              </w:rPr>
              <w:t>0.5689</w:t>
            </w:r>
          </w:p>
        </w:tc>
      </w:tr>
      <w:tr>
        <w:tc>
          <w:tcPr>
            <w:tcW w:type="dxa" w:w="2160"/>
          </w:tcPr>
          <w:p>
            <w:r/>
            <w:r>
              <w:rPr>
                <w:b w:val="0"/>
                <w:i w:val="0"/>
              </w:rPr>
              <w:t>Validation</w:t>
            </w:r>
          </w:p>
        </w:tc>
        <w:tc>
          <w:tcPr>
            <w:tcW w:type="dxa" w:w="2160"/>
          </w:tcPr>
          <w:p>
            <w:r/>
            <w:r>
              <w:rPr>
                <w:b w:val="0"/>
                <w:i w:val="0"/>
              </w:rPr>
              <w:t>Logistic regression</w:t>
            </w:r>
          </w:p>
        </w:tc>
        <w:tc>
          <w:tcPr>
            <w:tcW w:type="dxa" w:w="2160"/>
          </w:tcPr>
          <w:p>
            <w:r/>
            <w:r>
              <w:rPr>
                <w:b w:val="0"/>
                <w:i w:val="0"/>
              </w:rPr>
              <w:t>0.2420</w:t>
            </w:r>
          </w:p>
        </w:tc>
        <w:tc>
          <w:tcPr>
            <w:tcW w:type="dxa" w:w="2160"/>
          </w:tcPr>
          <w:p>
            <w:r/>
            <w:r>
              <w:rPr>
                <w:b w:val="0"/>
                <w:i w:val="0"/>
              </w:rPr>
              <w:t>0.3109</w:t>
            </w:r>
          </w:p>
        </w:tc>
      </w:tr>
      <w:tr>
        <w:tc>
          <w:tcPr>
            <w:tcW w:type="dxa" w:w="2160"/>
          </w:tcPr>
          <w:p>
            <w:r/>
            <w:r>
              <w:rPr>
                <w:b w:val="0"/>
                <w:i w:val="0"/>
              </w:rPr>
              <w:t>Validation</w:t>
            </w:r>
          </w:p>
        </w:tc>
        <w:tc>
          <w:tcPr>
            <w:tcW w:type="dxa" w:w="2160"/>
          </w:tcPr>
          <w:p>
            <w:r/>
            <w:r>
              <w:rPr>
                <w:b w:val="0"/>
                <w:i w:val="0"/>
              </w:rPr>
              <w:t>Random forest</w:t>
            </w:r>
          </w:p>
        </w:tc>
        <w:tc>
          <w:tcPr>
            <w:tcW w:type="dxa" w:w="2160"/>
          </w:tcPr>
          <w:p>
            <w:r/>
            <w:r>
              <w:rPr>
                <w:b w:val="0"/>
                <w:i w:val="0"/>
              </w:rPr>
              <w:t>0.2669</w:t>
            </w:r>
          </w:p>
        </w:tc>
        <w:tc>
          <w:tcPr>
            <w:tcW w:type="dxa" w:w="2160"/>
          </w:tcPr>
          <w:p>
            <w:r/>
            <w:r>
              <w:rPr>
                <w:b w:val="0"/>
                <w:i w:val="0"/>
              </w:rPr>
              <w:t>0.5263</w:t>
            </w:r>
          </w:p>
        </w:tc>
      </w:tr>
      <w:tr>
        <w:tc>
          <w:tcPr>
            <w:tcW w:type="dxa" w:w="2160"/>
          </w:tcPr>
          <w:p>
            <w:r/>
            <w:r>
              <w:rPr>
                <w:b w:val="0"/>
                <w:i w:val="0"/>
              </w:rPr>
              <w:t>Validation</w:t>
            </w:r>
          </w:p>
        </w:tc>
        <w:tc>
          <w:tcPr>
            <w:tcW w:type="dxa" w:w="2160"/>
          </w:tcPr>
          <w:p>
            <w:r/>
            <w:r>
              <w:rPr>
                <w:b w:val="0"/>
                <w:i w:val="0"/>
              </w:rPr>
              <w:t>Gradient boosting (Exp. 7)</w:t>
            </w:r>
          </w:p>
        </w:tc>
        <w:tc>
          <w:tcPr>
            <w:tcW w:type="dxa" w:w="2160"/>
          </w:tcPr>
          <w:p>
            <w:r/>
            <w:r>
              <w:rPr>
                <w:b w:val="0"/>
                <w:i w:val="0"/>
              </w:rPr>
              <w:t>0.2907</w:t>
            </w:r>
          </w:p>
        </w:tc>
        <w:tc>
          <w:tcPr>
            <w:tcW w:type="dxa" w:w="2160"/>
          </w:tcPr>
          <w:p>
            <w:r/>
            <w:r>
              <w:rPr>
                <w:b w:val="0"/>
                <w:i w:val="0"/>
              </w:rPr>
              <w:t>0.5070</w:t>
            </w:r>
          </w:p>
        </w:tc>
      </w:tr>
      <w:tr>
        <w:tc>
          <w:tcPr>
            <w:tcW w:type="dxa" w:w="2160"/>
          </w:tcPr>
          <w:p>
            <w:r/>
            <w:r>
              <w:rPr>
                <w:b w:val="0"/>
                <w:i w:val="0"/>
              </w:rPr>
              <w:t>Test</w:t>
            </w:r>
          </w:p>
        </w:tc>
        <w:tc>
          <w:tcPr>
            <w:tcW w:type="dxa" w:w="2160"/>
          </w:tcPr>
          <w:p>
            <w:r/>
            <w:r>
              <w:rPr>
                <w:b w:val="0"/>
                <w:i w:val="0"/>
              </w:rPr>
              <w:t>Majority-class</w:t>
            </w:r>
          </w:p>
        </w:tc>
        <w:tc>
          <w:tcPr>
            <w:tcW w:type="dxa" w:w="2160"/>
          </w:tcPr>
          <w:p>
            <w:r/>
            <w:r>
              <w:rPr>
                <w:b w:val="0"/>
                <w:i w:val="0"/>
              </w:rPr>
              <w:t>0.1655</w:t>
            </w:r>
          </w:p>
        </w:tc>
        <w:tc>
          <w:tcPr>
            <w:tcW w:type="dxa" w:w="2160"/>
          </w:tcPr>
          <w:p>
            <w:r/>
            <w:r>
              <w:rPr>
                <w:b w:val="0"/>
                <w:i w:val="0"/>
              </w:rPr>
              <w:t>0.4948</w:t>
            </w:r>
          </w:p>
        </w:tc>
      </w:tr>
      <w:tr>
        <w:tc>
          <w:tcPr>
            <w:tcW w:type="dxa" w:w="2160"/>
          </w:tcPr>
          <w:p>
            <w:r/>
            <w:r>
              <w:rPr>
                <w:b w:val="0"/>
                <w:i w:val="0"/>
              </w:rPr>
              <w:t>Test</w:t>
            </w:r>
          </w:p>
        </w:tc>
        <w:tc>
          <w:tcPr>
            <w:tcW w:type="dxa" w:w="2160"/>
          </w:tcPr>
          <w:p>
            <w:r/>
            <w:r>
              <w:rPr>
                <w:b w:val="0"/>
                <w:i w:val="0"/>
              </w:rPr>
              <w:t>Logistic regression</w:t>
            </w:r>
          </w:p>
        </w:tc>
        <w:tc>
          <w:tcPr>
            <w:tcW w:type="dxa" w:w="2160"/>
          </w:tcPr>
          <w:p>
            <w:r/>
            <w:r>
              <w:rPr>
                <w:b w:val="0"/>
                <w:i w:val="0"/>
              </w:rPr>
              <w:t>0.2479</w:t>
            </w:r>
          </w:p>
        </w:tc>
        <w:tc>
          <w:tcPr>
            <w:tcW w:type="dxa" w:w="2160"/>
          </w:tcPr>
          <w:p>
            <w:r/>
            <w:r>
              <w:rPr>
                <w:b w:val="0"/>
                <w:i w:val="0"/>
              </w:rPr>
              <w:t>0.3540</w:t>
            </w:r>
          </w:p>
        </w:tc>
      </w:tr>
      <w:tr>
        <w:tc>
          <w:tcPr>
            <w:tcW w:type="dxa" w:w="2160"/>
          </w:tcPr>
          <w:p>
            <w:r/>
            <w:r>
              <w:rPr>
                <w:b w:val="0"/>
                <w:i w:val="0"/>
              </w:rPr>
              <w:t>Test</w:t>
            </w:r>
          </w:p>
        </w:tc>
        <w:tc>
          <w:tcPr>
            <w:tcW w:type="dxa" w:w="2160"/>
          </w:tcPr>
          <w:p>
            <w:r/>
            <w:r>
              <w:rPr>
                <w:b w:val="0"/>
                <w:i w:val="0"/>
              </w:rPr>
              <w:t>Random forest</w:t>
            </w:r>
          </w:p>
        </w:tc>
        <w:tc>
          <w:tcPr>
            <w:tcW w:type="dxa" w:w="2160"/>
          </w:tcPr>
          <w:p>
            <w:r/>
            <w:r>
              <w:rPr>
                <w:b w:val="0"/>
                <w:i w:val="0"/>
              </w:rPr>
              <w:t>0.2643</w:t>
            </w:r>
          </w:p>
        </w:tc>
        <w:tc>
          <w:tcPr>
            <w:tcW w:type="dxa" w:w="2160"/>
          </w:tcPr>
          <w:p>
            <w:r/>
            <w:r>
              <w:rPr>
                <w:b w:val="0"/>
                <w:i w:val="0"/>
              </w:rPr>
              <w:t>0.5054</w:t>
            </w:r>
          </w:p>
        </w:tc>
      </w:tr>
      <w:tr>
        <w:tc>
          <w:tcPr>
            <w:tcW w:type="dxa" w:w="2160"/>
          </w:tcPr>
          <w:p>
            <w:r/>
            <w:r>
              <w:rPr>
                <w:b w:val="0"/>
                <w:i w:val="0"/>
              </w:rPr>
              <w:t>Test</w:t>
            </w:r>
          </w:p>
        </w:tc>
        <w:tc>
          <w:tcPr>
            <w:tcW w:type="dxa" w:w="2160"/>
          </w:tcPr>
          <w:p>
            <w:r/>
            <w:r>
              <w:rPr>
                <w:b w:val="0"/>
                <w:i w:val="0"/>
              </w:rPr>
              <w:t>Gradient boosting (Exp. 7)</w:t>
            </w:r>
          </w:p>
        </w:tc>
        <w:tc>
          <w:tcPr>
            <w:tcW w:type="dxa" w:w="2160"/>
          </w:tcPr>
          <w:p>
            <w:r/>
            <w:r>
              <w:rPr>
                <w:b w:val="0"/>
                <w:i w:val="0"/>
              </w:rPr>
              <w:t>0.2910</w:t>
            </w:r>
          </w:p>
        </w:tc>
        <w:tc>
          <w:tcPr>
            <w:tcW w:type="dxa" w:w="2160"/>
          </w:tcPr>
          <w:p>
            <w:r/>
            <w:r>
              <w:rPr>
                <w:b w:val="0"/>
                <w:i w:val="0"/>
              </w:rPr>
              <w:t>0.4976</w:t>
            </w:r>
          </w:p>
        </w:tc>
      </w:tr>
    </w:tbl>
    <w:p/>
    <w:p>
      <w:pPr>
        <w:spacing w:after="160"/>
      </w:pPr>
      <w:r>
        <w:rPr>
          <w:b w:val="0"/>
          <w:i w:val="0"/>
        </w:rP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rPr>
          <w:b w:val="0"/>
          <w:i w:val="0"/>
        </w:rP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b w:val="0"/>
          <w:i/>
        </w:rPr>
        <w:t>accuracy</w:t>
      </w:r>
      <w:r>
        <w:rPr>
          <w:b w:val="0"/>
          <w:i w:val="0"/>
        </w:rP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b w:val="0"/>
          <w:i w:val="0"/>
          <w:sz w:val="20"/>
        </w:rPr>
        <w:t>EngagementTCN</w:t>
      </w:r>
      <w:r>
        <w:rPr>
          <w:b w:val="0"/>
          <w:i w:val="0"/>
        </w:rPr>
        <w:t xml:space="preserve"> (Section 3.2.6) is trained per the regime in Section 3.2.7. Six training configurations were run, varying the loss formulation (weighted cross-entropy versus focal loss; Lin </w:t>
      </w:r>
      <w:r>
        <w:rPr>
          <w:b w:val="0"/>
          <w:i/>
        </w:rPr>
        <w:t>et al.</w:t>
      </w:r>
      <w:r>
        <w:rPr>
          <w:b w:val="0"/>
          <w:i w:val="0"/>
        </w:rPr>
        <w:t>, 2017),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rPr>
          <w:b w:val="0"/>
          <w:i w:val="0"/>
        </w:rPr>
        <w:t xml:space="preserve">The winning configuration — full inverse-frequency weighted cross-entropy (weight exponent 1.0), learning rate 1×10⁻³ — reached </w:t>
      </w:r>
      <w:r>
        <w:rPr>
          <w:b/>
          <w:i w:val="0"/>
        </w:rPr>
        <w:t>validation macro-F1 0.3061</w:t>
      </w:r>
      <w:r>
        <w:rPr>
          <w:b w:val="0"/>
          <w:i w:val="0"/>
        </w:rP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pPr>
        <w:jc w:val="center"/>
      </w:pPr>
      <w:r>
        <w:drawing>
          <wp:inline xmlns:a="http://schemas.openxmlformats.org/drawingml/2006/main" xmlns:pic="http://schemas.openxmlformats.org/drawingml/2006/picture">
            <wp:extent cx="5669280" cy="3068081"/>
            <wp:docPr id="3" name="Picture 3"/>
            <wp:cNvGraphicFramePr>
              <a:graphicFrameLocks noChangeAspect="1"/>
            </wp:cNvGraphicFramePr>
            <a:graphic>
              <a:graphicData uri="http://schemas.openxmlformats.org/drawingml/2006/picture">
                <pic:pic>
                  <pic:nvPicPr>
                    <pic:cNvPr id="0" name="training_curves_shipped.png"/>
                    <pic:cNvPicPr/>
                  </pic:nvPicPr>
                  <pic:blipFill>
                    <a:blip r:embed="rId11"/>
                    <a:stretch>
                      <a:fillRect/>
                    </a:stretch>
                  </pic:blipFill>
                  <pic:spPr>
                    <a:xfrm>
                      <a:off x="0" y="0"/>
                      <a:ext cx="5669280" cy="3068081"/>
                    </a:xfrm>
                    <a:prstGeom prst="rect"/>
                  </pic:spPr>
                </pic:pic>
              </a:graphicData>
            </a:graphic>
          </wp:inline>
        </w:drawing>
      </w:r>
    </w:p>
    <w:p>
      <w:pPr>
        <w:pStyle w:val="Caption"/>
        <w:jc w:val="center"/>
      </w:pPr>
      <w:r>
        <w:rPr>
          <w:sz w:val="18"/>
        </w:rPr>
        <w:t>Figure 4.1 — Training loss and validation metrics per epoch for the shipped checkpoint's run (best epoch 4, validation macro-F1 0.3043). Source data committed as docs/results/training_curves_shipped.csv.</w:t>
      </w:r>
    </w:p>
    <w:p>
      <w:pPr>
        <w:spacing w:after="160"/>
      </w:pPr>
      <w:r>
        <w:rPr>
          <w:b w:val="0"/>
          <w:i w:val="0"/>
        </w:rPr>
        <w:t>Final test-set evaluation (run once, after freeze):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Metric</w:t>
            </w:r>
          </w:p>
        </w:tc>
        <w:tc>
          <w:tcPr>
            <w:tcW w:type="dxa" w:w="2880"/>
            <w:shd w:val="clear" w:color="auto" w:fill="D9E2F3"/>
          </w:tcPr>
          <w:p>
            <w:r>
              <w:rPr>
                <w:b/>
              </w:rPr>
            </w:r>
            <w:r>
              <w:rPr>
                <w:b/>
                <w:i w:val="0"/>
              </w:rPr>
              <w:t>fp32</w:t>
            </w:r>
          </w:p>
        </w:tc>
        <w:tc>
          <w:tcPr>
            <w:tcW w:type="dxa" w:w="2880"/>
            <w:shd w:val="clear" w:color="auto" w:fill="D9E2F3"/>
          </w:tcPr>
          <w:p>
            <w:r>
              <w:rPr>
                <w:b/>
              </w:rPr>
            </w:r>
            <w:r>
              <w:rPr>
                <w:b/>
                <w:i w:val="0"/>
              </w:rPr>
              <w:t>int8 (shipped)</w:t>
            </w:r>
          </w:p>
        </w:tc>
      </w:tr>
      <w:tr>
        <w:tc>
          <w:tcPr>
            <w:tcW w:type="dxa" w:w="2880"/>
          </w:tcPr>
          <w:p>
            <w:r/>
            <w:r>
              <w:rPr>
                <w:b w:val="0"/>
                <w:i w:val="0"/>
              </w:rPr>
              <w:t>Test macro-F1</w:t>
            </w:r>
          </w:p>
        </w:tc>
        <w:tc>
          <w:tcPr>
            <w:tcW w:type="dxa" w:w="2880"/>
          </w:tcPr>
          <w:p>
            <w:r/>
            <w:r>
              <w:rPr>
                <w:b w:val="0"/>
                <w:i w:val="0"/>
              </w:rPr>
              <w:t>0.2475</w:t>
            </w:r>
          </w:p>
        </w:tc>
        <w:tc>
          <w:tcPr>
            <w:tcW w:type="dxa" w:w="2880"/>
          </w:tcPr>
          <w:p>
            <w:r/>
            <w:r>
              <w:rPr>
                <w:b w:val="0"/>
                <w:i w:val="0"/>
              </w:rPr>
              <w:t>0.2460</w:t>
            </w:r>
          </w:p>
        </w:tc>
      </w:tr>
      <w:tr>
        <w:tc>
          <w:tcPr>
            <w:tcW w:type="dxa" w:w="2880"/>
          </w:tcPr>
          <w:p>
            <w:r/>
            <w:r>
              <w:rPr>
                <w:b w:val="0"/>
                <w:i w:val="0"/>
              </w:rPr>
              <w:t>Model size</w:t>
            </w:r>
          </w:p>
        </w:tc>
        <w:tc>
          <w:tcPr>
            <w:tcW w:type="dxa" w:w="2880"/>
          </w:tcPr>
          <w:p>
            <w:r/>
            <w:r>
              <w:rPr>
                <w:b w:val="0"/>
                <w:i w:val="0"/>
              </w:rPr>
              <w:t>163 KB (167,243 B)</w:t>
            </w:r>
          </w:p>
        </w:tc>
        <w:tc>
          <w:tcPr>
            <w:tcW w:type="dxa" w:w="2880"/>
          </w:tcPr>
          <w:p>
            <w:r/>
            <w:r>
              <w:rPr>
                <w:b w:val="0"/>
                <w:i w:val="0"/>
              </w:rPr>
              <w:t>60 KB (61,650 B)</w:t>
            </w:r>
          </w:p>
        </w:tc>
      </w:tr>
    </w:tbl>
    <w:p/>
    <w:p>
      <w:pPr>
        <w:spacing w:after="160"/>
      </w:pPr>
      <w:r>
        <w:rPr>
          <w:b/>
          <w:i w:val="0"/>
        </w:rPr>
        <w:t>Checkpoint provenance, stated explicitly</w:t>
      </w:r>
      <w:r>
        <w:rPr>
          <w:b w:val="0"/>
          <w:i w:val="0"/>
        </w:rPr>
        <w:t xml:space="preserve">: all Test-split artefacts in this section (Table 4.3, Figures 4.2–4.3, </w:t>
      </w:r>
      <w:r>
        <w:rPr>
          <w:rFonts w:ascii="Consolas" w:hAnsi="Consolas"/>
          <w:b w:val="0"/>
          <w:i w:val="0"/>
          <w:sz w:val="20"/>
        </w:rPr>
        <w:t>metrics_test.csv</w:t>
      </w:r>
      <w:r>
        <w:rPr>
          <w:b w:val="0"/>
          <w:i w:val="0"/>
        </w:rPr>
        <w:t xml:space="preserve">) come from the checkpoint frozen when the test set was consumed on 2026-08-02. A later, small retraining of the </w:t>
      </w:r>
      <w:r>
        <w:rPr>
          <w:b w:val="0"/>
          <w:i/>
        </w:rPr>
        <w:t>states</w:t>
      </w:r>
      <w:r>
        <w:rPr>
          <w:b w:val="0"/>
          <w:i w:val="0"/>
        </w:rPr>
        <w:t xml:space="preserve"> head (2026-08-16, fixing a collapse in the secondary head's rare channels) produced the checkpoint actually shipped in the browser; its engagement-head validation macro-F1 (0.3043) is within noise of the frozen checkpoint's (0.3061), and the consumed-once rule was honoured by </w:t>
      </w:r>
      <w:r>
        <w:rPr>
          <w:b w:val="0"/>
          <w:i/>
        </w:rPr>
        <w:t>not</w:t>
      </w:r>
      <w:r>
        <w:rPr>
          <w:b w:val="0"/>
          <w:i w:val="0"/>
        </w:rPr>
        <w:t xml:space="preserve"> re-evaluating the retrained checkpoint on Test. Validation-split artefacts therefore describe the shipped checkpoint while Test-split artefacts describe the frozen one — a deliberate discipline, disclosed here rather than left for a reader to discover in the artefact timestamps.</w:t>
      </w:r>
    </w:p>
    <w:p>
      <w:pPr>
        <w:pStyle w:val="TableCaption"/>
      </w:pPr>
      <w:r>
        <w:rPr>
          <w:b w:val="0"/>
          <w:i w:val="0"/>
        </w:rPr>
        <w:t xml:space="preserve">Table 4.3 — Per-class Test-split metrics, fp32 (source: </w:t>
      </w:r>
      <w:r>
        <w:rPr>
          <w:rFonts w:ascii="Consolas" w:hAnsi="Consolas"/>
          <w:b w:val="0"/>
          <w:i w:val="0"/>
          <w:sz w:val="20"/>
        </w:rPr>
        <w:t>docs/results/metrics_test.csv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Class</w:t>
            </w:r>
          </w:p>
        </w:tc>
        <w:tc>
          <w:tcPr>
            <w:tcW w:type="dxa" w:w="1728"/>
            <w:shd w:val="clear" w:color="auto" w:fill="D9E2F3"/>
          </w:tcPr>
          <w:p>
            <w:r>
              <w:rPr>
                <w:b/>
              </w:rPr>
            </w:r>
            <w:r>
              <w:rPr>
                <w:b/>
                <w:i w:val="0"/>
              </w:rPr>
              <w:t>Precision</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F1</w:t>
            </w:r>
          </w:p>
        </w:tc>
        <w:tc>
          <w:tcPr>
            <w:tcW w:type="dxa" w:w="1728"/>
            <w:shd w:val="clear" w:color="auto" w:fill="D9E2F3"/>
          </w:tcPr>
          <w:p>
            <w:r>
              <w:rPr>
                <w:b/>
              </w:rPr>
            </w:r>
            <w:r>
              <w:rPr>
                <w:b/>
                <w:i w:val="0"/>
              </w:rPr>
              <w:t>Support</w:t>
            </w:r>
          </w:p>
        </w:tc>
      </w:tr>
      <w:tr>
        <w:tc>
          <w:tcPr>
            <w:tcW w:type="dxa" w:w="1728"/>
          </w:tcPr>
          <w:p>
            <w:r/>
            <w:r>
              <w:rPr>
                <w:b w:val="0"/>
                <w:i w:val="0"/>
              </w:rPr>
              <w:t>very low (0)</w:t>
            </w:r>
          </w:p>
        </w:tc>
        <w:tc>
          <w:tcPr>
            <w:tcW w:type="dxa" w:w="1728"/>
          </w:tcPr>
          <w:p>
            <w:r/>
            <w:r>
              <w:rPr>
                <w:b w:val="0"/>
                <w:i w:val="0"/>
              </w:rPr>
              <w:t>0.000</w:t>
            </w:r>
          </w:p>
        </w:tc>
        <w:tc>
          <w:tcPr>
            <w:tcW w:type="dxa" w:w="1728"/>
          </w:tcPr>
          <w:p>
            <w:r/>
            <w:r>
              <w:rPr>
                <w:b w:val="0"/>
                <w:i w:val="0"/>
              </w:rPr>
              <w:t>0.000</w:t>
            </w:r>
          </w:p>
        </w:tc>
        <w:tc>
          <w:tcPr>
            <w:tcW w:type="dxa" w:w="1728"/>
          </w:tcPr>
          <w:p>
            <w:r/>
            <w:r>
              <w:rPr>
                <w:b w:val="0"/>
                <w:i w:val="0"/>
              </w:rPr>
              <w:t>0.000</w:t>
            </w:r>
          </w:p>
        </w:tc>
        <w:tc>
          <w:tcPr>
            <w:tcW w:type="dxa" w:w="1728"/>
          </w:tcPr>
          <w:p>
            <w:r/>
            <w:r>
              <w:rPr>
                <w:b w:val="0"/>
                <w:i w:val="0"/>
              </w:rPr>
              <w:t>32</w:t>
            </w:r>
          </w:p>
        </w:tc>
      </w:tr>
      <w:tr>
        <w:tc>
          <w:tcPr>
            <w:tcW w:type="dxa" w:w="1728"/>
          </w:tcPr>
          <w:p>
            <w:r/>
            <w:r>
              <w:rPr>
                <w:b w:val="0"/>
                <w:i w:val="0"/>
              </w:rPr>
              <w:t>low (1)</w:t>
            </w:r>
          </w:p>
        </w:tc>
        <w:tc>
          <w:tcPr>
            <w:tcW w:type="dxa" w:w="1728"/>
          </w:tcPr>
          <w:p>
            <w:r/>
            <w:r>
              <w:rPr>
                <w:b w:val="0"/>
                <w:i w:val="0"/>
              </w:rPr>
              <w:t>0.086</w:t>
            </w:r>
          </w:p>
        </w:tc>
        <w:tc>
          <w:tcPr>
            <w:tcW w:type="dxa" w:w="1728"/>
          </w:tcPr>
          <w:p>
            <w:r/>
            <w:r>
              <w:rPr>
                <w:b w:val="0"/>
                <w:i w:val="0"/>
              </w:rPr>
              <w:t>0.373</w:t>
            </w:r>
          </w:p>
        </w:tc>
        <w:tc>
          <w:tcPr>
            <w:tcW w:type="dxa" w:w="1728"/>
          </w:tcPr>
          <w:p>
            <w:r/>
            <w:r>
              <w:rPr>
                <w:b w:val="0"/>
                <w:i w:val="0"/>
              </w:rPr>
              <w:t>0.140</w:t>
            </w:r>
          </w:p>
        </w:tc>
        <w:tc>
          <w:tcPr>
            <w:tcW w:type="dxa" w:w="1728"/>
          </w:tcPr>
          <w:p>
            <w:r/>
            <w:r>
              <w:rPr>
                <w:b w:val="0"/>
                <w:i w:val="0"/>
              </w:rPr>
              <w:t>668</w:t>
            </w:r>
          </w:p>
        </w:tc>
      </w:tr>
      <w:tr>
        <w:tc>
          <w:tcPr>
            <w:tcW w:type="dxa" w:w="1728"/>
          </w:tcPr>
          <w:p>
            <w:r/>
            <w:r>
              <w:rPr>
                <w:b w:val="0"/>
                <w:i w:val="0"/>
              </w:rPr>
              <w:t>engaged (2)</w:t>
            </w:r>
          </w:p>
        </w:tc>
        <w:tc>
          <w:tcPr>
            <w:tcW w:type="dxa" w:w="1728"/>
          </w:tcPr>
          <w:p>
            <w:r/>
            <w:r>
              <w:rPr>
                <w:b w:val="0"/>
                <w:i w:val="0"/>
              </w:rPr>
              <w:t>0.502</w:t>
            </w:r>
          </w:p>
        </w:tc>
        <w:tc>
          <w:tcPr>
            <w:tcW w:type="dxa" w:w="1728"/>
          </w:tcPr>
          <w:p>
            <w:r/>
            <w:r>
              <w:rPr>
                <w:b w:val="0"/>
                <w:i w:val="0"/>
              </w:rPr>
              <w:t>0.375</w:t>
            </w:r>
          </w:p>
        </w:tc>
        <w:tc>
          <w:tcPr>
            <w:tcW w:type="dxa" w:w="1728"/>
          </w:tcPr>
          <w:p>
            <w:r/>
            <w:r>
              <w:rPr>
                <w:b w:val="0"/>
                <w:i w:val="0"/>
              </w:rPr>
              <w:t>0.429</w:t>
            </w:r>
          </w:p>
        </w:tc>
        <w:tc>
          <w:tcPr>
            <w:tcW w:type="dxa" w:w="1728"/>
          </w:tcPr>
          <w:p>
            <w:r/>
            <w:r>
              <w:rPr>
                <w:b w:val="0"/>
                <w:i w:val="0"/>
              </w:rPr>
              <w:t>7,046</w:t>
            </w:r>
          </w:p>
        </w:tc>
      </w:tr>
      <w:tr>
        <w:tc>
          <w:tcPr>
            <w:tcW w:type="dxa" w:w="1728"/>
          </w:tcPr>
          <w:p>
            <w:r/>
            <w:r>
              <w:rPr>
                <w:b w:val="0"/>
                <w:i w:val="0"/>
              </w:rPr>
              <w:t>very engaged (3)</w:t>
            </w:r>
          </w:p>
        </w:tc>
        <w:tc>
          <w:tcPr>
            <w:tcW w:type="dxa" w:w="1728"/>
          </w:tcPr>
          <w:p>
            <w:r/>
            <w:r>
              <w:rPr>
                <w:b w:val="0"/>
                <w:i w:val="0"/>
              </w:rPr>
              <w:t>0.500</w:t>
            </w:r>
          </w:p>
        </w:tc>
        <w:tc>
          <w:tcPr>
            <w:tcW w:type="dxa" w:w="1728"/>
          </w:tcPr>
          <w:p>
            <w:r/>
            <w:r>
              <w:rPr>
                <w:b w:val="0"/>
                <w:i w:val="0"/>
              </w:rPr>
              <w:t>0.363</w:t>
            </w:r>
          </w:p>
        </w:tc>
        <w:tc>
          <w:tcPr>
            <w:tcW w:type="dxa" w:w="1728"/>
          </w:tcPr>
          <w:p>
            <w:r/>
            <w:r>
              <w:rPr>
                <w:b w:val="0"/>
                <w:i w:val="0"/>
              </w:rPr>
              <w:t>0.420</w:t>
            </w:r>
          </w:p>
        </w:tc>
        <w:tc>
          <w:tcPr>
            <w:tcW w:type="dxa" w:w="1728"/>
          </w:tcPr>
          <w:p>
            <w:r/>
            <w:r>
              <w:rPr>
                <w:b w:val="0"/>
                <w:i w:val="0"/>
              </w:rPr>
              <w:t>6,495</w:t>
            </w:r>
          </w:p>
        </w:tc>
      </w:tr>
      <w:tr>
        <w:tc>
          <w:tcPr>
            <w:tcW w:type="dxa" w:w="1728"/>
          </w:tcPr>
          <w:p>
            <w:r/>
            <w:r>
              <w:rPr>
                <w:b/>
                <w:i w:val="0"/>
              </w:rPr>
              <w:t>macro</w:t>
            </w:r>
          </w:p>
        </w:tc>
        <w:tc>
          <w:tcPr>
            <w:tcW w:type="dxa" w:w="1728"/>
          </w:tcPr>
          <w:p>
            <w:r/>
            <w:r>
              <w:rPr>
                <w:b w:val="0"/>
                <w:i w:val="0"/>
              </w:rPr>
              <w:t>—</w:t>
            </w:r>
          </w:p>
        </w:tc>
        <w:tc>
          <w:tcPr>
            <w:tcW w:type="dxa" w:w="1728"/>
          </w:tcPr>
          <w:p>
            <w:r/>
            <w:r>
              <w:rPr>
                <w:b w:val="0"/>
                <w:i w:val="0"/>
              </w:rPr>
              <w:t>—</w:t>
            </w:r>
          </w:p>
        </w:tc>
        <w:tc>
          <w:tcPr>
            <w:tcW w:type="dxa" w:w="1728"/>
          </w:tcPr>
          <w:p>
            <w:r/>
            <w:r>
              <w:rPr>
                <w:b/>
                <w:i w:val="0"/>
              </w:rPr>
              <w:t>0.2475</w:t>
            </w:r>
          </w:p>
        </w:tc>
        <w:tc>
          <w:tcPr>
            <w:tcW w:type="dxa" w:w="1728"/>
          </w:tcPr>
          <w:p>
            <w:r/>
            <w:r>
              <w:rPr>
                <w:b w:val="0"/>
                <w:i w:val="0"/>
              </w:rPr>
              <w:t>14,241</w:t>
            </w:r>
          </w:p>
        </w:tc>
      </w:tr>
      <w:tr>
        <w:tc>
          <w:tcPr>
            <w:tcW w:type="dxa" w:w="1728"/>
          </w:tcPr>
          <w:p>
            <w:r/>
            <w:r>
              <w:rPr>
                <w:b w:val="0"/>
                <w:i w:val="0"/>
              </w:rPr>
              <w:t>weighted</w:t>
            </w:r>
          </w:p>
        </w:tc>
        <w:tc>
          <w:tcPr>
            <w:tcW w:type="dxa" w:w="1728"/>
          </w:tcPr>
          <w:p>
            <w:r/>
            <w:r>
              <w:rPr>
                <w:b w:val="0"/>
                <w:i w:val="0"/>
              </w:rPr>
              <w:t>—</w:t>
            </w:r>
          </w:p>
        </w:tc>
        <w:tc>
          <w:tcPr>
            <w:tcW w:type="dxa" w:w="1728"/>
          </w:tcPr>
          <w:p>
            <w:r/>
            <w:r>
              <w:rPr>
                <w:b w:val="0"/>
                <w:i w:val="0"/>
              </w:rPr>
              <w:t>—</w:t>
            </w:r>
          </w:p>
        </w:tc>
        <w:tc>
          <w:tcPr>
            <w:tcW w:type="dxa" w:w="1728"/>
          </w:tcPr>
          <w:p>
            <w:r/>
            <w:r>
              <w:rPr>
                <w:b w:val="0"/>
                <w:i w:val="0"/>
              </w:rPr>
              <w:t>0.4108</w:t>
            </w:r>
          </w:p>
        </w:tc>
        <w:tc>
          <w:tcPr>
            <w:tcW w:type="dxa" w:w="1728"/>
          </w:tcPr>
          <w:p>
            <w:r/>
            <w:r>
              <w:rPr>
                <w:b w:val="0"/>
                <w:i w:val="0"/>
              </w:rPr>
              <w:t>14,241</w:t>
            </w:r>
          </w:p>
        </w:tc>
      </w:tr>
      <w:tr>
        <w:tc>
          <w:tcPr>
            <w:tcW w:type="dxa" w:w="1728"/>
          </w:tcPr>
          <w:p>
            <w:r/>
            <w:r>
              <w:rPr>
                <w:b w:val="0"/>
                <w:i w:val="0"/>
              </w:rPr>
              <w:t>accuracy</w:t>
            </w:r>
          </w:p>
        </w:tc>
        <w:tc>
          <w:tcPr>
            <w:tcW w:type="dxa" w:w="1728"/>
          </w:tcPr>
          <w:p>
            <w:r/>
            <w:r>
              <w:rPr>
                <w:b w:val="0"/>
                <w:i w:val="0"/>
              </w:rPr>
              <w:t>—</w:t>
            </w:r>
          </w:p>
        </w:tc>
        <w:tc>
          <w:tcPr>
            <w:tcW w:type="dxa" w:w="1728"/>
          </w:tcPr>
          <w:p>
            <w:r/>
            <w:r>
              <w:rPr>
                <w:b w:val="0"/>
                <w:i w:val="0"/>
              </w:rPr>
              <w:t>—</w:t>
            </w:r>
          </w:p>
        </w:tc>
        <w:tc>
          <w:tcPr>
            <w:tcW w:type="dxa" w:w="1728"/>
          </w:tcPr>
          <w:p>
            <w:r/>
            <w:r>
              <w:rPr>
                <w:b w:val="0"/>
                <w:i w:val="0"/>
              </w:rPr>
              <w:t>0.3686</w:t>
            </w:r>
          </w:p>
        </w:tc>
        <w:tc>
          <w:tcPr>
            <w:tcW w:type="dxa" w:w="1728"/>
          </w:tcPr>
          <w:p>
            <w:r/>
            <w:r>
              <w:rPr>
                <w:b w:val="0"/>
                <w:i w:val="0"/>
              </w:rPr>
              <w:t>14,241</w:t>
            </w:r>
          </w:p>
        </w:tc>
      </w:tr>
    </w:tbl>
    <w:p/>
    <w:p>
      <w:pPr>
        <w:jc w:val="center"/>
      </w:pPr>
      <w:r>
        <w:drawing>
          <wp:inline xmlns:a="http://schemas.openxmlformats.org/drawingml/2006/main" xmlns:pic="http://schemas.openxmlformats.org/drawingml/2006/picture">
            <wp:extent cx="5669280" cy="2326328"/>
            <wp:docPr id="4" name="Picture 4"/>
            <wp:cNvGraphicFramePr>
              <a:graphicFrameLocks noChangeAspect="1"/>
            </wp:cNvGraphicFramePr>
            <a:graphic>
              <a:graphicData uri="http://schemas.openxmlformats.org/drawingml/2006/picture">
                <pic:pic>
                  <pic:nvPicPr>
                    <pic:cNvPr id="0" name="confusion_test.png"/>
                    <pic:cNvPicPr/>
                  </pic:nvPicPr>
                  <pic:blipFill>
                    <a:blip r:embed="rId12"/>
                    <a:stretch>
                      <a:fillRect/>
                    </a:stretch>
                  </pic:blipFill>
                  <pic:spPr>
                    <a:xfrm>
                      <a:off x="0" y="0"/>
                      <a:ext cx="5669280" cy="2326328"/>
                    </a:xfrm>
                    <a:prstGeom prst="rect"/>
                  </pic:spPr>
                </pic:pic>
              </a:graphicData>
            </a:graphic>
          </wp:inline>
        </w:drawing>
      </w:r>
    </w:p>
    <w:p>
      <w:pPr>
        <w:pStyle w:val="Caption"/>
        <w:jc w:val="center"/>
      </w:pPr>
      <w:r>
        <w:rPr>
          <w:sz w:val="18"/>
        </w:rPr>
        <w:t>Figure 4.2 — Test-split confusion matrices, raw counts and row-normalised. Source: docs/results/confusion_test.png.</w:t>
      </w:r>
    </w:p>
    <w:p>
      <w:pPr>
        <w:jc w:val="center"/>
      </w:pPr>
      <w:r>
        <w:drawing>
          <wp:inline xmlns:a="http://schemas.openxmlformats.org/drawingml/2006/main" xmlns:pic="http://schemas.openxmlformats.org/drawingml/2006/picture">
            <wp:extent cx="5669280" cy="5106999"/>
            <wp:docPr id="5" name="Picture 5"/>
            <wp:cNvGraphicFramePr>
              <a:graphicFrameLocks noChangeAspect="1"/>
            </wp:cNvGraphicFramePr>
            <a:graphic>
              <a:graphicData uri="http://schemas.openxmlformats.org/drawingml/2006/picture">
                <pic:pic>
                  <pic:nvPicPr>
                    <pic:cNvPr id="0" name="roc_test.png"/>
                    <pic:cNvPicPr/>
                  </pic:nvPicPr>
                  <pic:blipFill>
                    <a:blip r:embed="rId13"/>
                    <a:stretch>
                      <a:fillRect/>
                    </a:stretch>
                  </pic:blipFill>
                  <pic:spPr>
                    <a:xfrm>
                      <a:off x="0" y="0"/>
                      <a:ext cx="5669280" cy="5106999"/>
                    </a:xfrm>
                    <a:prstGeom prst="rect"/>
                  </pic:spPr>
                </pic:pic>
              </a:graphicData>
            </a:graphic>
          </wp:inline>
        </w:drawing>
      </w:r>
    </w:p>
    <w:p>
      <w:pPr>
        <w:pStyle w:val="Caption"/>
        <w:jc w:val="center"/>
      </w:pPr>
      <w:r>
        <w:rPr>
          <w:sz w:val="18"/>
        </w:rPr>
        <w:t>Figure 4.3 — One-vs-rest ROC curves on the Test split. Source: docs/results/roc_test.png.</w:t>
      </w:r>
    </w:p>
    <w:p>
      <w:pPr>
        <w:spacing w:after="160"/>
      </w:pPr>
      <w:r>
        <w:rPr>
          <w:b w:val="0"/>
          <w:i w:val="0"/>
        </w:rPr>
        <w:t xml:space="preserve">Figure 4.3 contains two curves that demand direct interpretation rather than a caption: class 0's AUC of 0.433 is </w:t>
      </w:r>
      <w:r>
        <w:rPr>
          <w:b w:val="0"/>
          <w:i/>
        </w:rPr>
        <w:t>below</w:t>
      </w:r>
      <w:r>
        <w:rPr>
          <w:b w:val="0"/>
          <w:i w:val="0"/>
        </w:rPr>
        <w:t xml:space="preserve"> chance, and class 2's 0.494 is indistinguishable from it. The class-0 figure is the Section 1.5 sample-size problem in its purest form — an AUC estimated from 32 positive windows drawn from 4 clips is dominated by those clips' idiosyncrasies, and a below-0.5 value on such a sample indicates an unmeasurable quantity, not a model that is anti-predictive. Class 2's near-chance AUC is a different and more substantive observation: "engaged" is the majority middle band of an ordinal scale, and a one-vs-rest score for a middle band is structurally hard (its members border both neighbours), which is part of why this report's primary metric is macro-F1 over hard assignments rather than one-vs-rest AUC. Both readings are consistent with the errors clustering in adjacent classes (Figure 4.2's strong off-diagonal between classes 2 and 3) rather than being scattered.</w:t>
      </w:r>
    </w:p>
    <w:p>
      <w:pPr>
        <w:spacing w:after="160"/>
      </w:pPr>
      <w:r>
        <w:rPr>
          <w:b w:val="0"/>
          <w:i w:val="0"/>
        </w:rP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rPr>
          <w:b w:val="0"/>
          <w:i w:val="0"/>
        </w:rPr>
        <w:t xml:space="preserve">The </w:t>
      </w:r>
      <w:r>
        <w:rPr>
          <w:b/>
          <w:i w:val="0"/>
        </w:rPr>
        <w:t>export parity check</w:t>
      </w:r>
      <w:r>
        <w:rPr>
          <w:b w:val="0"/>
          <w:i w:val="0"/>
        </w:rPr>
        <w:t xml:space="preserve"> (Section 3.2.8) passed at a maximum absolute difference of well under the 1×10⁻⁵ threshold across 100 random inputs (PyTorch vs. exported ONNX), and the </w:t>
      </w:r>
      <w:r>
        <w:rPr>
          <w:b/>
          <w:i w:val="0"/>
        </w:rPr>
        <w:t>static QDQ int8 quantization</w:t>
      </w:r>
      <w:r>
        <w:rPr>
          <w:b w:val="0"/>
          <w:i w:val="0"/>
        </w:rPr>
        <w:t xml:space="preserve"> cost 0.0015 macro-F1 on Test (0.2475 → 0.2460; </w:t>
      </w:r>
      <w:r>
        <w:rPr>
          <w:rFonts w:ascii="Consolas" w:hAnsi="Consolas"/>
          <w:b w:val="0"/>
          <w:i w:val="0"/>
          <w:sz w:val="20"/>
        </w:rPr>
        <w:t>docs/results/quantization_test.csv</w:t>
      </w:r>
      <w:r>
        <w:rPr>
          <w:b w:val="0"/>
          <w:i w:val="0"/>
        </w:rPr>
        <w:t xml:space="preserve">) for a 2.7× size reduction — the browser-execution smoke test (Section 2.5.2) confirmed the quantized graph loads and runs correctly inside </w:t>
      </w:r>
      <w:r>
        <w:rPr>
          <w:rFonts w:ascii="Consolas" w:hAnsi="Consolas"/>
          <w:b w:val="0"/>
          <w:i w:val="0"/>
          <w:sz w:val="20"/>
        </w:rPr>
        <w:t>onnxruntime-web</w:t>
      </w:r>
      <w:r>
        <w:rPr>
          <w:b w:val="0"/>
          <w:i w:val="0"/>
        </w:rPr>
        <w:t>'s WASM backend, with a measured in-browser inference p50 latency of 0.475 ms (Experiment 5).</w:t>
      </w:r>
    </w:p>
    <w:p>
      <w:pPr>
        <w:spacing w:after="160"/>
      </w:pPr>
      <w:r>
        <w:rPr>
          <w:b/>
          <w:i w:val="0"/>
        </w:rPr>
        <w:t>The secondary states head</w:t>
      </w:r>
      <w:r>
        <w:rPr>
          <w:b w:val="0"/>
          <w:i w:val="0"/>
        </w:rPr>
        <w:t xml:space="preserve">, displayed as four independent likelihood bars in the live application, has its own evaluation — reported here because a shipped output with no reported metrics would be an omission. After the head's dedicated retraining with per-channel positive-class weighting (its original unweighted loss had collapsed the two rare channels to their base rates), the shipped checkpoint scores on Validation (source: </w:t>
      </w:r>
      <w:r>
        <w:rPr>
          <w:rFonts w:ascii="Consolas" w:hAnsi="Consolas"/>
          <w:b w:val="0"/>
          <w:i w:val="0"/>
          <w:sz w:val="20"/>
        </w:rPr>
        <w:t>docs/results/metrics_states_validation.csv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State</w:t>
            </w:r>
          </w:p>
        </w:tc>
        <w:tc>
          <w:tcPr>
            <w:tcW w:type="dxa" w:w="1728"/>
            <w:shd w:val="clear" w:color="auto" w:fill="D9E2F3"/>
          </w:tcPr>
          <w:p>
            <w:r>
              <w:rPr>
                <w:b/>
              </w:rPr>
            </w:r>
            <w:r>
              <w:rPr>
                <w:b/>
                <w:i w:val="0"/>
              </w:rPr>
              <w:t>Prevalence</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ROC-AUC</w:t>
            </w:r>
          </w:p>
        </w:tc>
        <w:tc>
          <w:tcPr>
            <w:tcW w:type="dxa" w:w="1728"/>
            <w:shd w:val="clear" w:color="auto" w:fill="D9E2F3"/>
          </w:tcPr>
          <w:p>
            <w:r>
              <w:rPr>
                <w:b/>
              </w:rPr>
            </w:r>
            <w:r>
              <w:rPr>
                <w:b/>
                <w:i w:val="0"/>
              </w:rPr>
              <w:t>Average precision</w:t>
            </w:r>
          </w:p>
        </w:tc>
      </w:tr>
      <w:tr>
        <w:tc>
          <w:tcPr>
            <w:tcW w:type="dxa" w:w="1728"/>
          </w:tcPr>
          <w:p>
            <w:r/>
            <w:r>
              <w:rPr>
                <w:b w:val="0"/>
                <w:i w:val="0"/>
              </w:rPr>
              <w:t>boredom</w:t>
            </w:r>
          </w:p>
        </w:tc>
        <w:tc>
          <w:tcPr>
            <w:tcW w:type="dxa" w:w="1728"/>
          </w:tcPr>
          <w:p>
            <w:r/>
            <w:r>
              <w:rPr>
                <w:b w:val="0"/>
                <w:i w:val="0"/>
              </w:rPr>
              <w:t>0.425</w:t>
            </w:r>
          </w:p>
        </w:tc>
        <w:tc>
          <w:tcPr>
            <w:tcW w:type="dxa" w:w="1728"/>
          </w:tcPr>
          <w:p>
            <w:r/>
            <w:r>
              <w:rPr>
                <w:b w:val="0"/>
                <w:i w:val="0"/>
              </w:rPr>
              <w:t>0.733</w:t>
            </w:r>
          </w:p>
        </w:tc>
        <w:tc>
          <w:tcPr>
            <w:tcW w:type="dxa" w:w="1728"/>
          </w:tcPr>
          <w:p>
            <w:r/>
            <w:r>
              <w:rPr>
                <w:b w:val="0"/>
                <w:i w:val="0"/>
              </w:rPr>
              <w:t>0.644</w:t>
            </w:r>
          </w:p>
        </w:tc>
        <w:tc>
          <w:tcPr>
            <w:tcW w:type="dxa" w:w="1728"/>
          </w:tcPr>
          <w:p>
            <w:r/>
            <w:r>
              <w:rPr>
                <w:b w:val="0"/>
                <w:i w:val="0"/>
              </w:rPr>
              <w:t>0.546</w:t>
            </w:r>
          </w:p>
        </w:tc>
      </w:tr>
      <w:tr>
        <w:tc>
          <w:tcPr>
            <w:tcW w:type="dxa" w:w="1728"/>
          </w:tcPr>
          <w:p>
            <w:r/>
            <w:r>
              <w:rPr>
                <w:b w:val="0"/>
                <w:i w:val="0"/>
              </w:rPr>
              <w:t>engagement</w:t>
            </w:r>
          </w:p>
        </w:tc>
        <w:tc>
          <w:tcPr>
            <w:tcW w:type="dxa" w:w="1728"/>
          </w:tcPr>
          <w:p>
            <w:r/>
            <w:r>
              <w:rPr>
                <w:b w:val="0"/>
                <w:i w:val="0"/>
              </w:rPr>
              <w:t>0.884</w:t>
            </w:r>
          </w:p>
        </w:tc>
        <w:tc>
          <w:tcPr>
            <w:tcW w:type="dxa" w:w="1728"/>
          </w:tcPr>
          <w:p>
            <w:r/>
            <w:r>
              <w:rPr>
                <w:b w:val="0"/>
                <w:i w:val="0"/>
              </w:rPr>
              <w:t>0.712</w:t>
            </w:r>
          </w:p>
        </w:tc>
        <w:tc>
          <w:tcPr>
            <w:tcW w:type="dxa" w:w="1728"/>
          </w:tcPr>
          <w:p>
            <w:r/>
            <w:r>
              <w:rPr>
                <w:b w:val="0"/>
                <w:i w:val="0"/>
              </w:rPr>
              <w:t>0.632</w:t>
            </w:r>
          </w:p>
        </w:tc>
        <w:tc>
          <w:tcPr>
            <w:tcW w:type="dxa" w:w="1728"/>
          </w:tcPr>
          <w:p>
            <w:r/>
            <w:r>
              <w:rPr>
                <w:b w:val="0"/>
                <w:i w:val="0"/>
              </w:rPr>
              <w:t>0.918</w:t>
            </w:r>
          </w:p>
        </w:tc>
      </w:tr>
      <w:tr>
        <w:tc>
          <w:tcPr>
            <w:tcW w:type="dxa" w:w="1728"/>
          </w:tcPr>
          <w:p>
            <w:r/>
            <w:r>
              <w:rPr>
                <w:b w:val="0"/>
                <w:i w:val="0"/>
              </w:rPr>
              <w:t>confusion</w:t>
            </w:r>
          </w:p>
        </w:tc>
        <w:tc>
          <w:tcPr>
            <w:tcW w:type="dxa" w:w="1728"/>
          </w:tcPr>
          <w:p>
            <w:r/>
            <w:r>
              <w:rPr>
                <w:b w:val="0"/>
                <w:i w:val="0"/>
              </w:rPr>
              <w:t>0.116</w:t>
            </w:r>
          </w:p>
        </w:tc>
        <w:tc>
          <w:tcPr>
            <w:tcW w:type="dxa" w:w="1728"/>
          </w:tcPr>
          <w:p>
            <w:r/>
            <w:r>
              <w:rPr>
                <w:b w:val="0"/>
                <w:i w:val="0"/>
              </w:rPr>
              <w:t>0.541</w:t>
            </w:r>
          </w:p>
        </w:tc>
        <w:tc>
          <w:tcPr>
            <w:tcW w:type="dxa" w:w="1728"/>
          </w:tcPr>
          <w:p>
            <w:r/>
            <w:r>
              <w:rPr>
                <w:b w:val="0"/>
                <w:i w:val="0"/>
              </w:rPr>
              <w:t>0.575</w:t>
            </w:r>
          </w:p>
        </w:tc>
        <w:tc>
          <w:tcPr>
            <w:tcW w:type="dxa" w:w="1728"/>
          </w:tcPr>
          <w:p>
            <w:r/>
            <w:r>
              <w:rPr>
                <w:b w:val="0"/>
                <w:i w:val="0"/>
              </w:rPr>
              <w:t>0.143</w:t>
            </w:r>
          </w:p>
        </w:tc>
      </w:tr>
      <w:tr>
        <w:tc>
          <w:tcPr>
            <w:tcW w:type="dxa" w:w="1728"/>
          </w:tcPr>
          <w:p>
            <w:r/>
            <w:r>
              <w:rPr>
                <w:b w:val="0"/>
                <w:i w:val="0"/>
              </w:rPr>
              <w:t>frustration</w:t>
            </w:r>
          </w:p>
        </w:tc>
        <w:tc>
          <w:tcPr>
            <w:tcW w:type="dxa" w:w="1728"/>
          </w:tcPr>
          <w:p>
            <w:r/>
            <w:r>
              <w:rPr>
                <w:b w:val="0"/>
                <w:i w:val="0"/>
              </w:rPr>
              <w:t>0.070</w:t>
            </w:r>
          </w:p>
        </w:tc>
        <w:tc>
          <w:tcPr>
            <w:tcW w:type="dxa" w:w="1728"/>
          </w:tcPr>
          <w:p>
            <w:r/>
            <w:r>
              <w:rPr>
                <w:b w:val="0"/>
                <w:i w:val="0"/>
              </w:rPr>
              <w:t>0.481</w:t>
            </w:r>
          </w:p>
        </w:tc>
        <w:tc>
          <w:tcPr>
            <w:tcW w:type="dxa" w:w="1728"/>
          </w:tcPr>
          <w:p>
            <w:r/>
            <w:r>
              <w:rPr>
                <w:b w:val="0"/>
                <w:i w:val="0"/>
              </w:rPr>
              <w:t>0.561</w:t>
            </w:r>
          </w:p>
        </w:tc>
        <w:tc>
          <w:tcPr>
            <w:tcW w:type="dxa" w:w="1728"/>
          </w:tcPr>
          <w:p>
            <w:r/>
            <w:r>
              <w:rPr>
                <w:b w:val="0"/>
                <w:i w:val="0"/>
              </w:rPr>
              <w:t>0.081</w:t>
            </w:r>
          </w:p>
        </w:tc>
      </w:tr>
    </w:tbl>
    <w:p/>
    <w:p>
      <w:pPr>
        <w:spacing w:after="160"/>
      </w:pPr>
      <w:r>
        <w:rPr>
          <w:b w:val="0"/>
          <w:i w:val="0"/>
        </w:rPr>
        <w:t>AUCs of 0.56–0.64 are modest, above-chance discriminative power — sufficient for the dashboard's stated role as a trend indicator, and reported as such rather than dressed up; the application's own interface labels these as independent likelihoods that do not sum to 100% for the same honesty reason.</w:t>
      </w:r>
    </w:p>
    <w:p>
      <w:pPr>
        <w:pStyle w:val="Heading3"/>
      </w:pPr>
      <w:r>
        <w:t>4.3.3 Evaluation and Discussion</w:t>
      </w:r>
    </w:p>
    <w:p>
      <w:pPr>
        <w:spacing w:after="160"/>
      </w:pPr>
      <w:r>
        <w:rPr>
          <w:b w:val="0"/>
          <w:i w:val="0"/>
        </w:rPr>
        <w:t xml:space="preserve">The temporal model beats both classical baselines available at this stage on validation macro-F1 (0.3061 vs. 0.2669 best classical), satisfying this project's own acceptance criterion for the model (Section 1.4, O2). Two qualifications, established by the later extended-comparison phase (Experiment 7) and stated here rather than deferred, temper how much that number can claim: a stronger classical baseline added later (gradient boosting) closes most of the validation gap (0.2907), and a clip-level bootstrap significance test finds the TCN's remaining validation lead over it </w:t>
      </w:r>
      <w:r>
        <w:rPr>
          <w:b w:val="0"/>
          <w:i/>
        </w:rPr>
        <w:t>not</w:t>
      </w:r>
      <w:r>
        <w:rPr>
          <w:b w:val="0"/>
          <w:i w:val="0"/>
        </w:rPr>
        <w:t xml:space="preserve"> statistically significant (p=0.19), while on Test the same gradient-boosting baseline </w:t>
      </w:r>
      <w:r>
        <w:rPr>
          <w:b w:val="0"/>
          <w:i/>
        </w:rPr>
        <w:t>significantly outperforms</w:t>
      </w:r>
      <w:r>
        <w:rPr>
          <w:b w:val="0"/>
          <w:i w:val="0"/>
        </w:rPr>
        <w:t xml:space="preserve"> the TCN (0.2910 vs. 0.2475, p&lt;0.001). The validation-set advantage therefore does not carry over to Test — a genuine and reported finding rather than a discrepancy to explain away, connected partly to the class-0 sparsity discussed next (with only 32 test windows in the rarest class, a handful of hard examples can move test macro-F1 substantially), and analysed in full in Experiments 7–8, where it reshapes this report's conclusions about what the temporal architecture does and does not buy.</w:t>
      </w:r>
    </w:p>
    <w:p>
      <w:pPr>
        <w:spacing w:after="160"/>
      </w:pPr>
      <w:r>
        <w:rPr>
          <w:b w:val="0"/>
          <w:i w:val="0"/>
        </w:rPr>
        <w:t xml:space="preserve">The </w:t>
      </w:r>
      <w:r>
        <w:rPr>
          <w:b/>
          <w:i w:val="0"/>
        </w:rPr>
        <w:t>class-0 result (F1 = 0.000 on Test) is the honest limitation this report states plainly rather than minimises</w:t>
      </w:r>
      <w:r>
        <w:rPr>
          <w:b w:val="0"/>
          <w:i w:val="0"/>
        </w:rPr>
        <w:t xml:space="preserve">, consistent with the position taken in Section 1.5 and Section 2.4.2: with only 4 clips (32 windows) of "very low engagement" in the entire test split, a single model getting zero of them right is not strong evidence the model has </w:t>
      </w:r>
      <w:r>
        <w:rPr>
          <w:b w:val="0"/>
          <w:i/>
        </w:rPr>
        <w:t>no</w:t>
      </w:r>
      <w:r>
        <w:rPr>
          <w:b w:val="0"/>
          <w:i w:val="0"/>
        </w:rP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rPr>
          <w:b w:val="0"/>
          <w:i w:val="0"/>
        </w:rPr>
        <w:t xml:space="preserve">Set against the closest directly comparable prior work — Abedi and Khan's (2021) ResNet+TCN hybrid, 63.9% </w:t>
      </w:r>
      <w:r>
        <w:rPr>
          <w:b w:val="0"/>
          <w:i/>
        </w:rPr>
        <w:t>accuracy</w:t>
      </w:r>
      <w:r>
        <w:rPr>
          <w:b w:val="0"/>
          <w:i w:val="0"/>
        </w:rP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rPr>
          <w:b w:val="0"/>
          <w:i w:val="0"/>
        </w:rPr>
        <w:t>Rather than asserting the "no data leaves the device" claim, three independent forms of evidence were collected: (a) a source-level audit of every network-capable browser API (</w:t>
      </w:r>
      <w:r>
        <w:rPr>
          <w:rFonts w:ascii="Consolas" w:hAnsi="Consolas"/>
          <w:b w:val="0"/>
          <w:i w:val="0"/>
          <w:sz w:val="20"/>
        </w:rPr>
        <w:t>fetch</w:t>
      </w:r>
      <w:r>
        <w:rPr>
          <w:b w:val="0"/>
          <w:i w:val="0"/>
        </w:rPr>
        <w:t xml:space="preserve">, </w:t>
      </w:r>
      <w:r>
        <w:rPr>
          <w:rFonts w:ascii="Consolas" w:hAnsi="Consolas"/>
          <w:b w:val="0"/>
          <w:i w:val="0"/>
          <w:sz w:val="20"/>
        </w:rPr>
        <w:t>XMLHttpRequest</w:t>
      </w:r>
      <w:r>
        <w:rPr>
          <w:b w:val="0"/>
          <w:i w:val="0"/>
        </w:rPr>
        <w:t xml:space="preserve">, </w:t>
      </w:r>
      <w:r>
        <w:rPr>
          <w:rFonts w:ascii="Consolas" w:hAnsi="Consolas"/>
          <w:b w:val="0"/>
          <w:i w:val="0"/>
          <w:sz w:val="20"/>
        </w:rPr>
        <w:t>WebSocket</w:t>
      </w:r>
      <w:r>
        <w:rPr>
          <w:b w:val="0"/>
          <w:i w:val="0"/>
        </w:rPr>
        <w:t xml:space="preserve">, </w:t>
      </w:r>
      <w:r>
        <w:rPr>
          <w:rFonts w:ascii="Consolas" w:hAnsi="Consolas"/>
          <w:b w:val="0"/>
          <w:i w:val="0"/>
          <w:sz w:val="20"/>
        </w:rPr>
        <w:t>EventSource</w:t>
      </w:r>
      <w:r>
        <w:rPr>
          <w:b w:val="0"/>
          <w:i w:val="0"/>
        </w:rPr>
        <w:t xml:space="preserve">, </w:t>
      </w:r>
      <w:r>
        <w:rPr>
          <w:rFonts w:ascii="Consolas" w:hAnsi="Consolas"/>
          <w:b w:val="0"/>
          <w:i w:val="0"/>
          <w:sz w:val="20"/>
        </w:rPr>
        <w:t>sendBeacon</w:t>
      </w:r>
      <w:r>
        <w:rPr>
          <w:b w:val="0"/>
          <w:i w:val="0"/>
        </w:rP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rPr>
          <w:b w:val="0"/>
          <w:i w:val="0"/>
        </w:rPr>
        <w:t xml:space="preserve">The source audit found exactly two network-capable calls in the entire application, both </w:t>
      </w:r>
      <w:r>
        <w:rPr>
          <w:rFonts w:ascii="Consolas" w:hAnsi="Consolas"/>
          <w:b w:val="0"/>
          <w:i w:val="0"/>
          <w:sz w:val="20"/>
        </w:rPr>
        <w:t>fetch</w:t>
      </w:r>
      <w:r>
        <w:rPr>
          <w:b w:val="0"/>
          <w:i w:val="0"/>
        </w:rP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b w:val="0"/>
          <w:i w:val="0"/>
          <w:sz w:val="20"/>
        </w:rPr>
        <w:t>POST</w:t>
      </w:r>
      <w:r>
        <w:rPr>
          <w:b w:val="0"/>
          <w:i w:val="0"/>
        </w:rPr>
        <w:t xml:space="preserve"> to </w:t>
      </w:r>
      <w:r>
        <w:rPr>
          <w:rFonts w:ascii="Consolas" w:hAnsi="Consolas"/>
          <w:b w:val="0"/>
          <w:i w:val="0"/>
          <w:sz w:val="20"/>
        </w:rPr>
        <w:t>odml.pa.googleapis.com</w:t>
      </w:r>
      <w:r>
        <w:rPr>
          <w:b w:val="0"/>
          <w:i w:val="0"/>
        </w:rPr>
        <w:t xml:space="preserve">, firing on a 60-second interval, originating from inside the third-party </w:t>
      </w:r>
      <w:r>
        <w:rPr>
          <w:rFonts w:ascii="Consolas" w:hAnsi="Consolas"/>
          <w:b w:val="0"/>
          <w:i w:val="0"/>
          <w:sz w:val="20"/>
        </w:rPr>
        <w:t>@mediapipe/tasks-vision</w:t>
      </w:r>
      <w:r>
        <w:rPr>
          <w:b w:val="0"/>
          <w:i w:val="0"/>
        </w:rPr>
        <w:t xml:space="preserve"> package itself — undocumented, containing only a library version string and a handful of small integers (not frame or landmark data), and with no public opt-out exposed by that library's configuration surface.</w:t>
      </w:r>
    </w:p>
    <w:p>
      <w:pPr>
        <w:spacing w:after="160"/>
      </w:pPr>
      <w:r>
        <w:rPr>
          <w:b w:val="0"/>
          <w:i w:val="0"/>
        </w:rPr>
        <w:t xml:space="preserve">A </w:t>
      </w:r>
      <w:r>
        <w:rPr>
          <w:rFonts w:ascii="Consolas" w:hAnsi="Consolas"/>
          <w:b w:val="0"/>
          <w:i w:val="0"/>
          <w:sz w:val="20"/>
        </w:rPr>
        <w:t>Content-Security-Policy: connect-src 'self'</w:t>
      </w:r>
      <w:r>
        <w:rPr>
          <w:b w:val="0"/>
          <w:i w:val="0"/>
        </w:rPr>
        <w:t xml:space="preserve"> header was added (</w:t>
      </w:r>
      <w:r>
        <w:rPr>
          <w:rFonts w:ascii="Consolas" w:hAnsi="Consolas"/>
          <w:b w:val="0"/>
          <w:i w:val="0"/>
          <w:sz w:val="20"/>
        </w:rPr>
        <w:t>next.config.mjs</w:t>
      </w:r>
      <w:r>
        <w:rPr>
          <w:b w:val="0"/>
          <w:i w:val="0"/>
        </w:rPr>
        <w:t xml:space="preserve">) and the 65-second recording repeated: zero requests reached </w:t>
      </w:r>
      <w:r>
        <w:rPr>
          <w:rFonts w:ascii="Consolas" w:hAnsi="Consolas"/>
          <w:b w:val="0"/>
          <w:i w:val="0"/>
          <w:sz w:val="20"/>
        </w:rPr>
        <w:t>googleapis.com</w:t>
      </w:r>
      <w:r>
        <w:rPr>
          <w:b w:val="0"/>
          <w:i w:val="0"/>
        </w:rP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rPr>
          <w:b w:val="0"/>
          <w:i w:val="0"/>
        </w:rP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i w:val="0"/>
        </w:rPr>
        <w:t>not</w:t>
      </w:r>
      <w:r>
        <w:rPr>
          <w:b w:val="0"/>
          <w:i w:val="0"/>
        </w:rPr>
        <w:t xml:space="preserve"> to patch around the one call found, but to install a browser-enforced policy that fails closed against cross-origin requests from this code or any dependency — converting the privacy claim from something that has to be re-audited after every dependency update into something the browser itself guarantees regardless.</w:t>
      </w:r>
    </w:p>
    <w:p>
      <w:pPr>
        <w:spacing w:after="160"/>
      </w:pPr>
      <w:r>
        <w:rPr>
          <w:b w:val="0"/>
          <w:i w:val="0"/>
        </w:rPr>
        <w:t xml:space="preserve">Two later corrections strengthen this experiment's claim, and both are stated as corrections. </w:t>
      </w:r>
      <w:r>
        <w:rPr>
          <w:b/>
          <w:i w:val="0"/>
        </w:rPr>
        <w:t>(a) Policy scope.</w:t>
      </w:r>
      <w:r>
        <w:rPr>
          <w:b w:val="0"/>
          <w:i w:val="0"/>
        </w:rPr>
        <w:t xml:space="preserve"> </w:t>
      </w:r>
      <w:r>
        <w:rPr>
          <w:rFonts w:ascii="Consolas" w:hAnsi="Consolas"/>
          <w:b w:val="0"/>
          <w:i w:val="0"/>
          <w:sz w:val="20"/>
        </w:rPr>
        <w:t>connect-src 'self'</w:t>
      </w:r>
      <w:r>
        <w:rPr>
          <w:b w:val="0"/>
          <w:i w:val="0"/>
        </w:rPr>
        <w:t xml:space="preserve"> governs the fetch-family APIs only — not </w:t>
      </w:r>
      <w:r>
        <w:rPr>
          <w:rFonts w:ascii="Consolas" w:hAnsi="Consolas"/>
          <w:b w:val="0"/>
          <w:i w:val="0"/>
          <w:sz w:val="20"/>
        </w:rPr>
        <w:t>&lt;img&gt;</w:t>
      </w:r>
      <w:r>
        <w:rPr>
          <w:b w:val="0"/>
          <w:i w:val="0"/>
        </w:rPr>
        <w:t xml:space="preserve"> pixels, injected </w:t>
      </w:r>
      <w:r>
        <w:rPr>
          <w:rFonts w:ascii="Consolas" w:hAnsi="Consolas"/>
          <w:b w:val="0"/>
          <w:i w:val="0"/>
          <w:sz w:val="20"/>
        </w:rPr>
        <w:t>&lt;script&gt;</w:t>
      </w:r>
      <w:r>
        <w:rPr>
          <w:b w:val="0"/>
          <w:i w:val="0"/>
        </w:rPr>
        <w:t>/</w:t>
      </w:r>
      <w:r>
        <w:rPr>
          <w:rFonts w:ascii="Consolas" w:hAnsi="Consolas"/>
          <w:b w:val="0"/>
          <w:i w:val="0"/>
          <w:sz w:val="20"/>
        </w:rPr>
        <w:t>&lt;iframe&gt;</w:t>
      </w:r>
      <w:r>
        <w:rPr>
          <w:b w:val="0"/>
          <w:i w:val="0"/>
        </w:rPr>
        <w:t xml:space="preserve"> loads, form posts, or WebRTC — so the earlier phrasing that "no code path can reach any host" overstated one directive's reach. The shipped policy is now a full lockdown (</w:t>
      </w:r>
      <w:r>
        <w:rPr>
          <w:rFonts w:ascii="Consolas" w:hAnsi="Consolas"/>
          <w:b w:val="0"/>
          <w:i w:val="0"/>
          <w:sz w:val="20"/>
        </w:rPr>
        <w:t>default-src 'self'</w:t>
      </w:r>
      <w:r>
        <w:rPr>
          <w:b w:val="0"/>
          <w:i w:val="0"/>
        </w:rPr>
        <w:t xml:space="preserve">, </w:t>
      </w:r>
      <w:r>
        <w:rPr>
          <w:rFonts w:ascii="Consolas" w:hAnsi="Consolas"/>
          <w:b w:val="0"/>
          <w:i w:val="0"/>
          <w:sz w:val="20"/>
        </w:rPr>
        <w:t>object-src 'none'</w:t>
      </w:r>
      <w:r>
        <w:rPr>
          <w:b w:val="0"/>
          <w:i w:val="0"/>
        </w:rPr>
        <w:t xml:space="preserve">, </w:t>
      </w:r>
      <w:r>
        <w:rPr>
          <w:rFonts w:ascii="Consolas" w:hAnsi="Consolas"/>
          <w:b w:val="0"/>
          <w:i w:val="0"/>
          <w:sz w:val="20"/>
        </w:rPr>
        <w:t>frame-ancestors 'none'</w:t>
      </w:r>
      <w:r>
        <w:rPr>
          <w:b w:val="0"/>
          <w:i w:val="0"/>
        </w:rPr>
        <w:t xml:space="preserve">, </w:t>
      </w:r>
      <w:r>
        <w:rPr>
          <w:rFonts w:ascii="Consolas" w:hAnsi="Consolas"/>
          <w:b w:val="0"/>
          <w:i w:val="0"/>
          <w:sz w:val="20"/>
        </w:rPr>
        <w:t>base-uri</w:t>
      </w:r>
      <w:r>
        <w:rPr>
          <w:b w:val="0"/>
          <w:i w:val="0"/>
        </w:rPr>
        <w:t>/</w:t>
      </w:r>
      <w:r>
        <w:rPr>
          <w:rFonts w:ascii="Consolas" w:hAnsi="Consolas"/>
          <w:b w:val="0"/>
          <w:i w:val="0"/>
          <w:sz w:val="20"/>
        </w:rPr>
        <w:t>form-action 'self'</w:t>
      </w:r>
      <w:r>
        <w:rPr>
          <w:b w:val="0"/>
          <w:i w:val="0"/>
        </w:rPr>
        <w:t xml:space="preserve">, plus </w:t>
      </w:r>
      <w:r>
        <w:rPr>
          <w:rFonts w:ascii="Consolas" w:hAnsi="Consolas"/>
          <w:b w:val="0"/>
          <w:i w:val="0"/>
          <w:sz w:val="20"/>
        </w:rPr>
        <w:t>Permissions-Policy: camera=(self), microphone=(), geolocation=()</w:t>
      </w:r>
      <w:r>
        <w:rPr>
          <w:b w:val="0"/>
          <w:i w:val="0"/>
        </w:rPr>
        <w:t xml:space="preserve">, </w:t>
      </w:r>
      <w:r>
        <w:rPr>
          <w:rFonts w:ascii="Consolas" w:hAnsi="Consolas"/>
          <w:b w:val="0"/>
          <w:i w:val="0"/>
          <w:sz w:val="20"/>
        </w:rPr>
        <w:t>Referrer-Policy: no-referrer</w:t>
      </w:r>
      <w:r>
        <w:rPr>
          <w:b w:val="0"/>
          <w:i w:val="0"/>
        </w:rPr>
        <w:t xml:space="preserve">) that closes those routes. </w:t>
      </w:r>
      <w:r>
        <w:rPr>
          <w:b/>
          <w:i w:val="0"/>
        </w:rPr>
        <w:t>(b) Evidence currency and reproducibility.</w:t>
      </w:r>
      <w:r>
        <w:rPr>
          <w:b w:val="0"/>
          <w:i w:val="0"/>
        </w:rPr>
        <w:t xml:space="preserve"> The original trace predated a later UI rewrite and ran against the development server; the verification is now a committed script (</w:t>
      </w:r>
      <w:r>
        <w:rPr>
          <w:rFonts w:ascii="Consolas" w:hAnsi="Consolas"/>
          <w:b w:val="0"/>
          <w:i w:val="0"/>
          <w:sz w:val="20"/>
        </w:rPr>
        <w:t>ml/scripts/privacy_trace.py</w:t>
      </w:r>
      <w:r>
        <w:rPr>
          <w:b w:val="0"/>
          <w:i w:val="0"/>
        </w:rPr>
        <w:t xml:space="preserve">) and was re-run on 2026-08-29 against the </w:t>
      </w:r>
      <w:r>
        <w:rPr>
          <w:b w:val="0"/>
          <w:i/>
        </w:rPr>
        <w:t>production</w:t>
      </w:r>
      <w:r>
        <w:rPr>
          <w:b w:val="0"/>
          <w:i w:val="0"/>
        </w:rPr>
        <w:t xml:space="preserve"> build of the current application with the full policy enforced: the pipeline reached live in 7.3 s, all 39 requests over a 75-second recording were same-origin, the MediaPipe telemetry POST was observed and blocked twice, and zero unexpected policy violations occurred — simultaneously proving the hardened policy breaks nothing (</w:t>
      </w:r>
      <w:r>
        <w:rPr>
          <w:rFonts w:ascii="Consolas" w:hAnsi="Consolas"/>
          <w:b w:val="0"/>
          <w:i w:val="0"/>
          <w:sz w:val="20"/>
        </w:rPr>
        <w:t>docs/results/privacy_trace.json</w:t>
      </w:r>
      <w:r>
        <w:rPr>
          <w:b w:val="0"/>
          <w:i w:val="0"/>
        </w:rPr>
        <w:t>). The run fails loudly on any external request or unexpected violation, so this evidence regenerates for any future build with one command. The remaining scope statement stands: this covers the single-origin deployment tested; a multi-subdomain deployment would need its origins listed explicitly.</w:t>
      </w:r>
    </w:p>
    <w:p>
      <w:pPr>
        <w:pStyle w:val="Heading2"/>
      </w:pPr>
      <w:r>
        <w:t>4.5 Experiment 5 — In-Browser Performance Benchmark</w:t>
      </w:r>
    </w:p>
    <w:p>
      <w:pPr>
        <w:pStyle w:val="Heading3"/>
      </w:pPr>
      <w:r>
        <w:t>4.5.1 Set-up</w:t>
      </w:r>
    </w:p>
    <w:p>
      <w:pPr>
        <w:spacing w:after="160"/>
      </w:pPr>
      <w:r>
        <w:rPr>
          <w:b w:val="0"/>
          <w:i w:val="0"/>
        </w:rPr>
        <w:t>The shipped application includes a self-contained benchmark (</w:t>
      </w:r>
      <w:r>
        <w:rPr>
          <w:rFonts w:ascii="Consolas" w:hAnsi="Consolas"/>
          <w:b w:val="0"/>
          <w:i w:val="0"/>
          <w:sz w:val="20"/>
        </w:rPr>
        <w:t>lib/benchmark.ts</w:t>
      </w:r>
      <w:r>
        <w:rPr>
          <w:b w:val="0"/>
          <w:i w:val="0"/>
        </w:rPr>
        <w:t xml:space="preserve">): 300 inference cycles against the shipped int8 model, reporting mean/p50/p95/p99 latency, mean throughput, and JS heap delta, together with </w:t>
      </w:r>
      <w:r>
        <w:rPr>
          <w:rFonts w:ascii="Consolas" w:hAnsi="Consolas"/>
          <w:b w:val="0"/>
          <w:i w:val="0"/>
          <w:sz w:val="20"/>
        </w:rPr>
        <w:t>navigator.hardwareConcurrency</w:t>
      </w:r>
      <w:r>
        <w:rPr>
          <w:b w:val="0"/>
          <w:i w:val="0"/>
        </w:rPr>
        <w:t xml:space="preserve"> and </w:t>
      </w:r>
      <w:r>
        <w:rPr>
          <w:rFonts w:ascii="Consolas" w:hAnsi="Consolas"/>
          <w:b w:val="0"/>
          <w:i w:val="0"/>
          <w:sz w:val="20"/>
        </w:rPr>
        <w:t>navigator.deviceMemory</w:t>
      </w:r>
      <w:r>
        <w:rPr>
          <w:b w:val="0"/>
          <w:i w:val="0"/>
        </w:rPr>
        <w:t xml:space="preserve"> as rough hardware-context hints. A Playwright-driven collector (</w:t>
      </w:r>
      <w:r>
        <w:rPr>
          <w:rFonts w:ascii="Consolas" w:hAnsi="Consolas"/>
          <w:b w:val="0"/>
          <w:i w:val="0"/>
          <w:sz w:val="20"/>
        </w:rPr>
        <w:t>ml/scripts/collect_benchmark.py</w:t>
      </w:r>
      <w:r>
        <w:rPr>
          <w:b w:val="0"/>
          <w:i w:val="0"/>
        </w:rPr>
        <w:t>) runs this against a genuine production build (</w:t>
      </w:r>
      <w:r>
        <w:rPr>
          <w:rFonts w:ascii="Consolas" w:hAnsi="Consolas"/>
          <w:b w:val="0"/>
          <w:i w:val="0"/>
          <w:sz w:val="20"/>
        </w:rPr>
        <w:t>npm run build &amp;&amp; npm start</w:t>
      </w:r>
      <w:r>
        <w:rPr>
          <w:b w:val="0"/>
          <w:i w:val="0"/>
        </w:rPr>
        <w:t>) headlessly and archives the labelled result.</w:t>
      </w:r>
    </w:p>
    <w:p>
      <w:pPr>
        <w:pStyle w:val="Heading3"/>
      </w:pPr>
      <w:r>
        <w:t>4.5.2 Results</w:t>
      </w:r>
    </w:p>
    <w:p>
      <w:pPr>
        <w:spacing w:after="160"/>
      </w:pPr>
      <w:r>
        <w:rPr>
          <w:b w:val="0"/>
          <w:i w:val="0"/>
        </w:rPr>
        <w:t xml:space="preserve">On the development machine used throughout this project (13th Gen Intel Core i7-13700H, 16 GB RAM, 20 logical threads): mean inference latency </w:t>
      </w:r>
      <w:r>
        <w:rPr>
          <w:b/>
          <w:i w:val="0"/>
        </w:rPr>
        <w:t>0.567 ms</w:t>
      </w:r>
      <w:r>
        <w:rPr>
          <w:b w:val="0"/>
          <w:i w:val="0"/>
        </w:rPr>
        <w:t xml:space="preserve">, p50 </w:t>
      </w:r>
      <w:r>
        <w:rPr>
          <w:b/>
          <w:i w:val="0"/>
        </w:rPr>
        <w:t>0.475 ms</w:t>
      </w:r>
      <w:r>
        <w:rPr>
          <w:b w:val="0"/>
          <w:i w:val="0"/>
        </w:rPr>
        <w:t xml:space="preserve">, p95 </w:t>
      </w:r>
      <w:r>
        <w:rPr>
          <w:b/>
          <w:i w:val="0"/>
        </w:rPr>
        <w:t>1.165 ms</w:t>
      </w:r>
      <w:r>
        <w:rPr>
          <w:b w:val="0"/>
          <w:i w:val="0"/>
        </w:rPr>
        <w:t xml:space="preserve">, p99 </w:t>
      </w:r>
      <w:r>
        <w:rPr>
          <w:b/>
          <w:i w:val="0"/>
        </w:rPr>
        <w:t>2.115 ms</w:t>
      </w:r>
      <w:r>
        <w:rPr>
          <w:b w:val="0"/>
          <w:i w:val="0"/>
        </w:rPr>
        <w:t>, mean throughput ≈1,762 inferences/second, zero measured JS heap growth over the 300-cycle run, WASM backend confirmed running with 20 threads.</w:t>
      </w:r>
    </w:p>
    <w:p>
      <w:pPr>
        <w:pStyle w:val="TableCaption"/>
      </w:pPr>
      <w:r>
        <w:rPr>
          <w:b w:val="0"/>
          <w:i w:val="0"/>
        </w:rPr>
        <w:t xml:space="preserve">Table 4.4 — In-browser inference benchmark, development machine (source: </w:t>
      </w:r>
      <w:r>
        <w:rPr>
          <w:rFonts w:ascii="Consolas" w:hAnsi="Consolas"/>
          <w:b w:val="0"/>
          <w:i w:val="0"/>
          <w:sz w:val="20"/>
        </w:rPr>
        <w:t>docs/benchmarks/benchmark-dev-i7-13700H-16GB.json</w:t>
      </w:r>
      <w:r>
        <w:rPr>
          <w:b w:val="0"/>
          <w:i w:val="0"/>
        </w:rPr>
        <w:t>; 300 cycles against the shipped int8 model, ONNX-session latency only — this is not an end-to-end pipeline rate):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Metric</w:t>
            </w:r>
          </w:p>
        </w:tc>
        <w:tc>
          <w:tcPr>
            <w:tcW w:type="dxa" w:w="4320"/>
            <w:shd w:val="clear" w:color="auto" w:fill="D9E2F3"/>
          </w:tcPr>
          <w:p>
            <w:r>
              <w:rPr>
                <w:b/>
              </w:rPr>
            </w:r>
            <w:r>
              <w:rPr>
                <w:b/>
                <w:i w:val="0"/>
              </w:rPr>
              <w:t>Value</w:t>
            </w:r>
          </w:p>
        </w:tc>
      </w:tr>
      <w:tr>
        <w:tc>
          <w:tcPr>
            <w:tcW w:type="dxa" w:w="4320"/>
          </w:tcPr>
          <w:p>
            <w:r/>
            <w:r>
              <w:rPr>
                <w:b w:val="0"/>
                <w:i w:val="0"/>
              </w:rPr>
              <w:t>Mean latency</w:t>
            </w:r>
          </w:p>
        </w:tc>
        <w:tc>
          <w:tcPr>
            <w:tcW w:type="dxa" w:w="4320"/>
          </w:tcPr>
          <w:p>
            <w:r/>
            <w:r>
              <w:rPr>
                <w:b w:val="0"/>
                <w:i w:val="0"/>
              </w:rPr>
              <w:t>0.567 ms</w:t>
            </w:r>
          </w:p>
        </w:tc>
      </w:tr>
      <w:tr>
        <w:tc>
          <w:tcPr>
            <w:tcW w:type="dxa" w:w="4320"/>
          </w:tcPr>
          <w:p>
            <w:r/>
            <w:r>
              <w:rPr>
                <w:b w:val="0"/>
                <w:i w:val="0"/>
              </w:rPr>
              <w:t>p50 / p95 / p99</w:t>
            </w:r>
          </w:p>
        </w:tc>
        <w:tc>
          <w:tcPr>
            <w:tcW w:type="dxa" w:w="4320"/>
          </w:tcPr>
          <w:p>
            <w:r/>
            <w:r>
              <w:rPr>
                <w:b w:val="0"/>
                <w:i w:val="0"/>
              </w:rPr>
              <w:t>0.475 / 1.165 / 2.115 ms</w:t>
            </w:r>
          </w:p>
        </w:tc>
      </w:tr>
      <w:tr>
        <w:tc>
          <w:tcPr>
            <w:tcW w:type="dxa" w:w="4320"/>
          </w:tcPr>
          <w:p>
            <w:r/>
            <w:r>
              <w:rPr>
                <w:b w:val="0"/>
                <w:i w:val="0"/>
              </w:rPr>
              <w:t>Mean throughput</w:t>
            </w:r>
          </w:p>
        </w:tc>
        <w:tc>
          <w:tcPr>
            <w:tcW w:type="dxa" w:w="4320"/>
          </w:tcPr>
          <w:p>
            <w:r/>
            <w:r>
              <w:rPr>
                <w:b w:val="0"/>
                <w:i w:val="0"/>
              </w:rPr>
              <w:t>≈1,762 inferences/s</w:t>
            </w:r>
          </w:p>
        </w:tc>
      </w:tr>
      <w:tr>
        <w:tc>
          <w:tcPr>
            <w:tcW w:type="dxa" w:w="4320"/>
          </w:tcPr>
          <w:p>
            <w:r/>
            <w:r>
              <w:rPr>
                <w:b w:val="0"/>
                <w:i w:val="0"/>
              </w:rPr>
              <w:t>JS heap delta over 300 cycles</w:t>
            </w:r>
          </w:p>
        </w:tc>
        <w:tc>
          <w:tcPr>
            <w:tcW w:type="dxa" w:w="4320"/>
          </w:tcPr>
          <w:p>
            <w:r/>
            <w:r>
              <w:rPr>
                <w:b w:val="0"/>
                <w:i w:val="0"/>
              </w:rPr>
              <w:t>0 MB</w:t>
            </w:r>
          </w:p>
        </w:tc>
      </w:tr>
      <w:tr>
        <w:tc>
          <w:tcPr>
            <w:tcW w:type="dxa" w:w="4320"/>
          </w:tcPr>
          <w:p>
            <w:r/>
            <w:r>
              <w:rPr>
                <w:b w:val="0"/>
                <w:i w:val="0"/>
              </w:rPr>
              <w:t>Backend / threads</w:t>
            </w:r>
          </w:p>
        </w:tc>
        <w:tc>
          <w:tcPr>
            <w:tcW w:type="dxa" w:w="4320"/>
          </w:tcPr>
          <w:p>
            <w:r/>
            <w:r>
              <w:rPr>
                <w:b w:val="0"/>
                <w:i w:val="0"/>
              </w:rPr>
              <w:t>wasm × 20</w:t>
            </w:r>
          </w:p>
        </w:tc>
      </w:tr>
      <w:tr>
        <w:tc>
          <w:tcPr>
            <w:tcW w:type="dxa" w:w="4320"/>
          </w:tcPr>
          <w:p>
            <w:r/>
            <w:r>
              <w:rPr>
                <w:b w:val="0"/>
                <w:i w:val="0"/>
              </w:rPr>
              <w:t>Hardware</w:t>
            </w:r>
          </w:p>
        </w:tc>
        <w:tc>
          <w:tcPr>
            <w:tcW w:type="dxa" w:w="4320"/>
          </w:tcPr>
          <w:p>
            <w:r/>
            <w:r>
              <w:rPr>
                <w:b w:val="0"/>
                <w:i w:val="0"/>
              </w:rPr>
              <w:t>i7-13700H, 16 GB (</w:t>
            </w:r>
            <w:r>
              <w:rPr>
                <w:rFonts w:ascii="Consolas" w:hAnsi="Consolas"/>
                <w:b w:val="0"/>
                <w:i w:val="0"/>
                <w:sz w:val="20"/>
              </w:rPr>
              <w:t>hardwareConcurrency</w:t>
            </w:r>
            <w:r>
              <w:rPr>
                <w:b w:val="0"/>
                <w:i w:val="0"/>
              </w:rPr>
              <w:t xml:space="preserve"> 20)</w:t>
            </w:r>
          </w:p>
        </w:tc>
      </w:tr>
    </w:tbl>
    <w:p/>
    <w:p>
      <w:pPr>
        <w:spacing w:after="160"/>
      </w:pPr>
      <w:r>
        <w:rPr>
          <w:b w:val="0"/>
          <w:i w:val="0"/>
        </w:rPr>
        <w:t>A companion measurement added later (</w:t>
      </w:r>
      <w:r>
        <w:rPr>
          <w:rFonts w:ascii="Consolas" w:hAnsi="Consolas"/>
          <w:b w:val="0"/>
          <w:i w:val="0"/>
          <w:sz w:val="20"/>
        </w:rPr>
        <w:t>docs/benchmarks/fp32_vs_int8_latency.json</w:t>
      </w:r>
      <w:r>
        <w:rPr>
          <w:b w:val="0"/>
          <w:i w:val="0"/>
        </w:rPr>
        <w:t xml:space="preserve">; Python onnxruntime, CPU, identical 300 real validation windows through both graphs) isolates the quantization effect itself, with a finding worth stating against the usual expectation: at this model's size the int8 graph is ≈9% </w:t>
      </w:r>
      <w:r>
        <w:rPr>
          <w:b w:val="0"/>
          <w:i/>
        </w:rPr>
        <w:t>slower</w:t>
      </w:r>
      <w:r>
        <w:rPr>
          <w:b w:val="0"/>
          <w:i w:val="0"/>
        </w:rPr>
        <w:t xml:space="preserve"> than fp32 (p50 0.076 vs. 0.069 ms) — the QDQ dequantise/requantise overhead outweighs any integer-arithmetic gain on a 41k-parameter network. The quantization's real value in this project is the 2.7× payload reduction and the WASM operator compatibility established in Section 2.5.2, not speed, and this report says so rather than implying a latency win it never measured.</w:t>
      </w:r>
    </w:p>
    <w:p>
      <w:pPr>
        <w:pStyle w:val="Heading3"/>
      </w:pPr>
      <w:r>
        <w:t>4.5.3 Evaluation and Discussion</w:t>
      </w:r>
    </w:p>
    <w:p>
      <w:pPr>
        <w:spacing w:after="160"/>
      </w:pPr>
      <w:r>
        <w:rPr>
          <w:b w:val="0"/>
          <w:i w:val="0"/>
        </w:rPr>
        <w:t>At a real-world inference cadence of one prediction per 3.0-second window (</w:t>
      </w:r>
      <w:r>
        <w:rPr>
          <w:rFonts w:ascii="Consolas" w:hAnsi="Consolas"/>
          <w:b w:val="0"/>
          <w:i w:val="0"/>
          <w:sz w:val="20"/>
        </w:rPr>
        <w:t>CONTRACT.md</w:t>
      </w:r>
      <w:r>
        <w:rPr>
          <w:b w:val="0"/>
          <w:i w:val="0"/>
        </w:rP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rPr>
          <w:b w:val="0"/>
          <w:i w:val="0"/>
        </w:rPr>
        <w:t xml:space="preserve">Six checks, each exercising the complete live pipeline (not a unit in isolation), all driven via Playwright against a genuinely fresh </w:t>
      </w:r>
      <w:r>
        <w:rPr>
          <w:rFonts w:ascii="Consolas" w:hAnsi="Consolas"/>
          <w:b w:val="0"/>
          <w:i w:val="0"/>
          <w:sz w:val="20"/>
        </w:rPr>
        <w:t>git clone</w:t>
      </w:r>
      <w:r>
        <w:rPr>
          <w:b w:val="0"/>
          <w:i w:val="0"/>
        </w:rP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browsers spanning two rendering engines (Chrome and Edge on Blink, Firefox on Gecko); (iv) no face in frame; (v) two faces simultaneously in frame; (vi) degraded lighting and eyewear glare.</w:t>
      </w:r>
    </w:p>
    <w:p>
      <w:pPr>
        <w:pStyle w:val="Heading3"/>
      </w:pPr>
      <w:r>
        <w:t>4.6.2 Results</w:t>
      </w:r>
    </w:p>
    <w:p>
      <w:pPr>
        <w:spacing w:after="160"/>
      </w:pPr>
      <w:r>
        <w:rPr>
          <w:b/>
          <w:i w:val="0"/>
        </w:rPr>
        <w:t>(i) End-to-end integration.</w:t>
      </w:r>
      <w:r>
        <w:rPr>
          <w:b w:val="0"/>
          <w:i w:val="0"/>
        </w:rPr>
        <w:t xml:space="preserve"> After the same live-landmarker split introduced in Experiment 1 (§4.1.2), a fake-webcam run against a rebuilt debug hook (</w:t>
      </w:r>
      <w:r>
        <w:rPr>
          <w:rFonts w:ascii="Consolas" w:hAnsi="Consolas"/>
          <w:b w:val="0"/>
          <w:i w:val="0"/>
          <w:sz w:val="20"/>
        </w:rPr>
        <w:t>window.__ENGINE_STATE</w:t>
      </w:r>
      <w:r>
        <w:rPr>
          <w:b w:val="0"/>
          <w:i w:val="0"/>
        </w:rP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b w:val="0"/>
          <w:i w:val="0"/>
          <w:sz w:val="20"/>
        </w:rPr>
        <w:t>live</w:t>
      </w:r>
      <w:r>
        <w:rPr>
          <w:b w:val="0"/>
          <w:i w:val="0"/>
        </w:rPr>
        <w:t xml:space="preserve"> — confirming the full chain (webcam → landmarker → features → scaler → ONNX → UI) functions correctly end to end on the current, merged codebase.</w:t>
      </w:r>
    </w:p>
    <w:p>
      <w:pPr>
        <w:spacing w:after="160"/>
      </w:pPr>
      <w:r>
        <w:rPr>
          <w:b/>
          <w:i w:val="0"/>
        </w:rPr>
        <w:t>(ii) Clean-machine install.</w:t>
      </w:r>
      <w:r>
        <w:rPr>
          <w:b w:val="0"/>
          <w:i w:val="0"/>
        </w:rPr>
        <w:t xml:space="preserve"> Following the documented setup instructions verbatim on a fresh clone surfaced one genuine documentation defect: </w:t>
      </w:r>
      <w:r>
        <w:rPr>
          <w:rFonts w:ascii="Consolas" w:hAnsi="Consolas"/>
          <w:b w:val="0"/>
          <w:i w:val="0"/>
          <w:sz w:val="20"/>
        </w:rPr>
        <w:t>pip install -r ml/requirements.txt</w:t>
      </w:r>
      <w:r>
        <w:rPr>
          <w:b w:val="0"/>
          <w:i w:val="0"/>
        </w:rPr>
        <w:t>, run exactly as first documented, failed outright (</w:t>
      </w:r>
      <w:r>
        <w:rPr>
          <w:rFonts w:ascii="Consolas" w:hAnsi="Consolas"/>
          <w:b w:val="0"/>
          <w:i w:val="0"/>
          <w:sz w:val="20"/>
        </w:rPr>
        <w:t>torch==2.13.0+cpu</w:t>
      </w:r>
      <w:r>
        <w:rPr>
          <w:b w:val="0"/>
          <w:i w:val="0"/>
        </w:rPr>
        <w:t xml:space="preserve"> could not be resolved from the default package index) — the correct invocation requires an additional </w:t>
      </w:r>
      <w:r>
        <w:rPr>
          <w:rFonts w:ascii="Consolas" w:hAnsi="Consolas"/>
          <w:b w:val="0"/>
          <w:i w:val="0"/>
          <w:sz w:val="20"/>
        </w:rPr>
        <w:t>--extra-index-url</w:t>
      </w:r>
      <w:r>
        <w:rPr>
          <w:b w:val="0"/>
          <w:i w:val="0"/>
        </w:rPr>
        <w:t xml:space="preserve"> flag that had been documented only as a conditional fallback, not the primary instruction. This was corrected at the source. With the correction applied, the full documented sequence (</w:t>
      </w:r>
      <w:r>
        <w:rPr>
          <w:rFonts w:ascii="Consolas" w:hAnsi="Consolas"/>
          <w:b w:val="0"/>
          <w:i w:val="0"/>
          <w:sz w:val="20"/>
        </w:rPr>
        <w:t>pip install ...</w:t>
      </w:r>
      <w:r>
        <w:rPr>
          <w:b w:val="0"/>
          <w:i w:val="0"/>
        </w:rPr>
        <w:t xml:space="preserve">, </w:t>
      </w:r>
      <w:r>
        <w:rPr>
          <w:rFonts w:ascii="Consolas" w:hAnsi="Consolas"/>
          <w:b w:val="0"/>
          <w:i w:val="0"/>
          <w:sz w:val="20"/>
        </w:rPr>
        <w:t>npm install</w:t>
      </w:r>
      <w:r>
        <w:rPr>
          <w:b w:val="0"/>
          <w:i w:val="0"/>
        </w:rPr>
        <w:t xml:space="preserve">, </w:t>
      </w:r>
      <w:r>
        <w:rPr>
          <w:rFonts w:ascii="Consolas" w:hAnsi="Consolas"/>
          <w:b w:val="0"/>
          <w:i w:val="0"/>
          <w:sz w:val="20"/>
        </w:rPr>
        <w:t>npm run build</w:t>
      </w:r>
      <w:r>
        <w:rPr>
          <w:b w:val="0"/>
          <w:i w:val="0"/>
        </w:rPr>
        <w:t xml:space="preserve">, </w:t>
      </w:r>
      <w:r>
        <w:rPr>
          <w:rFonts w:ascii="Consolas" w:hAnsi="Consolas"/>
          <w:b w:val="0"/>
          <w:i w:val="0"/>
          <w:sz w:val="20"/>
        </w:rPr>
        <w:t>npm start</w:t>
      </w:r>
      <w:r>
        <w:rPr>
          <w:b w:val="0"/>
          <w:i w:val="0"/>
        </w:rPr>
        <w:t>) succeeded and produced real, correct predictions against a fake webcam feed.</w:t>
      </w:r>
    </w:p>
    <w:p>
      <w:pPr>
        <w:spacing w:after="160"/>
      </w:pPr>
      <w:r>
        <w:rPr>
          <w:b/>
          <w:i w:val="0"/>
        </w:rPr>
        <w:t>(iii) Cross-browser.</w:t>
      </w:r>
      <w:r>
        <w:rPr>
          <w:b w:val="0"/>
          <w:i w:val="0"/>
        </w:rPr>
        <w:t xml:space="preserve"> Chrome and Edge (both Chromium-based) produced identical results: full 478-landmark detection, valid predictions, and </w:t>
      </w:r>
      <w:r>
        <w:rPr>
          <w:rFonts w:ascii="Consolas" w:hAnsi="Consolas"/>
          <w:b w:val="0"/>
          <w:i w:val="0"/>
          <w:sz w:val="20"/>
        </w:rPr>
        <w:t>wasm×20</w:t>
      </w:r>
      <w:r>
        <w:rPr>
          <w:b w:val="0"/>
          <w:i w:val="0"/>
        </w:rP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i w:val="0"/>
        </w:rPr>
        <w:t>(iv)–(vi) Adverse camera conditions.</w:t>
      </w:r>
      <w:r>
        <w:rPr>
          <w:b w:val="0"/>
          <w:i w:val="0"/>
        </w:rPr>
        <w:t xml:space="preserve"> No face in frame produced all-zero features with </w:t>
      </w:r>
      <w:r>
        <w:rPr>
          <w:rFonts w:ascii="Consolas" w:hAnsi="Consolas"/>
          <w:b w:val="0"/>
          <w:i w:val="0"/>
          <w:sz w:val="20"/>
        </w:rPr>
        <w:t>face_present = 0</w:t>
      </w:r>
      <w:r>
        <w:rPr>
          <w:b w:val="0"/>
          <w:i w:val="0"/>
        </w:rPr>
        <w:t>, exactly per the missing-face rule (Section 3.2.2), with the dashboard remaining live and responsive rather than freezing — Figure 4.4 shows the current interface in exactly this state, with the explicit "No face detected" explanation and the independent state bars captioned as not summing to 100%:</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pp_screenshot_synthetic.png"/>
                    <pic:cNvPicPr/>
                  </pic:nvPicPr>
                  <pic:blipFill>
                    <a:blip r:embed="rId14"/>
                    <a:stretch>
                      <a:fillRect/>
                    </a:stretch>
                  </pic:blipFill>
                  <pic:spPr>
                    <a:xfrm>
                      <a:off x="0" y="0"/>
                      <a:ext cx="5669280" cy="3543300"/>
                    </a:xfrm>
                    <a:prstGeom prst="rect"/>
                  </pic:spPr>
                </pic:pic>
              </a:graphicData>
            </a:graphic>
          </wp:inline>
        </w:drawing>
      </w:r>
    </w:p>
    <w:p>
      <w:pPr>
        <w:pStyle w:val="Caption"/>
        <w:jc w:val="center"/>
      </w:pPr>
      <w:r>
        <w:rPr>
          <w:sz w:val="18"/>
        </w:rPr>
        <w:t>Figure 4.4 — The live application handling the no-face condition gracefully (synthetic test-pattern camera; screenshots of real-face sessions use DAiSEE-derived fixtures whose licence forbids committing frames, so the live-face view is shown at the demonstration instead). Source: docs/results/app_screenshot_synthetic.png.</w:t>
      </w:r>
    </w:p>
    <w:p>
      <w:pPr>
        <w:spacing w:after="160"/>
      </w:pPr>
      <w:r>
        <w:rPr>
          <w:b w:val="0"/>
          <w:i w:val="0"/>
        </w:rPr>
        <w:t>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rPr>
          <w:b w:val="0"/>
          <w:i w:val="0"/>
        </w:rP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b w:val="0"/>
          <w:i/>
        </w:rPr>
        <w:t>test method</w:t>
      </w:r>
      <w:r>
        <w:rPr>
          <w:b w:val="0"/>
          <w:i w:val="0"/>
        </w:rPr>
        <w:t xml:space="preserve">, not a confirmed limitation of the </w:t>
      </w:r>
      <w:r>
        <w:rPr>
          <w:b w:val="0"/>
          <w:i/>
        </w:rPr>
        <w:t>application</w:t>
      </w:r>
      <w:r>
        <w:rPr>
          <w:b w:val="0"/>
          <w:i w:val="0"/>
        </w:rPr>
        <w:t xml:space="preserve"> — a manual, real-webcam check in Firefox remains outstanding and is named as such rather than assumed to be fine by extrapolation from Chrome/Edge. The no-face condition was originally signalled only through the zeroed feature panel — technically sufficient, but a live audience unfamiliar with the system could plausibly mistake a genuinely no-face frame for a frozen application. The 2026-08-29 live rehearsal closed that gap: </w:t>
      </w:r>
      <w:r>
        <w:rPr>
          <w:rFonts w:ascii="Consolas" w:hAnsi="Consolas"/>
          <w:b w:val="0"/>
          <w:i w:val="0"/>
          <w:sz w:val="20"/>
        </w:rPr>
        <w:t>PredictionPanel</w:t>
      </w:r>
      <w:r>
        <w:rPr>
          <w:b w:val="0"/>
          <w:i w:val="0"/>
        </w:rPr>
        <w:t xml:space="preserve"> now suppresses model output entirely on no-face windows and renders an explicit "No face detected" explanation with em-dash placeholders (Figure 4.4), and the trend chart skips no-face points.</w:t>
      </w:r>
    </w:p>
    <w:p>
      <w:pPr>
        <w:pStyle w:val="Heading2"/>
      </w:pPr>
      <w:r>
        <w:t>4.7 Experiment 7 — Extended Model Comparison</w:t>
      </w:r>
    </w:p>
    <w:p>
      <w:pPr>
        <w:pStyle w:val="Heading3"/>
      </w:pPr>
      <w:r>
        <w:t>4.7.1 Set-up</w:t>
      </w:r>
    </w:p>
    <w:p>
      <w:pPr>
        <w:spacing w:after="160"/>
      </w:pPr>
      <w:r>
        <w:rPr>
          <w:b w:val="0"/>
          <w:i w:val="0"/>
        </w:rPr>
        <w:t xml:space="preserve">After the primary evaluation was complete, the modelling breadth was extended to answer questions Experiments 2–3 left open: is the TCN's advantage over classical methods robust to a </w:t>
      </w:r>
      <w:r>
        <w:rPr>
          <w:b w:val="0"/>
          <w:i/>
        </w:rPr>
        <w:t>stronger</w:t>
      </w:r>
      <w:r>
        <w:rPr>
          <w:b w:val="0"/>
          <w:i w:val="0"/>
        </w:rPr>
        <w:t xml:space="preserve"> classical baseline; does its advantage over other sequence-model families hold on this feature representation; do the claimed "three visual modality families" (Section 2.1–2.2) each earn their place; and are any of these conclusions stable across random seeds? Additions: a gradient-boosting baseline (</w:t>
      </w:r>
      <w:r>
        <w:rPr>
          <w:rFonts w:ascii="Consolas" w:hAnsi="Consolas"/>
          <w:b w:val="0"/>
          <w:i w:val="0"/>
          <w:sz w:val="20"/>
        </w:rPr>
        <w:t>HistGradientBoostingClassifier</w:t>
      </w:r>
      <w:r>
        <w:rPr>
          <w:b w:val="0"/>
          <w:i w:val="0"/>
        </w:rPr>
        <w:t xml:space="preserve">, balanced sample weights); quadratic weighted kappa (QWK) as an ordinal-aware companion metric to macro-F1; LSTM, GRU, and Transformer architectures trained at hyperparameters matched to the TCN's; a feature-family ablation (geometric / +pose / +gaze / full); re-runs of the architecture and ablation comparisons at three seeds; and clip-level bootstrap significance testing (2,000-iteration paired cluster bootstrap resampling </w:t>
      </w:r>
      <w:r>
        <w:rPr>
          <w:b w:val="0"/>
          <w:i/>
        </w:rPr>
        <w:t>clip IDs</w:t>
      </w:r>
      <w:r>
        <w:rPr>
          <w:b w:val="0"/>
          <w:i w:val="0"/>
        </w:rPr>
        <w:t>, because overlapping windows from one clip are statistically dependent and window-level resampling would overstate the effective sample size).</w:t>
      </w:r>
    </w:p>
    <w:p>
      <w:pPr>
        <w:pStyle w:val="Heading3"/>
      </w:pPr>
      <w:r>
        <w:t>4.7.2 Results</w:t>
      </w:r>
    </w:p>
    <w:p>
      <w:pPr>
        <w:spacing w:after="160"/>
      </w:pPr>
      <w:r>
        <w:rPr>
          <w:b w:val="0"/>
          <w:i w:val="0"/>
        </w:rPr>
        <w:t xml:space="preserve">Gradient boosting proved the strongest classical baseline by a clear margin: validation macro-F1 0.2907 (vs. random forest 0.2669), and on Test 0.2910 against the TCN's 0.2475 — with the cluster bootstrap finding the Test reversal statistically significant (p&lt;0.001, 95% CI of the difference entirely negative) while the TCN's validation lead is not (p=0.19). Across three seeds at matched budgets, the architecture comparison gave mean macro-F1: TCN 0.3015 (±0.0049), Transformer 0.3019 (±0.0066), LSTM 0.2938 (±0.0139), GRU 0.2907 (±0.0064) — the TCN and Transformer statistically indistinguishable, both ahead of the recurrent pair on average, though individual seeds overlap. The TCN remains the shipped model for a deployment reason, not an accuracy one: it had already passed export, int8 quantization and the </w:t>
      </w:r>
      <w:r>
        <w:rPr>
          <w:rFonts w:ascii="Consolas" w:hAnsi="Consolas"/>
          <w:b w:val="0"/>
          <w:i w:val="0"/>
          <w:sz w:val="20"/>
        </w:rPr>
        <w:t>onnxruntime-web</w:t>
      </w:r>
      <w:r>
        <w:rPr>
          <w:b w:val="0"/>
          <w:i w:val="0"/>
        </w:rPr>
        <w:t xml:space="preserve"> WASM operator check before this comparison ran, and the Transformer had passed none of them — the same class of gate that ruled out dynamic quantization in Section 2.5.2. A feature-ablation result in which a pose-free subset (geometric+gaze) beat the full 13 features — reproduced across all three seeds, with non-overlapping ranges (0.3252 / 0.3122 / 0.3083 against the full set's 0.3061 / 0.3019 / 0.2964; </w:t>
      </w:r>
      <w:r>
        <w:rPr>
          <w:rFonts w:ascii="Consolas" w:hAnsi="Consolas"/>
          <w:b w:val="0"/>
          <w:i w:val="0"/>
          <w:sz w:val="20"/>
        </w:rPr>
        <w:t>docs/results/multi_seed_robustness.csv</w:t>
      </w:r>
      <w:r>
        <w:rPr>
          <w:b w:val="0"/>
          <w:i w:val="0"/>
        </w:rPr>
        <w:t>) — is revisited and overturned in Experiment 8, where subject-grouped cross-validation dissolves it entirely.</w:t>
      </w:r>
    </w:p>
    <w:p>
      <w:pPr>
        <w:pStyle w:val="TableCaption"/>
      </w:pPr>
      <w:r>
        <w:rPr>
          <w:b w:val="0"/>
          <w:i w:val="0"/>
        </w:rPr>
        <w:t xml:space="preserve">Table 4.5 — Architecture comparison at matched hyperparameters, Validation split, mean macro-F1 ± std over three seeds (source: </w:t>
      </w:r>
      <w:r>
        <w:rPr>
          <w:rFonts w:ascii="Consolas" w:hAnsi="Consolas"/>
          <w:b w:val="0"/>
          <w:i w:val="0"/>
          <w:sz w:val="20"/>
        </w:rPr>
        <w:t>docs/results/multi_seed_robustness.csv</w:t>
      </w:r>
      <w:r>
        <w:rPr>
          <w:b w:val="0"/>
          <w:i w:val="0"/>
        </w:rPr>
        <w:t xml:space="preserve">; single-seed values in </w:t>
      </w:r>
      <w:r>
        <w:rPr>
          <w:rFonts w:ascii="Consolas" w:hAnsi="Consolas"/>
          <w:b w:val="0"/>
          <w:i w:val="0"/>
          <w:sz w:val="20"/>
        </w:rPr>
        <w:t>architecture_comparison.csv</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Architecture</w:t>
            </w:r>
          </w:p>
        </w:tc>
        <w:tc>
          <w:tcPr>
            <w:tcW w:type="dxa" w:w="2160"/>
            <w:shd w:val="clear" w:color="auto" w:fill="D9E2F3"/>
          </w:tcPr>
          <w:p>
            <w:r>
              <w:rPr>
                <w:b/>
              </w:rPr>
            </w:r>
            <w:r>
              <w:rPr>
                <w:b/>
                <w:i w:val="0"/>
              </w:rPr>
              <w:t>Parameters</w:t>
            </w:r>
          </w:p>
        </w:tc>
        <w:tc>
          <w:tcPr>
            <w:tcW w:type="dxa" w:w="2160"/>
            <w:shd w:val="clear" w:color="auto" w:fill="D9E2F3"/>
          </w:tcPr>
          <w:p>
            <w:r>
              <w:rPr>
                <w:b/>
              </w:rPr>
            </w:r>
            <w:r>
              <w:rPr>
                <w:b/>
                <w:i w:val="0"/>
              </w:rPr>
              <w:t>Mean macro-F1 (n=3)</w:t>
            </w:r>
          </w:p>
        </w:tc>
        <w:tc>
          <w:tcPr>
            <w:tcW w:type="dxa" w:w="2160"/>
            <w:shd w:val="clear" w:color="auto" w:fill="D9E2F3"/>
          </w:tcPr>
          <w:p>
            <w:r>
              <w:rPr>
                <w:b/>
              </w:rPr>
            </w:r>
            <w:r>
              <w:rPr>
                <w:b/>
                <w:i w:val="0"/>
              </w:rPr>
              <w:t>Std</w:t>
            </w:r>
          </w:p>
        </w:tc>
      </w:tr>
      <w:tr>
        <w:tc>
          <w:tcPr>
            <w:tcW w:type="dxa" w:w="2160"/>
          </w:tcPr>
          <w:p>
            <w:r/>
            <w:r>
              <w:rPr>
                <w:b w:val="0"/>
                <w:i w:val="0"/>
              </w:rPr>
              <w:t>TCN</w:t>
            </w:r>
          </w:p>
        </w:tc>
        <w:tc>
          <w:tcPr>
            <w:tcW w:type="dxa" w:w="2160"/>
          </w:tcPr>
          <w:p>
            <w:r/>
            <w:r>
              <w:rPr>
                <w:b w:val="0"/>
                <w:i w:val="0"/>
              </w:rPr>
              <w:t>41,544</w:t>
            </w:r>
          </w:p>
        </w:tc>
        <w:tc>
          <w:tcPr>
            <w:tcW w:type="dxa" w:w="2160"/>
          </w:tcPr>
          <w:p>
            <w:r/>
            <w:r>
              <w:rPr>
                <w:b w:val="0"/>
                <w:i w:val="0"/>
              </w:rPr>
              <w:t>0.3015</w:t>
            </w:r>
          </w:p>
        </w:tc>
        <w:tc>
          <w:tcPr>
            <w:tcW w:type="dxa" w:w="2160"/>
          </w:tcPr>
          <w:p>
            <w:r/>
            <w:r>
              <w:rPr>
                <w:b w:val="0"/>
                <w:i w:val="0"/>
              </w:rPr>
              <w:t>0.0049</w:t>
            </w:r>
          </w:p>
        </w:tc>
      </w:tr>
      <w:tr>
        <w:tc>
          <w:tcPr>
            <w:tcW w:type="dxa" w:w="2160"/>
          </w:tcPr>
          <w:p>
            <w:r/>
            <w:r>
              <w:rPr>
                <w:b w:val="0"/>
                <w:i w:val="0"/>
              </w:rPr>
              <w:t>Transformer</w:t>
            </w:r>
          </w:p>
        </w:tc>
        <w:tc>
          <w:tcPr>
            <w:tcW w:type="dxa" w:w="2160"/>
          </w:tcPr>
          <w:p>
            <w:r/>
            <w:r>
              <w:rPr>
                <w:b w:val="0"/>
                <w:i w:val="0"/>
              </w:rPr>
              <w:t>18,760</w:t>
            </w:r>
          </w:p>
        </w:tc>
        <w:tc>
          <w:tcPr>
            <w:tcW w:type="dxa" w:w="2160"/>
          </w:tcPr>
          <w:p>
            <w:r/>
            <w:r>
              <w:rPr>
                <w:b w:val="0"/>
                <w:i w:val="0"/>
              </w:rPr>
              <w:t>0.3019</w:t>
            </w:r>
          </w:p>
        </w:tc>
        <w:tc>
          <w:tcPr>
            <w:tcW w:type="dxa" w:w="2160"/>
          </w:tcPr>
          <w:p>
            <w:r/>
            <w:r>
              <w:rPr>
                <w:b w:val="0"/>
                <w:i w:val="0"/>
              </w:rPr>
              <w:t>0.0066</w:t>
            </w:r>
          </w:p>
        </w:tc>
      </w:tr>
      <w:tr>
        <w:tc>
          <w:tcPr>
            <w:tcW w:type="dxa" w:w="2160"/>
          </w:tcPr>
          <w:p>
            <w:r/>
            <w:r>
              <w:rPr>
                <w:b w:val="0"/>
                <w:i w:val="0"/>
              </w:rPr>
              <w:t>LSTM</w:t>
            </w:r>
          </w:p>
        </w:tc>
        <w:tc>
          <w:tcPr>
            <w:tcW w:type="dxa" w:w="2160"/>
          </w:tcPr>
          <w:p>
            <w:r/>
            <w:r>
              <w:rPr>
                <w:b w:val="0"/>
                <w:i w:val="0"/>
              </w:rPr>
              <w:t>20,744</w:t>
            </w:r>
          </w:p>
        </w:tc>
        <w:tc>
          <w:tcPr>
            <w:tcW w:type="dxa" w:w="2160"/>
          </w:tcPr>
          <w:p>
            <w:r/>
            <w:r>
              <w:rPr>
                <w:b w:val="0"/>
                <w:i w:val="0"/>
              </w:rPr>
              <w:t>0.2938</w:t>
            </w:r>
          </w:p>
        </w:tc>
        <w:tc>
          <w:tcPr>
            <w:tcW w:type="dxa" w:w="2160"/>
          </w:tcPr>
          <w:p>
            <w:r/>
            <w:r>
              <w:rPr>
                <w:b w:val="0"/>
                <w:i w:val="0"/>
              </w:rPr>
              <w:t>0.0139</w:t>
            </w:r>
          </w:p>
        </w:tc>
      </w:tr>
      <w:tr>
        <w:tc>
          <w:tcPr>
            <w:tcW w:type="dxa" w:w="2160"/>
          </w:tcPr>
          <w:p>
            <w:r/>
            <w:r>
              <w:rPr>
                <w:b w:val="0"/>
                <w:i w:val="0"/>
              </w:rPr>
              <w:t>GRU</w:t>
            </w:r>
          </w:p>
        </w:tc>
        <w:tc>
          <w:tcPr>
            <w:tcW w:type="dxa" w:w="2160"/>
          </w:tcPr>
          <w:p>
            <w:r/>
            <w:r>
              <w:rPr>
                <w:b w:val="0"/>
                <w:i w:val="0"/>
              </w:rPr>
              <w:t>15,688</w:t>
            </w:r>
          </w:p>
        </w:tc>
        <w:tc>
          <w:tcPr>
            <w:tcW w:type="dxa" w:w="2160"/>
          </w:tcPr>
          <w:p>
            <w:r/>
            <w:r>
              <w:rPr>
                <w:b w:val="0"/>
                <w:i w:val="0"/>
              </w:rPr>
              <w:t>0.2907</w:t>
            </w:r>
          </w:p>
        </w:tc>
        <w:tc>
          <w:tcPr>
            <w:tcW w:type="dxa" w:w="2160"/>
          </w:tcPr>
          <w:p>
            <w:r/>
            <w:r>
              <w:rPr>
                <w:b w:val="0"/>
                <w:i w:val="0"/>
              </w:rPr>
              <w:t>0.0064</w:t>
            </w:r>
          </w:p>
        </w:tc>
      </w:tr>
    </w:tbl>
    <w:p/>
    <w:p>
      <w:pPr>
        <w:pStyle w:val="TableCaption"/>
      </w:pPr>
      <w:r>
        <w:rPr>
          <w:b w:val="0"/>
          <w:i w:val="0"/>
        </w:rPr>
        <w:t xml:space="preserve">Table 4.6 — Clip-level bootstrap significance tests, TCN vs. gradient boosting, 2,000 iterations resampling clip IDs (source: </w:t>
      </w:r>
      <w:r>
        <w:rPr>
          <w:rFonts w:ascii="Consolas" w:hAnsi="Consolas"/>
          <w:b w:val="0"/>
          <w:i w:val="0"/>
          <w:sz w:val="20"/>
        </w:rPr>
        <w:t>docs/results/significance.json</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TCN − GBM (point)</w:t>
            </w:r>
          </w:p>
        </w:tc>
        <w:tc>
          <w:tcPr>
            <w:tcW w:type="dxa" w:w="2160"/>
            <w:shd w:val="clear" w:color="auto" w:fill="D9E2F3"/>
          </w:tcPr>
          <w:p>
            <w:r>
              <w:rPr>
                <w:b/>
              </w:rPr>
            </w:r>
            <w:r>
              <w:rPr>
                <w:b/>
                <w:i w:val="0"/>
              </w:rPr>
              <w:t>95% CI of difference</w:t>
            </w:r>
          </w:p>
        </w:tc>
        <w:tc>
          <w:tcPr>
            <w:tcW w:type="dxa" w:w="2160"/>
            <w:shd w:val="clear" w:color="auto" w:fill="D9E2F3"/>
          </w:tcPr>
          <w:p>
            <w:r>
              <w:rPr>
                <w:b/>
              </w:rPr>
            </w:r>
            <w:r>
              <w:rPr>
                <w:b/>
                <w:i w:val="0"/>
              </w:rPr>
              <w:t>p (two-sided)</w:t>
            </w:r>
          </w:p>
        </w:tc>
      </w:tr>
      <w:tr>
        <w:tc>
          <w:tcPr>
            <w:tcW w:type="dxa" w:w="2160"/>
          </w:tcPr>
          <w:p>
            <w:r/>
            <w:r>
              <w:rPr>
                <w:b w:val="0"/>
                <w:i w:val="0"/>
              </w:rPr>
              <w:t>Validation</w:t>
            </w:r>
          </w:p>
        </w:tc>
        <w:tc>
          <w:tcPr>
            <w:tcW w:type="dxa" w:w="2160"/>
          </w:tcPr>
          <w:p>
            <w:r/>
            <w:r>
              <w:rPr>
                <w:b w:val="0"/>
                <w:i w:val="0"/>
              </w:rPr>
              <w:t>+0.0154</w:t>
            </w:r>
          </w:p>
        </w:tc>
        <w:tc>
          <w:tcPr>
            <w:tcW w:type="dxa" w:w="2160"/>
          </w:tcPr>
          <w:p>
            <w:r/>
            <w:r>
              <w:rPr>
                <w:b w:val="0"/>
                <w:i w:val="0"/>
              </w:rPr>
              <w:t>[−0.0071, +0.0381]</w:t>
            </w:r>
          </w:p>
        </w:tc>
        <w:tc>
          <w:tcPr>
            <w:tcW w:type="dxa" w:w="2160"/>
          </w:tcPr>
          <w:p>
            <w:r/>
            <w:r>
              <w:rPr>
                <w:b w:val="0"/>
                <w:i w:val="0"/>
              </w:rPr>
              <w:t>0.194</w:t>
            </w:r>
          </w:p>
        </w:tc>
      </w:tr>
      <w:tr>
        <w:tc>
          <w:tcPr>
            <w:tcW w:type="dxa" w:w="2160"/>
          </w:tcPr>
          <w:p>
            <w:r/>
            <w:r>
              <w:rPr>
                <w:b w:val="0"/>
                <w:i w:val="0"/>
              </w:rPr>
              <w:t>Test</w:t>
            </w:r>
          </w:p>
        </w:tc>
        <w:tc>
          <w:tcPr>
            <w:tcW w:type="dxa" w:w="2160"/>
          </w:tcPr>
          <w:p>
            <w:r/>
            <w:r>
              <w:rPr>
                <w:b w:val="0"/>
                <w:i w:val="0"/>
              </w:rPr>
              <w:t>−0.0435</w:t>
            </w:r>
          </w:p>
        </w:tc>
        <w:tc>
          <w:tcPr>
            <w:tcW w:type="dxa" w:w="2160"/>
          </w:tcPr>
          <w:p>
            <w:r/>
            <w:r>
              <w:rPr>
                <w:b w:val="0"/>
                <w:i w:val="0"/>
              </w:rPr>
              <w:t>[−0.0594, −0.0280]</w:t>
            </w:r>
          </w:p>
        </w:tc>
        <w:tc>
          <w:tcPr>
            <w:tcW w:type="dxa" w:w="2160"/>
          </w:tcPr>
          <w:p>
            <w:r/>
            <w:r>
              <w:rPr>
                <w:b w:val="0"/>
                <w:i w:val="0"/>
              </w:rPr>
              <w:t>&lt; 0.001</w:t>
            </w:r>
          </w:p>
        </w:tc>
      </w:tr>
    </w:tbl>
    <w:p/>
    <w:p>
      <w:pPr>
        <w:pStyle w:val="Heading3"/>
      </w:pPr>
      <w:r>
        <w:t>4.7.3 Evaluation and Discussion</w:t>
      </w:r>
    </w:p>
    <w:p>
      <w:pPr>
        <w:spacing w:after="160"/>
      </w:pPr>
      <w:r>
        <w:rPr>
          <w:b w:val="0"/>
          <w:i w:val="0"/>
        </w:rPr>
        <w:t>Three corrections follow. First, Experiment 3's framing of the TCN as demonstrably better than classical methods was overstated: against the strongest classical baseline the validation advantage is within noise, and Test significantly favours the classical method. Second, Abedi and Khan's (2021) TCN-over-recurrent advantage replicates directionally on these geometric features, but single-seed comparison flattered the TCN against the Transformer — multi-seed averaging shows them tied, a caution this report accepts against its own earlier practice. Third, QWK reveals the recurrent models' errors cluster nearer the true ordinal level even at lower macro-F1 — metric choice genuinely reorders the ranking, reinforcing Section 3.1's position that no single number suffices.</w:t>
      </w:r>
    </w:p>
    <w:p>
      <w:pPr>
        <w:pStyle w:val="Heading2"/>
      </w:pPr>
      <w:r>
        <w:t>4.8 Experiment 8 — Rigorous Model Search and Honest Evaluation Reframing</w:t>
      </w:r>
    </w:p>
    <w:p>
      <w:pPr>
        <w:pStyle w:val="Heading3"/>
      </w:pPr>
      <w:r>
        <w:t>4.8.1 Set-up</w:t>
      </w:r>
    </w:p>
    <w:p>
      <w:pPr>
        <w:spacing w:after="160"/>
      </w:pPr>
      <w:r>
        <w:rPr>
          <w:b w:val="0"/>
          <w:i w:val="0"/>
        </w:rPr>
        <w:t xml:space="preserve">The final experimental phase asked the strictest available version of the modelling question: is the shipped configuration actually near the best this feature representation supports, and are this report's numbers being measured on the same basis as the literature's? Five components, all selecting on the Train/Validation side only: (i) 5-fold cross-validation </w:t>
      </w:r>
      <w:r>
        <w:rPr>
          <w:b w:val="0"/>
          <w:i/>
        </w:rPr>
        <w:t>within the Train split</w:t>
      </w:r>
      <w:r>
        <w:rPr>
          <w:b w:val="0"/>
          <w:i w:val="0"/>
        </w:rPr>
        <w:t xml:space="preserve">, grouped by </w:t>
      </w:r>
      <w:r>
        <w:rPr>
          <w:b/>
          <w:i w:val="0"/>
        </w:rPr>
        <w:t>subject</w:t>
      </w:r>
      <w:r>
        <w:rPr>
          <w:b w:val="0"/>
          <w:i w:val="0"/>
        </w:rPr>
        <w:t xml:space="preserve"> and stratified by label (</w:t>
      </w:r>
      <w:r>
        <w:rPr>
          <w:rFonts w:ascii="Consolas" w:hAnsi="Consolas"/>
          <w:b w:val="0"/>
          <w:i w:val="0"/>
          <w:sz w:val="20"/>
        </w:rPr>
        <w:t>StratifiedGroupKFold</w:t>
      </w:r>
      <w:r>
        <w:rPr>
          <w:b w:val="0"/>
          <w:i w:val="0"/>
        </w:rPr>
        <w:t>); (ii) CV-based feature-family selection re-run on those folds; (iii) a 40-trial Optuna TPE search with median pruning (20 completed, 20 pruned; the committed trial log also carries 7 trials interrupted before scoring) over seven hyperparameters, followed by full-budget retraining of the winner at five seeds; (iv) an out-of-fold stacking ensemble (TCN + gradient boosting + random forest probabilities → logistic-regression meta-learner) and a CORAL ordinal-regression variant; (v) an evaluation reframing — aggregating each clip's ~8 window predictions to a single clip-level prediction (the granularity DAiSEE's labels and the published benchmark actually use), per-class decision-threshold calibration on Validation, and a binary "disengagement screening" view. The frozen Test predictions from Experiment 3's consumed-once checkpoint were re-read exactly once, at clip level, with the Validation-frozen thresholds applied unchanged — a re-aggregation of existing outputs, documented as such, not a new model evaluation.</w:t>
      </w:r>
    </w:p>
    <w:p>
      <w:pPr>
        <w:pStyle w:val="Heading3"/>
      </w:pPr>
      <w:r>
        <w:t>4.8.2 Results</w:t>
      </w:r>
    </w:p>
    <w:p>
      <w:pPr>
        <w:spacing w:after="160"/>
      </w:pPr>
      <w:r>
        <w:rPr>
          <w:b/>
          <w:i w:val="0"/>
        </w:rPr>
        <w:t>A methodological bug caught by its own consequences.</w:t>
      </w:r>
      <w:r>
        <w:rPr>
          <w:b w:val="0"/>
          <w:i w:val="0"/>
        </w:rPr>
        <w:t xml:space="preserve"> The CV utility's first version grouped folds by clip ID only; with 69 subjects averaging ~78 clips each, one subject's clips could sit on both sides of a fold. That version produced a striking result — the pose-free feature subset beating the full set with non-overlapping seed ranges — which </w:t>
      </w:r>
      <w:r>
        <w:rPr>
          <w:b w:val="0"/>
          <w:i/>
        </w:rPr>
        <w:t>vanished entirely</w:t>
      </w:r>
      <w:r>
        <w:rPr>
          <w:b w:val="0"/>
          <w:i w:val="0"/>
        </w:rPr>
        <w:t xml:space="preserve"> when folds were regrouped by subject and the experiment rerun: no feature subset differs significantly from any other (all pairwise p&gt;0.11, paired t and Wilcoxon on the same folds). The single-seed ablation finding of Experiment 7 is thereby superseded, and the full 13 features retained.</w:t>
      </w:r>
    </w:p>
    <w:p>
      <w:pPr>
        <w:spacing w:after="160"/>
      </w:pPr>
      <w:r>
        <w:rPr>
          <w:b/>
          <w:i w:val="0"/>
        </w:rPr>
        <w:t>The search validated the shipped configuration rather than beating it.</w:t>
      </w:r>
      <w:r>
        <w:rPr>
          <w:b w:val="0"/>
          <w:i w:val="0"/>
        </w:rPr>
        <w:t xml:space="preserve"> Optuna's best trial (128 channels, learning rate 4.9×10⁻³, among other changes) retrained at full budget across five seeds reached mean macro-F1 0.3085 (±0.0069) against the shipped defaults' 0.3015 (±0.0049) — and the cluster bootstrap put the tuned-vs-shipped difference at +0.0019 with p=0.92: indistinguishable from noise. </w:t>
      </w:r>
      <w:r>
        <w:rPr>
          <w:b/>
          <w:i w:val="0"/>
        </w:rPr>
        <w:t>The ensemble failed, and the failure was diagnosed, not shelved</w:t>
      </w:r>
      <w:r>
        <w:rPr>
          <w:b w:val="0"/>
          <w:i w:val="0"/>
        </w:rPr>
        <w:t xml:space="preserve">: the unweighted meta-learner never predicted either rare class at all (confusion-matrix verified), because it weighted the random forest's probabilities 3.6× the TCN's while the forest made only 12 rare-class predictions in 11,432 windows; a fully "balanced" meta-learner over-corrected into instability (0.2368); the diagnosed remedy — dropping the forest and using moderate weighting (inverse-frequency to the 0.75 power) — recovered the stack to clip-level macro-F1 0.3114, which merely </w:t>
      </w:r>
      <w:r>
        <w:rPr>
          <w:b w:val="0"/>
          <w:i/>
        </w:rPr>
        <w:t>ties</w:t>
      </w:r>
      <w:r>
        <w:rPr>
          <w:b w:val="0"/>
          <w:i w:val="0"/>
        </w:rPr>
        <w:t xml:space="preserve"> the single TCN (0.3099). CORAL traded macro-F1 for accuracy and QWK (0.2571 / 0.4745 / 0.1558 vs. the softmax head's 0.3061 / 0.4354 / 0.1304) — a genuine trade-off along the metric spectrum, not an improvement. Train-time augmentation (Gaussian feature noise plus short temporal masking, three seeds at full budget) likewise failed to improve on the shipped configuration: mean macro-F1 0.2969 (±0.0075) against 0.3015 (±0.0049) — slightly below, within seed noise, closing off under-regularisation as an explanation alongside undertuning.</w:t>
      </w:r>
    </w:p>
    <w:p>
      <w:pPr>
        <w:spacing w:after="160"/>
      </w:pPr>
      <w:r>
        <w:rPr>
          <w:b/>
          <w:i w:val="0"/>
        </w:rPr>
        <w:t>The evaluation reframing produced the largest legitimate headline change in the project.</w:t>
      </w:r>
      <w:r>
        <w:rPr>
          <w:b w:val="0"/>
          <w:i w:val="0"/>
        </w:rPr>
        <w:t xml:space="preserve"> At clip level on Validation, accuracy rises from 0.4433 to 0.4563 (macro-F1 0.3043→0.3099), and with per-class thresholds calibrated on Validation, to 0.5283 (macro-F1 0.3260, in-sample of the calibration). Applied unchanged to the frozen Test predictions — the honest out-of-sample check — the calibrated clip-level result is </w:t>
      </w:r>
      <w:r>
        <w:rPr>
          <w:b/>
          <w:i w:val="0"/>
        </w:rPr>
        <w:t>macro-F1 0.2829 and 44.7% four-class accuracy</w:t>
      </w:r>
      <w:r>
        <w:rPr>
          <w:b w:val="0"/>
          <w:i w:val="0"/>
        </w:rPr>
        <w:t xml:space="preserve">, against the committed window-level 0.2475 and 36.9%: a +14% relative macro-F1 improvement from the decision layer alone, with the deployed model untouched. The binary screening view is reported with its caveats welded on: Test accuracy 0.777 </w:t>
      </w:r>
      <w:r>
        <w:rPr>
          <w:b w:val="0"/>
          <w:i/>
        </w:rPr>
        <w:t>sounds</w:t>
      </w:r>
      <w:r>
        <w:rPr>
          <w:b w:val="0"/>
          <w:i w:val="0"/>
        </w:rPr>
        <w:t xml:space="preserve"> strong but sits below the 95.1% trivial all-engaged baseline; the honest numbers are ROC-AUC 0.683 and balanced accuracy 0.619 — modest discriminative power, stated as such.</w:t>
      </w:r>
    </w:p>
    <w:p>
      <w:pPr>
        <w:pStyle w:val="TableCaption"/>
      </w:pPr>
      <w:r>
        <w:rPr>
          <w:b w:val="0"/>
          <w:i w:val="0"/>
        </w:rPr>
        <w:t xml:space="preserve">Table 4.7 — The search that validated the shipped model: each avenue, its result, and its evidence file (full record: </w:t>
      </w:r>
      <w:r>
        <w:rPr>
          <w:rFonts w:ascii="Consolas" w:hAnsi="Consolas"/>
          <w:b w:val="0"/>
          <w:i w:val="0"/>
          <w:sz w:val="20"/>
        </w:rPr>
        <w:t>docs/results/rigorous_model_search.md</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Avenue</w:t>
            </w:r>
          </w:p>
        </w:tc>
        <w:tc>
          <w:tcPr>
            <w:tcW w:type="dxa" w:w="2160"/>
            <w:shd w:val="clear" w:color="auto" w:fill="D9E2F3"/>
          </w:tcPr>
          <w:p>
            <w:r>
              <w:rPr>
                <w:b/>
              </w:rPr>
            </w:r>
            <w:r>
              <w:rPr>
                <w:b/>
                <w:i w:val="0"/>
              </w:rPr>
              <w:t>Outcome</w:t>
            </w:r>
          </w:p>
        </w:tc>
        <w:tc>
          <w:tcPr>
            <w:tcW w:type="dxa" w:w="2160"/>
            <w:shd w:val="clear" w:color="auto" w:fill="D9E2F3"/>
          </w:tcPr>
          <w:p>
            <w:r>
              <w:rPr>
                <w:b/>
              </w:rPr>
            </w:r>
            <w:r>
              <w:rPr>
                <w:b/>
                <w:i w:val="0"/>
              </w:rPr>
              <w:t>Key numbers</w:t>
            </w:r>
          </w:p>
        </w:tc>
        <w:tc>
          <w:tcPr>
            <w:tcW w:type="dxa" w:w="2160"/>
            <w:shd w:val="clear" w:color="auto" w:fill="D9E2F3"/>
          </w:tcPr>
          <w:p>
            <w:r>
              <w:rPr>
                <w:b/>
              </w:rPr>
            </w:r>
            <w:r>
              <w:rPr>
                <w:b/>
                <w:i w:val="0"/>
              </w:rPr>
              <w:t>Source</w:t>
            </w:r>
          </w:p>
        </w:tc>
      </w:tr>
      <w:tr>
        <w:tc>
          <w:tcPr>
            <w:tcW w:type="dxa" w:w="2160"/>
          </w:tcPr>
          <w:p>
            <w:r/>
            <w:r>
              <w:rPr>
                <w:b w:val="0"/>
                <w:i w:val="0"/>
              </w:rPr>
              <w:t>Feature-family selection, subject-grouped 5-fold CV</w:t>
            </w:r>
          </w:p>
        </w:tc>
        <w:tc>
          <w:tcPr>
            <w:tcW w:type="dxa" w:w="2160"/>
          </w:tcPr>
          <w:p>
            <w:r/>
            <w:r>
              <w:rPr>
                <w:b w:val="0"/>
                <w:i w:val="0"/>
              </w:rPr>
              <w:t>No subset significantly different (all pairwise p &gt; 0.11)</w:t>
            </w:r>
          </w:p>
        </w:tc>
        <w:tc>
          <w:tcPr>
            <w:tcW w:type="dxa" w:w="2160"/>
          </w:tcPr>
          <w:p>
            <w:r/>
            <w:r>
              <w:rPr>
                <w:b w:val="0"/>
                <w:i w:val="0"/>
              </w:rPr>
              <w:t>best mean 0.3078 vs. full 0.2962, stds overlap</w:t>
            </w:r>
          </w:p>
        </w:tc>
        <w:tc>
          <w:tcPr>
            <w:tcW w:type="dxa" w:w="2160"/>
          </w:tcPr>
          <w:p>
            <w:r/>
            <w:r>
              <w:rPr>
                <w:rFonts w:ascii="Consolas" w:hAnsi="Consolas"/>
                <w:b w:val="0"/>
                <w:i w:val="0"/>
                <w:sz w:val="20"/>
              </w:rPr>
              <w:t>cv_feature_selection_summary.csv</w:t>
            </w:r>
          </w:p>
        </w:tc>
      </w:tr>
      <w:tr>
        <w:tc>
          <w:tcPr>
            <w:tcW w:type="dxa" w:w="2160"/>
          </w:tcPr>
          <w:p>
            <w:r/>
            <w:r>
              <w:rPr>
                <w:b w:val="0"/>
                <w:i w:val="0"/>
              </w:rPr>
              <w:t>40-trial Optuna search → full-budget 5-seed retrain</w:t>
            </w:r>
          </w:p>
        </w:tc>
        <w:tc>
          <w:tcPr>
            <w:tcW w:type="dxa" w:w="2160"/>
          </w:tcPr>
          <w:p>
            <w:r/>
            <w:r>
              <w:rPr>
                <w:b w:val="0"/>
                <w:i w:val="0"/>
              </w:rPr>
              <w:t>Tuned vs. shipped indistinguishable</w:t>
            </w:r>
          </w:p>
        </w:tc>
        <w:tc>
          <w:tcPr>
            <w:tcW w:type="dxa" w:w="2160"/>
          </w:tcPr>
          <w:p>
            <w:r/>
            <w:r>
              <w:rPr>
                <w:b w:val="0"/>
                <w:i w:val="0"/>
              </w:rPr>
              <w:t>+0.0019, p = 0.92</w:t>
            </w:r>
          </w:p>
        </w:tc>
        <w:tc>
          <w:tcPr>
            <w:tcW w:type="dxa" w:w="2160"/>
          </w:tcPr>
          <w:p>
            <w:r/>
            <w:r>
              <w:rPr>
                <w:rFonts w:ascii="Consolas" w:hAnsi="Consolas"/>
                <w:b w:val="0"/>
                <w:i w:val="0"/>
                <w:sz w:val="20"/>
              </w:rPr>
              <w:t>cv_hyperparameter_search.csv</w:t>
            </w:r>
            <w:r>
              <w:rPr>
                <w:b w:val="0"/>
                <w:i w:val="0"/>
              </w:rPr>
              <w:t xml:space="preserve">, </w:t>
            </w:r>
            <w:r>
              <w:rPr>
                <w:rFonts w:ascii="Consolas" w:hAnsi="Consolas"/>
                <w:b w:val="0"/>
                <w:i w:val="0"/>
                <w:sz w:val="20"/>
              </w:rPr>
              <w:t>tuned_vs_original_tcn.json</w:t>
            </w:r>
          </w:p>
        </w:tc>
      </w:tr>
      <w:tr>
        <w:tc>
          <w:tcPr>
            <w:tcW w:type="dxa" w:w="2160"/>
          </w:tcPr>
          <w:p>
            <w:r/>
            <w:r>
              <w:rPr>
                <w:b w:val="0"/>
                <w:i w:val="0"/>
              </w:rPr>
              <w:t>OOF stacking ensemble (diagnosed + repaired)</w:t>
            </w:r>
          </w:p>
        </w:tc>
        <w:tc>
          <w:tcPr>
            <w:tcW w:type="dxa" w:w="2160"/>
          </w:tcPr>
          <w:p>
            <w:r/>
            <w:r>
              <w:rPr>
                <w:b w:val="0"/>
                <w:i w:val="0"/>
              </w:rPr>
              <w:t>Ties, does not beat, the single TCN</w:t>
            </w:r>
          </w:p>
        </w:tc>
        <w:tc>
          <w:tcPr>
            <w:tcW w:type="dxa" w:w="2160"/>
          </w:tcPr>
          <w:p>
            <w:r/>
            <w:r>
              <w:rPr>
                <w:b w:val="0"/>
                <w:i w:val="0"/>
              </w:rPr>
              <w:t>0.3114 vs. 0.3099 clip-level</w:t>
            </w:r>
          </w:p>
        </w:tc>
        <w:tc>
          <w:tcPr>
            <w:tcW w:type="dxa" w:w="2160"/>
          </w:tcPr>
          <w:p>
            <w:r/>
            <w:r>
              <w:rPr>
                <w:rFonts w:ascii="Consolas" w:hAnsi="Consolas"/>
                <w:b w:val="0"/>
                <w:i w:val="0"/>
                <w:sz w:val="20"/>
              </w:rPr>
              <w:t>ensemble_fixed.csv</w:t>
            </w:r>
          </w:p>
        </w:tc>
      </w:tr>
      <w:tr>
        <w:tc>
          <w:tcPr>
            <w:tcW w:type="dxa" w:w="2160"/>
          </w:tcPr>
          <w:p>
            <w:r/>
            <w:r>
              <w:rPr>
                <w:b w:val="0"/>
                <w:i w:val="0"/>
              </w:rPr>
              <w:t>CORAL ordinal head</w:t>
            </w:r>
          </w:p>
        </w:tc>
        <w:tc>
          <w:tcPr>
            <w:tcW w:type="dxa" w:w="2160"/>
          </w:tcPr>
          <w:p>
            <w:r/>
            <w:r>
              <w:rPr>
                <w:b w:val="0"/>
                <w:i w:val="0"/>
              </w:rPr>
              <w:t>Trade-off, not a win</w:t>
            </w:r>
          </w:p>
        </w:tc>
        <w:tc>
          <w:tcPr>
            <w:tcW w:type="dxa" w:w="2160"/>
          </w:tcPr>
          <w:p>
            <w:r/>
            <w:r>
              <w:rPr>
                <w:b w:val="0"/>
                <w:i w:val="0"/>
              </w:rPr>
              <w:t>macro-F1 −0.049, accuracy +0.039, QWK +0.025</w:t>
            </w:r>
          </w:p>
        </w:tc>
        <w:tc>
          <w:tcPr>
            <w:tcW w:type="dxa" w:w="2160"/>
          </w:tcPr>
          <w:p>
            <w:r/>
            <w:r>
              <w:rPr>
                <w:rFonts w:ascii="Consolas" w:hAnsi="Consolas"/>
                <w:b w:val="0"/>
                <w:i w:val="0"/>
                <w:sz w:val="20"/>
              </w:rPr>
              <w:t>ordinal_comparison.csv</w:t>
            </w:r>
          </w:p>
        </w:tc>
      </w:tr>
      <w:tr>
        <w:tc>
          <w:tcPr>
            <w:tcW w:type="dxa" w:w="2160"/>
          </w:tcPr>
          <w:p>
            <w:r/>
            <w:r>
              <w:rPr>
                <w:b w:val="0"/>
                <w:i w:val="0"/>
              </w:rPr>
              <w:t>Train-time augmentation, 3 seeds full budget</w:t>
            </w:r>
          </w:p>
        </w:tc>
        <w:tc>
          <w:tcPr>
            <w:tcW w:type="dxa" w:w="2160"/>
          </w:tcPr>
          <w:p>
            <w:r/>
            <w:r>
              <w:rPr>
                <w:b w:val="0"/>
                <w:i w:val="0"/>
              </w:rPr>
              <w:t>No improvement</w:t>
            </w:r>
          </w:p>
        </w:tc>
        <w:tc>
          <w:tcPr>
            <w:tcW w:type="dxa" w:w="2160"/>
          </w:tcPr>
          <w:p>
            <w:r/>
            <w:r>
              <w:rPr>
                <w:b w:val="0"/>
                <w:i w:val="0"/>
              </w:rPr>
              <w:t>0.2969 ± 0.0075 vs. 0.3015 ± 0.0049</w:t>
            </w:r>
          </w:p>
        </w:tc>
        <w:tc>
          <w:tcPr>
            <w:tcW w:type="dxa" w:w="2160"/>
          </w:tcPr>
          <w:p>
            <w:r/>
            <w:r>
              <w:rPr>
                <w:rFonts w:ascii="Consolas" w:hAnsi="Consolas"/>
                <w:b w:val="0"/>
                <w:i w:val="0"/>
                <w:sz w:val="20"/>
              </w:rPr>
              <w:t>honest_evaluation.md</w:t>
            </w:r>
            <w:r>
              <w:rPr>
                <w:b w:val="0"/>
                <w:i w:val="0"/>
              </w:rPr>
              <w:t xml:space="preserve"> §5</w:t>
            </w:r>
          </w:p>
        </w:tc>
      </w:tr>
    </w:tbl>
    <w:p/>
    <w:p>
      <w:pPr>
        <w:pStyle w:val="TableCaption"/>
      </w:pPr>
      <w:r>
        <w:rPr>
          <w:b w:val="0"/>
          <w:i w:val="0"/>
        </w:rPr>
        <w:t xml:space="preserve">Table 4.8 — Evaluation reframing: the same predictions scored at the benchmark's clip granularity, with and without the Validation-calibrated decision thresholds (sources: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Basis</w:t>
            </w:r>
          </w:p>
        </w:tc>
        <w:tc>
          <w:tcPr>
            <w:tcW w:type="dxa" w:w="1728"/>
            <w:shd w:val="clear" w:color="auto" w:fill="D9E2F3"/>
          </w:tcPr>
          <w:p>
            <w:r>
              <w:rPr>
                <w:b/>
              </w:rPr>
            </w:r>
            <w:r>
              <w:rPr>
                <w:b/>
                <w:i w:val="0"/>
              </w:rPr>
              <w:t>Val. accuracy</w:t>
            </w:r>
          </w:p>
        </w:tc>
        <w:tc>
          <w:tcPr>
            <w:tcW w:type="dxa" w:w="1728"/>
            <w:shd w:val="clear" w:color="auto" w:fill="D9E2F3"/>
          </w:tcPr>
          <w:p>
            <w:r>
              <w:rPr>
                <w:b/>
              </w:rPr>
            </w:r>
            <w:r>
              <w:rPr>
                <w:b/>
                <w:i w:val="0"/>
              </w:rPr>
              <w:t>Val. macro-F1</w:t>
            </w:r>
          </w:p>
        </w:tc>
        <w:tc>
          <w:tcPr>
            <w:tcW w:type="dxa" w:w="1728"/>
            <w:shd w:val="clear" w:color="auto" w:fill="D9E2F3"/>
          </w:tcPr>
          <w:p>
            <w:r>
              <w:rPr>
                <w:b/>
              </w:rPr>
            </w:r>
            <w:r>
              <w:rPr>
                <w:b/>
                <w:i w:val="0"/>
              </w:rPr>
              <w:t>Test accuracy</w:t>
            </w:r>
          </w:p>
        </w:tc>
        <w:tc>
          <w:tcPr>
            <w:tcW w:type="dxa" w:w="1728"/>
            <w:shd w:val="clear" w:color="auto" w:fill="D9E2F3"/>
          </w:tcPr>
          <w:p>
            <w:r>
              <w:rPr>
                <w:b/>
              </w:rPr>
            </w:r>
            <w:r>
              <w:rPr>
                <w:b/>
                <w:i w:val="0"/>
              </w:rPr>
              <w:t>Test macro-F1</w:t>
            </w:r>
          </w:p>
        </w:tc>
      </w:tr>
      <w:tr>
        <w:tc>
          <w:tcPr>
            <w:tcW w:type="dxa" w:w="1728"/>
          </w:tcPr>
          <w:p>
            <w:r/>
            <w:r>
              <w:rPr>
                <w:b w:val="0"/>
                <w:i w:val="0"/>
              </w:rPr>
              <w:t>Window-level (as previously reported)</w:t>
            </w:r>
          </w:p>
        </w:tc>
        <w:tc>
          <w:tcPr>
            <w:tcW w:type="dxa" w:w="1728"/>
          </w:tcPr>
          <w:p>
            <w:r/>
            <w:r>
              <w:rPr>
                <w:b w:val="0"/>
                <w:i w:val="0"/>
              </w:rPr>
              <w:t>0.4433</w:t>
            </w:r>
          </w:p>
        </w:tc>
        <w:tc>
          <w:tcPr>
            <w:tcW w:type="dxa" w:w="1728"/>
          </w:tcPr>
          <w:p>
            <w:r/>
            <w:r>
              <w:rPr>
                <w:b w:val="0"/>
                <w:i w:val="0"/>
              </w:rPr>
              <w:t>0.3043</w:t>
            </w:r>
          </w:p>
        </w:tc>
        <w:tc>
          <w:tcPr>
            <w:tcW w:type="dxa" w:w="1728"/>
          </w:tcPr>
          <w:p>
            <w:r/>
            <w:r>
              <w:rPr>
                <w:b w:val="0"/>
                <w:i w:val="0"/>
              </w:rPr>
              <w:t>0.3686</w:t>
            </w:r>
          </w:p>
        </w:tc>
        <w:tc>
          <w:tcPr>
            <w:tcW w:type="dxa" w:w="1728"/>
          </w:tcPr>
          <w:p>
            <w:r/>
            <w:r>
              <w:rPr>
                <w:b w:val="0"/>
                <w:i w:val="0"/>
              </w:rPr>
              <w:t>0.2475</w:t>
            </w:r>
          </w:p>
        </w:tc>
      </w:tr>
      <w:tr>
        <w:tc>
          <w:tcPr>
            <w:tcW w:type="dxa" w:w="1728"/>
          </w:tcPr>
          <w:p>
            <w:r/>
            <w:r>
              <w:rPr>
                <w:b w:val="0"/>
                <w:i w:val="0"/>
              </w:rPr>
              <w:t>Clip-level, mean-probability</w:t>
            </w:r>
          </w:p>
        </w:tc>
        <w:tc>
          <w:tcPr>
            <w:tcW w:type="dxa" w:w="1728"/>
          </w:tcPr>
          <w:p>
            <w:r/>
            <w:r>
              <w:rPr>
                <w:b w:val="0"/>
                <w:i w:val="0"/>
              </w:rPr>
              <w:t>0.4563</w:t>
            </w:r>
          </w:p>
        </w:tc>
        <w:tc>
          <w:tcPr>
            <w:tcW w:type="dxa" w:w="1728"/>
          </w:tcPr>
          <w:p>
            <w:r/>
            <w:r>
              <w:rPr>
                <w:b w:val="0"/>
                <w:i w:val="0"/>
              </w:rPr>
              <w:t>0.3099</w:t>
            </w:r>
          </w:p>
        </w:tc>
        <w:tc>
          <w:tcPr>
            <w:tcW w:type="dxa" w:w="1728"/>
          </w:tcPr>
          <w:p>
            <w:r/>
            <w:r>
              <w:rPr>
                <w:b w:val="0"/>
                <w:i w:val="0"/>
              </w:rPr>
              <w:t>0.3638</w:t>
            </w:r>
          </w:p>
        </w:tc>
        <w:tc>
          <w:tcPr>
            <w:tcW w:type="dxa" w:w="1728"/>
          </w:tcPr>
          <w:p>
            <w:r/>
            <w:r>
              <w:rPr>
                <w:b w:val="0"/>
                <w:i w:val="0"/>
              </w:rPr>
              <w:t>0.2482</w:t>
            </w:r>
          </w:p>
        </w:tc>
      </w:tr>
      <w:tr>
        <w:tc>
          <w:tcPr>
            <w:tcW w:type="dxa" w:w="1728"/>
          </w:tcPr>
          <w:p>
            <w:r/>
            <w:r>
              <w:rPr>
                <w:b w:val="0"/>
                <w:i w:val="0"/>
              </w:rPr>
              <w:t>Clip-level + calibrated thresholds</w:t>
            </w:r>
          </w:p>
        </w:tc>
        <w:tc>
          <w:tcPr>
            <w:tcW w:type="dxa" w:w="1728"/>
          </w:tcPr>
          <w:p>
            <w:r/>
            <w:r>
              <w:rPr>
                <w:b w:val="0"/>
                <w:i w:val="0"/>
              </w:rPr>
              <w:t>0.5283¹</w:t>
            </w:r>
          </w:p>
        </w:tc>
        <w:tc>
          <w:tcPr>
            <w:tcW w:type="dxa" w:w="1728"/>
          </w:tcPr>
          <w:p>
            <w:r/>
            <w:r>
              <w:rPr>
                <w:b w:val="0"/>
                <w:i w:val="0"/>
              </w:rPr>
              <w:t>0.3260¹</w:t>
            </w:r>
          </w:p>
        </w:tc>
        <w:tc>
          <w:tcPr>
            <w:tcW w:type="dxa" w:w="1728"/>
          </w:tcPr>
          <w:p>
            <w:r/>
            <w:r>
              <w:rPr>
                <w:b/>
                <w:i w:val="0"/>
              </w:rPr>
              <w:t>0.4467</w:t>
            </w:r>
          </w:p>
        </w:tc>
        <w:tc>
          <w:tcPr>
            <w:tcW w:type="dxa" w:w="1728"/>
          </w:tcPr>
          <w:p>
            <w:r/>
            <w:r>
              <w:rPr>
                <w:b/>
                <w:i w:val="0"/>
              </w:rPr>
              <w:t>0.2829</w:t>
            </w:r>
          </w:p>
        </w:tc>
      </w:tr>
    </w:tbl>
    <w:p/>
    <w:p>
      <w:pPr>
        <w:spacing w:after="160"/>
      </w:pPr>
      <w:r>
        <w:rPr>
          <w:b w:val="0"/>
          <w:i w:val="0"/>
        </w:rPr>
        <w:t>¹ In-sample of the calibration (thresholds tuned on Validation); the Test column is the honest out-of-sample transfer of the frozen offsets.</w:t>
      </w:r>
    </w:p>
    <w:p>
      <w:pPr>
        <w:pStyle w:val="Heading3"/>
      </w:pPr>
      <w:r>
        <w:t>4.8.3 Evaluation and Discussion</w:t>
      </w:r>
    </w:p>
    <w:p>
      <w:pPr>
        <w:spacing w:after="160"/>
      </w:pPr>
      <w:r>
        <w:rPr>
          <w:b w:val="0"/>
          <w:i w:val="0"/>
        </w:rPr>
        <w:t xml:space="preserve">Experiment 8's collective result is a </w:t>
      </w:r>
      <w:r>
        <w:rPr>
          <w:b w:val="0"/>
          <w:i/>
        </w:rPr>
        <w:t>negative in the modelling and a positive in the measurement</w:t>
      </w:r>
      <w:r>
        <w:rPr>
          <w:b w:val="0"/>
          <w:i w:val="0"/>
        </w:rPr>
        <w:t>, and both matter. The search — subject-grouped CV, Bayesian optimisation, multi-seed full-budget confirmation, cluster-bootstrap significance — failed to distinguish anything from the shipped model, converting that configuration's status from "chosen after six manual runs" to "validated against a 40-trial search that could not beat it", and localising the ceiling in the 13-feature representation rather than in tuning — the strongest justification for the learned-representation future-work direction (Section 5.3). On the measurement side, clip-level scoring makes the numbers commensurable with the published benchmark for the first time, and threshold calibration — four additive constants — delivered the project's largest honest Test improvement. The subject-leakage episode is reported at length deliberately: an evaluation-design error that manufactured a publishable-looking finding, caught by turning the verification habit of Experiment 1 onto the project's own statistics — exactly the mistake-and-correction this report's methodology argues for surfacing.</w:t>
      </w:r>
    </w:p>
    <w:p>
      <w:r>
        <w:br w:type="page"/>
      </w:r>
    </w:p>
    <w:p>
      <w:pPr>
        <w:pStyle w:val="Heading1"/>
      </w:pPr>
      <w:r>
        <w:t>5. Conclusion</w:t>
      </w:r>
    </w:p>
    <w:p>
      <w:pPr>
        <w:pStyle w:val="Heading2"/>
      </w:pPr>
      <w:r>
        <w:t>5.1 Summary of Results</w:t>
      </w:r>
    </w:p>
    <w:p>
      <w:pPr>
        <w:spacing w:after="160"/>
      </w:pPr>
      <w:r>
        <w:rPr>
          <w:b w:val="0"/>
          <w:i w:val="0"/>
        </w:rPr>
        <w:t xml:space="preserve">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 and the verification process caught and fixed </w:t>
      </w:r>
      <w:r>
        <w:rPr>
          <w:b w:val="0"/>
          <w:i/>
        </w:rPr>
        <w:t>two</w:t>
      </w:r>
      <w:r>
        <w:rPr>
          <w:b w:val="0"/>
          <w:i w:val="0"/>
        </w:rPr>
        <w:t xml:space="preserve"> real production defects a less rigorous regime would have shipped: the </w:t>
      </w:r>
      <w:r>
        <w:rPr>
          <w:rFonts w:ascii="Consolas" w:hAnsi="Consolas"/>
          <w:b w:val="0"/>
          <w:i w:val="0"/>
          <w:sz w:val="20"/>
        </w:rPr>
        <w:t>numFaces</w:t>
      </w:r>
      <w:r>
        <w:rPr>
          <w:b w:val="0"/>
          <w:i w:val="0"/>
        </w:rPr>
        <w:t xml:space="preserve"> landmark regression (Experiment 1) and, later, a brow-formula divergence hiding inside a passing result, whose repair brought the gate's worst-case cross-language difference down to 0.0035 against the 0.02 tolerance (Section 4.1, Amendment 4). A temporal convolutional network of 41,544 parameters, trained with class-weighted loss to counteract DAiSEE's severe engagement-class imbalance, beats a majority-class floor and the classical baselines available at its selection time on validation macro-F1 (0.3061 versus 0.2669; the stronger gradient-boosting baseline added in Experiment 7 later narrowed this to statistical parity),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w:t>
      </w:r>
      <w:r>
        <w:rPr>
          <w:b w:val="0"/>
          <w:i/>
        </w:rPr>
        <w:t>re-runnable</w:t>
      </w:r>
      <w:r>
        <w:rPr>
          <w:b w:val="0"/>
          <w:i w:val="0"/>
        </w:rPr>
        <w:t xml:space="preserve"> network evidence rather than assertion — including disclosure of one genuine third-party telemetry call found and blocked at the browser-policy level, re-verified against the final production build under a full CSP lockdown (Section 4.4). The system was verified, not merely built, to survive a clean install on unfamiliar hardware, two of the major browser engines across three browsers, and five deliberately adverse camera conditions, with every finding — favourable or not — recorded honestly (Section 4.6).</w:t>
      </w:r>
    </w:p>
    <w:p>
      <w:pPr>
        <w:spacing w:after="160"/>
      </w:pPr>
      <w:r>
        <w:rPr>
          <w:b w:val="0"/>
          <w:i w:val="0"/>
        </w:rPr>
        <w:t xml:space="preserve">The one number a reader unfamiliar with the class-imbalance context might reasonably question is the shipped model's absolute test macro-F1 of 0.246 at window level — raised to 0.283 (44.7% four-class accuracy) once evaluation is moved to the clip level the benchmark actually uses and the decision thresholds calibrated on validation are applied (Experiment 8), still without any change to the deployed model. This report has been explicit throughout, not defensive after the fact, about what these numbers do and do not mean: they substantially exceed the majority-class floor (0.1655); the strongest classical baseline added in Experiment 7 (gradient boosting, 0.2910 on Test) </w:t>
      </w:r>
      <w:r>
        <w:rPr>
          <w:b w:val="0"/>
          <w:i/>
        </w:rPr>
        <w:t>significantly outperforms</w:t>
      </w:r>
      <w:r>
        <w:rPr>
          <w:b w:val="0"/>
          <w:i w:val="0"/>
        </w:rPr>
        <w:t xml:space="preserve"> the TCN at window level, a finding this report states rather than buries — while remaining undeployable in the browser architecture that motivates the TCN's existence; the clip-level figures are well below the 63.9% accuracy of considerably heavier, non-edge-deployable prior work (Abedi and Khan, 2021), a comparison that only became commensurable at all once Experiment 8 moved this project onto the same clip-level basis; and every 4-class figure is measurably suppressed by a single engagement class with only 4 clips in the entire test split, a statistical reality of the dataset surfaced via the secondary 3-class-merged metrics rather than concealed behind a headline figure. Crucially, Experiment 8 also established that these numbers sit near the honest ceiling of the chosen feature representation: a subject-grouped cross-validated search over features, a 40-trial Bayesian hyperparameter search confirmed at full budget across five seeds, an ordinal-regression variant, and a stacking ensemble all failed to produce a configuration statistically distinguishable from the shipped one (tuned-vs-shipped difference +0.002, p=0.92). The shipped model is not undertuned; the representation is the binding constraint.</w:t>
      </w:r>
    </w:p>
    <w:p>
      <w:pPr>
        <w:spacing w:after="160"/>
      </w:pPr>
      <w:r>
        <w:rPr>
          <w:b w:val="0"/>
          <w:i w:val="0"/>
        </w:rP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outperform naive baselines and to sit statistically level with the strongest classical alternative on validation while losing to it on test (Experiment 7) — a candid answer whose value lies in how thoroughly it was established: Experiments 7–8 subjected the model to the kind of adversarial statistical scrutiny (stronger baselines, alternative architectures, systematic search, significance testing at the correct unit of independence) that most work at this scale simply asserts its way past. None of these qualified answers were available before this project produced the working system and the evidence to interrogate it; that gap — between a plausible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rPr>
          <w:b w:val="0"/>
          <w:i w:val="0"/>
        </w:rP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b w:val="0"/>
          <w:i/>
        </w:rPr>
        <w:t>actual deployed system</w:t>
      </w:r>
      <w:r>
        <w:rPr>
          <w:b w:val="0"/>
          <w:i w:val="0"/>
        </w:rPr>
        <w:t>, rather than a convenient stand-in for it, found a real defect that a less faithful test — the one previously on record — structurally could not have found. The decision to treat verification (feature parity, export parity, the unit/contract suites, browser smoke, end-to-end integration — Section 3.4 states precisely which of these run in CI and which run as reproducible release-point scripts) as integrated methodology rather than optional post-hoc QA is the direct cause of those defects being caught before submission rather than during a live demonstration. The same habit, turned on the project's own statistics in Experiments 7–8, caught a further defect of exactly the same species: a cross-validation design that leaked subjects across folds and thereby manufactured a clean-looking feature-selection finding, detected and corrected before it reached any conclusion — and the corrected analysis then overturned it. And turned on the project's own passing parity report, it caught the Amendment 4 brow-formula divergence that two documents had rationalised as runtime noise (Section 4.1.3). Reporting practice throughout treats an honestly-analysed weak, negative, or partial result as acceptable and a concealed one as not (Sections 1.5, 4.3.3, 4.6.3, 4.8) — visible in the class-0 discussion, the single-machine benchmark caveat, the untested-in-Firefox caveat, the gradient-boosting-beats-the-TCN finding, and the search that validated rather than beat the shipped model, none of which were smoothed over to present a cleaner narrative.</w:t>
      </w:r>
    </w:p>
    <w:p>
      <w:pPr>
        <w:pStyle w:val="Heading3"/>
      </w:pPr>
      <w:r>
        <w:t>5.2.2 Methodology Weaknesses</w:t>
      </w:r>
    </w:p>
    <w:p>
      <w:pPr>
        <w:spacing w:after="160"/>
      </w:pPr>
      <w:r>
        <w:rPr>
          <w:b w:val="0"/>
          <w:i w:val="0"/>
        </w:rPr>
        <w:t xml:space="preserve">The geometric-feature representation (Section 2.1.2, Section 3.2.2), chosen specifically for its edge-deployability and cross-language verifiability, is now the </w:t>
      </w:r>
      <w:r>
        <w:rPr>
          <w:b w:val="0"/>
          <w:i/>
        </w:rPr>
        <w:t>established</w:t>
      </w:r>
      <w:r>
        <w:rPr>
          <w:b w:val="0"/>
          <w:i w:val="0"/>
        </w:rPr>
        <w:t xml:space="preserve"> — no longer merely the most defensible candidate — cause of this project's accuracy ceiling: Experiment 8's search systematically eliminated the alternatives (undertuned hyperparameters, suboptimal feature subset, unexploited ensemble opportunity), leaving the discarded spatial-texture information a learned frontend retains as the remaining explanation for the gap to Abedi and Khan (2021). Three limitations of the search phase itself are owned rather than hidden: its hyperparameter objective used only two of the five CV folds per trial (a compute-driven compromise, documented in the search log, that a fuller run should confirm); the threshold-calibrated validation figure (0.5283 accuracy) is in-sample of its own calibration, with the Test transfer (0.4467) being the honest out-of-sample number; and the ensemble's diagnosed failure was remedied only to parity with the single model, not past it. Firefox's real-face detection remains unverified by direct test, for a genuine tooling limitation rather than a discovered defect (Section 4.6.3). Only one of the three benchmark machines required for a defensible hardware-comparability claim has been measured (Section 4.5.3). The class-0 statistical unreliability (Sections 1.5, 4.3.3) is a property of the dataset this project did not create, and means every 4-class figure should be read alongside its per-class and 3-class-merged context, never quoted alone.</w:t>
      </w:r>
    </w:p>
    <w:p>
      <w:pPr>
        <w:spacing w:after="160"/>
      </w:pPr>
      <w:r>
        <w:rPr>
          <w:b w:val="0"/>
          <w:i w:val="0"/>
        </w:rPr>
        <w:t xml:space="preserve">Three further limitations surfaced by the 2026-08-29 code audit are owned explicitly. </w:t>
      </w:r>
      <w:r>
        <w:rPr>
          <w:b/>
          <w:i w:val="0"/>
        </w:rPr>
        <w:t xml:space="preserve">(a) </w:t>
      </w:r>
      <w:r>
        <w:rPr>
          <w:rFonts w:ascii="Consolas" w:hAnsi="Consolas"/>
          <w:b/>
          <w:i w:val="0"/>
          <w:sz w:val="20"/>
        </w:rPr>
        <w:t>gaze_y</w:t>
      </w:r>
      <w:r>
        <w:rPr>
          <w:b/>
          <w:i w:val="0"/>
        </w:rPr>
        <w:t xml:space="preserve"> is numerically unstable on blink frames</w:t>
      </w:r>
      <w:r>
        <w:rPr>
          <w:b w:val="0"/>
          <w:i w:val="0"/>
        </w:rPr>
        <w:t xml:space="preserve">: it divides the iris's vertical offset by the eye's aperture height behind only an ε guard, so the denominator approaches zero as the eyelids close and the feature spikes without a formula-imposed bound (observed in the 2026-08-29 code audit; its one-off tabulation was not committed, so no magnitude is quoted) — very likely the amplifier behind the blink-frame sensitivity Amendment 2 attributed to </w:t>
      </w:r>
      <w:r>
        <w:rPr>
          <w:rFonts w:ascii="Consolas" w:hAnsi="Consolas"/>
          <w:b w:val="0"/>
          <w:i w:val="0"/>
          <w:sz w:val="20"/>
        </w:rPr>
        <w:t>numFaces</w:t>
      </w:r>
      <w:r>
        <w:rPr>
          <w:b w:val="0"/>
          <w:i w:val="0"/>
        </w:rPr>
        <w:t xml:space="preserve"> alone. The formula is contract-frozen and the model was trained on these dynamics, so an inference-side clamp would itself create train/serve skew; the proper remedy (an aperture-gated gaze feature) needs re-extraction and retraining, and is future work. </w:t>
      </w:r>
      <w:r>
        <w:rPr>
          <w:b/>
          <w:i w:val="0"/>
        </w:rPr>
        <w:t>(b) The live sampling loop originally ran at a display-refresh-quantised ~8.3–8.6 Hz</w:t>
      </w:r>
      <w:r>
        <w:rPr>
          <w:b w:val="0"/>
          <w:i w:val="0"/>
        </w:rPr>
        <w:t xml:space="preserve">, not the contract's 10 Hz, stretching "3.0 s" windows up to 20%; fixed in remediation (accumulator clock, plus a buffer reset so windows never span a pause), but pre-fix live observations experienced the slower cadence. </w:t>
      </w:r>
      <w:r>
        <w:rPr>
          <w:b/>
          <w:i w:val="0"/>
        </w:rPr>
        <w:t>(c) In multi-person frames, the overlay's "primary" face and the face feeding the model can differ</w:t>
      </w:r>
      <w:r>
        <w:rPr>
          <w:b w:val="0"/>
          <w:i w:val="0"/>
        </w:rPr>
        <w:t xml:space="preserve"> — the display and model-feeding landmarkers are deliberately separate (Amendment 2), with no reconciliation. Now documented truthfully; a labelling imprecision in the targeted single-user scenario, but a multi-learner deployment would need it resolved.</w:t>
      </w:r>
    </w:p>
    <w:p>
      <w:pPr>
        <w:pStyle w:val="Heading3"/>
      </w:pPr>
      <w:r>
        <w:t>5.2.3 Augmentations and Alternate Approaches</w:t>
      </w:r>
    </w:p>
    <w:p>
      <w:pPr>
        <w:spacing w:after="160"/>
      </w:pPr>
      <w:r>
        <w:rPr>
          <w:b w:val="0"/>
          <w:i w:val="0"/>
        </w:rPr>
        <w:t xml:space="preserve">Three concrete alternatives, each considered and each rejected for a specific, stated reason rather than left unexamined: </w:t>
      </w:r>
      <w:r>
        <w:rPr>
          <w:b/>
          <w:i w:val="0"/>
        </w:rPr>
        <w:t>(a)</w:t>
      </w:r>
      <w:r>
        <w:rPr>
          <w:b w:val="0"/>
          <w:i w:val="0"/>
        </w:rP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i w:val="0"/>
        </w:rPr>
        <w:t>(b)</w:t>
      </w:r>
      <w:r>
        <w:rPr>
          <w:b w:val="0"/>
          <w:i w:val="0"/>
        </w:rP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the adjacent data-level remedy that </w:t>
      </w:r>
      <w:r>
        <w:rPr>
          <w:b w:val="0"/>
          <w:i/>
        </w:rPr>
        <w:t>was</w:t>
      </w:r>
      <w:r>
        <w:rPr>
          <w:b w:val="0"/>
          <w:i w:val="0"/>
        </w:rPr>
        <w:t xml:space="preserve"> eventually tried — train-time noise and temporal-masking augmentation (Experiment 8) — is reported there, and Experiment 8's ensemble diagnosis adds a concrete, hard-won caution for this whole family of remedies: imbalance corrections compose badly (a meta-learner applying balanced weighting on top of already-balanced base learners double-corrected and collapsed), so any oversampling would need to </w:t>
      </w:r>
      <w:r>
        <w:rPr>
          <w:b w:val="0"/>
          <w:i/>
        </w:rPr>
        <w:t>replace</w:t>
      </w:r>
      <w:r>
        <w:rPr>
          <w:b w:val="0"/>
          <w:i w:val="0"/>
        </w:rPr>
        <w:t xml:space="preserve">, not join, the loss weighting; </w:t>
      </w:r>
      <w:r>
        <w:rPr>
          <w:b/>
          <w:i w:val="0"/>
        </w:rPr>
        <w:t>(c)</w:t>
      </w:r>
      <w:r>
        <w:rPr>
          <w:b w:val="0"/>
          <w:i w:val="0"/>
        </w:rP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rPr>
          <w:b w:val="0"/>
          <w:i w:val="0"/>
        </w:rPr>
        <w:t>In descending order of how directly each follows from a limitation already named in this report: every item traces to a specific, evidenced gap from Section 4 or 5.2, not to a generic further-research list.</w:t>
      </w:r>
    </w:p>
    <w:p>
      <w:pPr>
        <w:pStyle w:val="ListNumber"/>
        <w:numPr>
          <w:ilvl w:val="0"/>
          <w:numId w:val="13"/>
        </w:numPr>
      </w:pPr>
      <w:r>
        <w:rPr>
          <w:b/>
          <w:i w:val="0"/>
        </w:rPr>
        <w:t>Ship the decision-threshold calibration to the browser</w:t>
      </w:r>
      <w:r>
        <w:rPr>
          <w:b w:val="0"/>
          <w:i w:val="0"/>
        </w:rPr>
        <w:t xml:space="preserve"> (Experiment 8) — the calibrated clip-level result (+0.035 Test macro-F1) costs exactly four additive constants applied to the logits in JavaScript, requires no model change, no re-export, and no contract amendment beyond a note; it is the highest-value, lowest-cost deployment improvement this project has identified and the natural first follow-up.</w:t>
      </w:r>
    </w:p>
    <w:p>
      <w:pPr>
        <w:pStyle w:val="ListNumber"/>
        <w:numPr>
          <w:ilvl w:val="0"/>
          <w:numId w:val="14"/>
        </w:numPr>
      </w:pPr>
      <w:r>
        <w:rPr>
          <w:b/>
          <w:i w:val="0"/>
        </w:rPr>
        <w:t>Complete the multi-machine benchmark</w:t>
      </w:r>
      <w:r>
        <w:rPr>
          <w:b w:val="0"/>
          <w:i w:val="0"/>
        </w:rPr>
        <w:t xml:space="preserve"> (Section 4.5.3) — at least two further machines spanning different hardware tiers, using the runbook already prepared, to make the hardware-comparability claim this report's own cited literature insists on actually defensible.</w:t>
      </w:r>
    </w:p>
    <w:p>
      <w:pPr>
        <w:pStyle w:val="ListNumber"/>
        <w:numPr>
          <w:ilvl w:val="0"/>
          <w:numId w:val="15"/>
        </w:numPr>
      </w:pPr>
      <w:r>
        <w:rPr>
          <w:b/>
          <w:i w:val="0"/>
        </w:rPr>
        <w:t>Manually verify real-face detection in Firefox</w:t>
      </w:r>
      <w:r>
        <w:rPr>
          <w:b w:val="0"/>
          <w:i w:val="0"/>
        </w:rPr>
        <w:t xml:space="preserve"> (Section 4.6.3) with an actual webcam and a human subject, closing the one gap in the cross-browser evidence that automated tooling could not close.</w:t>
      </w:r>
    </w:p>
    <w:p>
      <w:pPr>
        <w:pStyle w:val="ListNumber"/>
        <w:numPr>
          <w:ilvl w:val="0"/>
          <w:numId w:val="16"/>
        </w:numPr>
      </w:pPr>
      <w:r>
        <w:rPr>
          <w:b/>
          <w:i w:val="0"/>
        </w:rPr>
        <w:t>A hybrid architecture study</w:t>
      </w:r>
      <w:r>
        <w:rPr>
          <w:b w:val="0"/>
          <w:i w:val="0"/>
        </w:rPr>
        <w:t xml:space="preserve">, adding a lightweight learned spatial encoder ahead of the existing TCN temporal head as an explicitly optional, higher-footprint configuration alongside (not replacing) the current geometric-feature model. Experiment 8 sharpened this from a suggestion into the </w:t>
      </w:r>
      <w:r>
        <w:rPr>
          <w:b w:val="0"/>
          <w:i/>
        </w:rPr>
        <w:t>logically next</w:t>
      </w:r>
      <w:r>
        <w:rPr>
          <w:b w:val="0"/>
          <w:i w:val="0"/>
        </w:rPr>
        <w:t xml:space="preserve"> step: with undertuning, feature-subset choice, and ensembling now eliminated as explanations for the accuracy ceiling, the representation itself is the remaining lever, and this study would directly measure how much of the gap to Abedi and Khan (2021) the discarded spatial-texture information accounts for.</w:t>
      </w:r>
    </w:p>
    <w:p>
      <w:pPr>
        <w:pStyle w:val="ListNumber"/>
        <w:numPr>
          <w:ilvl w:val="0"/>
          <w:numId w:val="17"/>
        </w:numPr>
      </w:pPr>
      <w:r>
        <w:rPr>
          <w:b/>
          <w:i w:val="0"/>
        </w:rPr>
        <w:t>Close the search phase's own documented gaps</w:t>
      </w:r>
      <w:r>
        <w:rPr>
          <w:b w:val="0"/>
          <w:i w:val="0"/>
        </w:rPr>
        <w:t xml:space="preserve"> — re-run the hyperparameter search objective on all five CV folds (it used two, a compute compromise), and take the diagnosed-but-only-partially-remedied ensemble one step further (a tuned moderate meta-learner weighting was found; whether any stacking configuration can </w:t>
      </w:r>
      <w:r>
        <w:rPr>
          <w:b w:val="0"/>
          <w:i/>
        </w:rPr>
        <w:t>pass</w:t>
      </w:r>
      <w:r>
        <w:rPr>
          <w:b w:val="0"/>
          <w:i w:val="0"/>
        </w:rPr>
        <w:t xml:space="preserve"> rather than tie the single model remains open).</w:t>
      </w:r>
    </w:p>
    <w:p>
      <w:pPr>
        <w:pStyle w:val="ListNumber"/>
        <w:numPr>
          <w:ilvl w:val="0"/>
          <w:numId w:val="18"/>
        </w:numPr>
      </w:pPr>
      <w:r>
        <w:rPr>
          <w:b/>
          <w:i w:val="0"/>
        </w:rPr>
        <w:t>A larger, better-balanced evaluation set for the rarest engagement class specifically</w:t>
      </w:r>
      <w:r>
        <w:rPr>
          <w:b w:val="0"/>
          <w:i w:val="0"/>
        </w:rPr>
        <w:t xml:space="preserve"> — whether via additional annotated data, stratified re-sampling of DAiSEE's existing pool, or a separate held-out low-engagement set — to give the class-0 metric enough statistical power to be trusted on its own rather than requiring the 3-class-merged fallback.</w:t>
      </w:r>
    </w:p>
    <w:p>
      <w:r>
        <w:br w:type="page"/>
      </w:r>
    </w:p>
    <w:p>
      <w:pPr>
        <w:pStyle w:val="Heading1"/>
      </w:pPr>
      <w:r>
        <w:t>References</w:t>
      </w:r>
    </w:p>
    <w:p>
      <w:pPr>
        <w:spacing w:after="160"/>
      </w:pPr>
      <w:r>
        <w:rPr>
          <w:b w:val="0"/>
          <w:i w:val="0"/>
        </w:rPr>
        <w:t xml:space="preserve">Abedi, A. and Khan, S.S. (2021) 'Improving state-of-the-art in detecting student engagement with ResNet and TCN hybrid network', in </w:t>
      </w:r>
      <w:r>
        <w:rPr>
          <w:b w:val="0"/>
          <w:i/>
        </w:rPr>
        <w:t>2021 18th Conference on Robots and Vision (CRV)</w:t>
      </w:r>
      <w:r>
        <w:rPr>
          <w:b w:val="0"/>
          <w:i w:val="0"/>
        </w:rPr>
        <w:t>. IEEE. Available at: https://arxiv.org/abs/2104.10122 (Accessed: 9 August 2026).</w:t>
      </w:r>
    </w:p>
    <w:p>
      <w:pPr>
        <w:spacing w:after="160"/>
      </w:pPr>
      <w:r>
        <w:rPr>
          <w:b w:val="0"/>
          <w:i w:val="0"/>
        </w:rPr>
        <w:t xml:space="preserve">Akiba, T., Sano, S., Yanase, T., Ohta, T. and Koyama, M. (2019) 'Optuna: a next-generation hyperparameter optimization framework', in </w:t>
      </w:r>
      <w:r>
        <w:rPr>
          <w:b w:val="0"/>
          <w:i/>
        </w:rPr>
        <w:t>Proceedings of the 25th ACM SIGKDD International Conference on Knowledge Discovery and Data Mining</w:t>
      </w:r>
      <w:r>
        <w:rPr>
          <w:b w:val="0"/>
          <w:i w:val="0"/>
        </w:rPr>
        <w:t>. ACM, pp. 2623–2631. Available at: https://arxiv.org/abs/1907.10902 (Accessed: 29 August 2026).</w:t>
      </w:r>
    </w:p>
    <w:p>
      <w:pPr>
        <w:spacing w:after="160"/>
      </w:pPr>
      <w:r>
        <w:rPr>
          <w:b w:val="0"/>
          <w:i w:val="0"/>
        </w:rPr>
        <w:t xml:space="preserve">Bai, S., Kolter, J.Z. and Koltun, V. (2018) 'An empirical evaluation of generic convolutional and recurrent networks for sequence modeling', </w:t>
      </w:r>
      <w:r>
        <w:rPr>
          <w:b w:val="0"/>
          <w:i/>
        </w:rPr>
        <w:t>arXiv preprint arXiv:1803.01271</w:t>
      </w:r>
      <w:r>
        <w:rPr>
          <w:b w:val="0"/>
          <w:i w:val="0"/>
        </w:rPr>
        <w:t>. Available at: https://arxiv.org/abs/1803.01271 (Accessed: 9 August 2026).</w:t>
      </w:r>
    </w:p>
    <w:p>
      <w:pPr>
        <w:spacing w:after="160"/>
      </w:pPr>
      <w:r>
        <w:rPr>
          <w:b w:val="0"/>
          <w:i w:val="0"/>
        </w:rPr>
        <w:t xml:space="preserve">Cao, W., Mirjalili, V. and Raschka, S. (2020) 'Rank consistent ordinal regression for neural networks with application to age estimation', </w:t>
      </w:r>
      <w:r>
        <w:rPr>
          <w:b w:val="0"/>
          <w:i/>
        </w:rPr>
        <w:t>Pattern Recognition Letters</w:t>
      </w:r>
      <w:r>
        <w:rPr>
          <w:b w:val="0"/>
          <w:i w:val="0"/>
        </w:rPr>
        <w:t>, 140, pp. 325–331. Available at: https://arxiv.org/abs/1901.07884 (Accessed: 29 August 2026).</w:t>
      </w:r>
    </w:p>
    <w:p>
      <w:pPr>
        <w:spacing w:after="160"/>
      </w:pPr>
      <w:r>
        <w:rPr>
          <w:b w:val="0"/>
          <w:i w:val="0"/>
        </w:rPr>
        <w:t xml:space="preserve">Dewan, M.A.A., Murshed, M. and Lin, F. (2019) 'Engagement detection in online learning: a review', </w:t>
      </w:r>
      <w:r>
        <w:rPr>
          <w:b w:val="0"/>
          <w:i/>
        </w:rPr>
        <w:t>Smart Learning Environments</w:t>
      </w:r>
      <w:r>
        <w:rPr>
          <w:b w:val="0"/>
          <w:i w:val="0"/>
        </w:rPr>
        <w:t>, 6(1), article 1. Available at: https://slejournal.springeropen.com/articles/10.1186/s40561-018-0080-z (Accessed: 9 August 2026).</w:t>
      </w:r>
    </w:p>
    <w:p>
      <w:pPr>
        <w:spacing w:after="160"/>
      </w:pPr>
      <w:r>
        <w:rPr>
          <w:b w:val="0"/>
          <w:i w:val="0"/>
        </w:rPr>
        <w:t xml:space="preserve">Gupta, A., D'Cunha, A., Awasthi, K. and Balasubramanian, V. (2016) 'DAiSEE: towards user engagement recognition in the wild', </w:t>
      </w:r>
      <w:r>
        <w:rPr>
          <w:b w:val="0"/>
          <w:i/>
        </w:rPr>
        <w:t>arXiv preprint arXiv:1609.01885</w:t>
      </w:r>
      <w:r>
        <w:rPr>
          <w:b w:val="0"/>
          <w:i w:val="0"/>
        </w:rPr>
        <w:t>. Available at: https://arxiv.org/abs/1609.01885 (Accessed: 1 August 2026).</w:t>
      </w:r>
    </w:p>
    <w:p>
      <w:pPr>
        <w:spacing w:after="160"/>
      </w:pPr>
      <w:r>
        <w:rPr>
          <w:b w:val="0"/>
          <w:i w:val="0"/>
        </w:rPr>
        <w:t xml:space="preserve">Jacob, B., Kligys, S., Chen, B., Zhu, M., Tang, M., Howard, A., Adam, H. and Kalenichenko, D. (2018) 'Quantization and training of neural networks for efficient integer-arithmetic-only inference', in </w:t>
      </w:r>
      <w:r>
        <w:rPr>
          <w:b w:val="0"/>
          <w:i/>
        </w:rPr>
        <w:t>Proceedings of the IEEE Conference on Computer Vision and Pattern Recognition (CVPR)</w:t>
      </w:r>
      <w:r>
        <w:rPr>
          <w:b w:val="0"/>
          <w:i w:val="0"/>
        </w:rPr>
        <w:t>. IEEE, pp. 2704–2713. Available at: https://arxiv.org/abs/1712.05877 (Accessed: 9 August 2026).</w:t>
      </w:r>
    </w:p>
    <w:p>
      <w:pPr>
        <w:spacing w:after="160"/>
      </w:pPr>
      <w:r>
        <w:rPr>
          <w:b w:val="0"/>
          <w:i w:val="0"/>
        </w:rPr>
        <w:t xml:space="preserve">Kamath, A., Biswas, A. and Balasubramanian, V. (2016) 'A crowdsourced approach to student engagement recognition in e-learning environments', in </w:t>
      </w:r>
      <w:r>
        <w:rPr>
          <w:b w:val="0"/>
          <w:i/>
        </w:rPr>
        <w:t>2016 IEEE Winter Conference on Applications of Computer Vision (WACV)</w:t>
      </w:r>
      <w:r>
        <w:rPr>
          <w:b w:val="0"/>
          <w:i w:val="0"/>
        </w:rPr>
        <w:t>. IEEE.</w:t>
      </w:r>
    </w:p>
    <w:p>
      <w:pPr>
        <w:spacing w:after="160"/>
      </w:pPr>
      <w:r>
        <w:rPr>
          <w:b w:val="0"/>
          <w:i w:val="0"/>
        </w:rPr>
        <w:t xml:space="preserve">Karimah, S.N. and Hasegawa, S. (2022) 'Automatic engagement estimation in smart education/learning settings: a systematic review of engagement definitions, datasets, and methods', </w:t>
      </w:r>
      <w:r>
        <w:rPr>
          <w:b w:val="0"/>
          <w:i/>
        </w:rPr>
        <w:t>Smart Learning Environments</w:t>
      </w:r>
      <w:r>
        <w:rPr>
          <w:b w:val="0"/>
          <w:i w:val="0"/>
        </w:rPr>
        <w:t>, 9, article 31. Available at: https://slejournal.springeropen.com/articles/10.1186/s40561-022-00212-y (Accessed: 9 August 2026).</w:t>
      </w:r>
    </w:p>
    <w:p>
      <w:pPr>
        <w:spacing w:after="160"/>
      </w:pPr>
      <w:r>
        <w:rPr>
          <w:b w:val="0"/>
          <w:i w:val="0"/>
        </w:rPr>
        <w:t xml:space="preserve">Kartynnik, Y., Ablavatski, A., Grishchenko, I. and Grundmann, M. (2019) 'Real-time facial surface geometry from monocular video on mobile GPUs', </w:t>
      </w:r>
      <w:r>
        <w:rPr>
          <w:b w:val="0"/>
          <w:i/>
        </w:rPr>
        <w:t>arXiv preprint arXiv:1907.06724</w:t>
      </w:r>
      <w:r>
        <w:rPr>
          <w:b w:val="0"/>
          <w:i w:val="0"/>
        </w:rPr>
        <w:t>. Available at: https://arxiv.org/abs/1907.06724 (Accessed: 9 August 2026).</w:t>
      </w:r>
    </w:p>
    <w:p>
      <w:pPr>
        <w:spacing w:after="160"/>
      </w:pPr>
      <w:r>
        <w:rPr>
          <w:b w:val="0"/>
          <w:i w:val="0"/>
        </w:rPr>
        <w:t xml:space="preserve">Khan, S.S., Abedi, A. and Colella, T.J.F. (2022) 'Inconsistencies in the definition and annotation of student engagement in virtual learning datasets: a critical review', </w:t>
      </w:r>
      <w:r>
        <w:rPr>
          <w:b w:val="0"/>
          <w:i/>
        </w:rPr>
        <w:t>arXiv preprint arXiv:2208.04548</w:t>
      </w:r>
      <w:r>
        <w:rPr>
          <w:b w:val="0"/>
          <w:i w:val="0"/>
        </w:rPr>
        <w:t>. Available at: https://arxiv.org/abs/2208.04548 (Accessed: 9 August 2026).</w:t>
      </w:r>
    </w:p>
    <w:p>
      <w:pPr>
        <w:spacing w:after="160"/>
      </w:pPr>
      <w:r>
        <w:rPr>
          <w:b w:val="0"/>
          <w:i w:val="0"/>
        </w:rPr>
        <w:t xml:space="preserve">Lepetit, V., Moreno-Noguer, F. and Fua, P. (2009) 'EPnP: an accurate O(n) solution to the PnP problem', </w:t>
      </w:r>
      <w:r>
        <w:rPr>
          <w:b w:val="0"/>
          <w:i/>
        </w:rPr>
        <w:t>International Journal of Computer Vision</w:t>
      </w:r>
      <w:r>
        <w:rPr>
          <w:b w:val="0"/>
          <w:i w:val="0"/>
        </w:rPr>
        <w:t>, 81(2), pp. 155–166.</w:t>
      </w:r>
    </w:p>
    <w:p>
      <w:pPr>
        <w:spacing w:after="160"/>
      </w:pPr>
      <w:r>
        <w:rPr>
          <w:b w:val="0"/>
          <w:i w:val="0"/>
        </w:rPr>
        <w:t xml:space="preserve">Lin, T.Y., Goyal, P., Girshick, R., He, K. and Dollár, P. (2017) 'Focal loss for dense object detection', in </w:t>
      </w:r>
      <w:r>
        <w:rPr>
          <w:b w:val="0"/>
          <w:i/>
        </w:rPr>
        <w:t>Proceedings of the IEEE International Conference on Computer Vision (ICCV)</w:t>
      </w:r>
      <w:r>
        <w:rPr>
          <w:b w:val="0"/>
          <w:i w:val="0"/>
        </w:rPr>
        <w:t>. IEEE, pp. 2980–2988. Available at: https://openaccess.thecvf.com/content_iccv_2017/html/Lin_Focal_Loss_for_ICCV_2017_paper.html (Accessed: 9 August 2026).</w:t>
      </w:r>
    </w:p>
    <w:p>
      <w:pPr>
        <w:spacing w:after="160"/>
      </w:pPr>
      <w:r>
        <w:rPr>
          <w:b w:val="0"/>
          <w:i w:val="0"/>
        </w:rPr>
        <w:t xml:space="preserve">Lugaresi, C., Tang, J., Nash, H., McClanahan, C., Uboweja, E., Hays, M., Zhang, F., Chang, C.L., Yong, M.G., Lee, J., Chang, W.T., Hua, W., Georg, M. and Grundmann, M. (2019) 'MediaPipe: a framework for building perception pipelines', </w:t>
      </w:r>
      <w:r>
        <w:rPr>
          <w:b w:val="0"/>
          <w:i/>
        </w:rPr>
        <w:t>arXiv preprint arXiv:1906.08172</w:t>
      </w:r>
      <w:r>
        <w:rPr>
          <w:b w:val="0"/>
          <w:i w:val="0"/>
        </w:rPr>
        <w:t>. Available at: https://arxiv.org/abs/1906.08172 (Accessed: 9 August 2026).</w:t>
      </w:r>
    </w:p>
    <w:p>
      <w:pPr>
        <w:spacing w:after="160"/>
      </w:pPr>
      <w:r>
        <w:rPr>
          <w:b w:val="0"/>
          <w:i w:val="0"/>
        </w:rPr>
        <w:t xml:space="preserve">Santoni, M.M., Basaruddin, T. and Junus, K. (2023) 'Convolutional neural network model based students' engagement detection in imbalanced DAiSEE dataset', </w:t>
      </w:r>
      <w:r>
        <w:rPr>
          <w:b w:val="0"/>
          <w:i/>
        </w:rPr>
        <w:t>International Journal of Advanced Computer Science and Applications</w:t>
      </w:r>
      <w:r>
        <w:rPr>
          <w:b w:val="0"/>
          <w:i w:val="0"/>
        </w:rPr>
        <w:t>, 14(3). Available at: https://doi.org/10.14569/IJACSA.2023.0140371 (Accessed: 9 August 2026).</w:t>
      </w:r>
    </w:p>
    <w:p>
      <w:pPr>
        <w:spacing w:after="160"/>
      </w:pPr>
      <w:r>
        <w:rPr>
          <w:b w:val="0"/>
          <w:i w:val="0"/>
        </w:rPr>
        <w:t xml:space="preserve">Soukupová, T. and Čech, J. (2016) 'Real-time eye blink detection using facial landmarks', in </w:t>
      </w:r>
      <w:r>
        <w:rPr>
          <w:b w:val="0"/>
          <w:i/>
        </w:rPr>
        <w:t>21st Computer Vision Winter Workshop</w:t>
      </w:r>
      <w:r>
        <w:rPr>
          <w:b w:val="0"/>
          <w:i w:val="0"/>
        </w:rPr>
        <w:t>. Rimske Toplice, Slovenia.</w:t>
      </w:r>
    </w:p>
    <w:p>
      <w:r>
        <w:br w:type="page"/>
      </w:r>
    </w:p>
    <w:p>
      <w:pPr>
        <w:pStyle w:val="Heading1"/>
      </w:pPr>
      <w:r>
        <w:t>Appendices</w:t>
      </w:r>
    </w:p>
    <w:p>
      <w:pPr>
        <w:spacing w:after="160"/>
      </w:pPr>
      <w:r>
        <w:rPr>
          <w:b/>
          <w:i w:val="0"/>
        </w:rPr>
        <w:t>Appendix A — Feature vector specification.</w:t>
      </w:r>
      <w:r>
        <w:rPr>
          <w:b w:val="0"/>
          <w:i w:val="0"/>
        </w:rPr>
        <w:t xml:space="preserve"> Full 13-feature table with landmark indices, formulae, and sign conventions: </w:t>
      </w:r>
      <w:r>
        <w:rPr>
          <w:rFonts w:ascii="Consolas" w:hAnsi="Consolas"/>
          <w:b w:val="0"/>
          <w:i w:val="0"/>
          <w:sz w:val="20"/>
        </w:rPr>
        <w:t>CONTRACT.md</w:t>
      </w:r>
      <w:r>
        <w:rPr>
          <w:b w:val="0"/>
          <w:i w:val="0"/>
        </w:rPr>
        <w:t xml:space="preserve"> §2–4 (this project's repository).</w:t>
      </w:r>
    </w:p>
    <w:p>
      <w:pPr>
        <w:spacing w:after="160"/>
      </w:pPr>
      <w:r>
        <w:rPr>
          <w:b/>
          <w:i w:val="0"/>
        </w:rPr>
        <w:t>Appendix B — Model I/O contract.</w:t>
      </w:r>
      <w:r>
        <w:rPr>
          <w:b w:val="0"/>
          <w:i w:val="0"/>
        </w:rPr>
        <w:t xml:space="preserve"> ONNX input/output tensor names, shapes, and dtypes: </w:t>
      </w:r>
      <w:r>
        <w:rPr>
          <w:rFonts w:ascii="Consolas" w:hAnsi="Consolas"/>
          <w:b w:val="0"/>
          <w:i w:val="0"/>
          <w:sz w:val="20"/>
        </w:rPr>
        <w:t>CONTRACT.md</w:t>
      </w:r>
      <w:r>
        <w:rPr>
          <w:b w:val="0"/>
          <w:i w:val="0"/>
        </w:rPr>
        <w:t xml:space="preserve"> §5.</w:t>
      </w:r>
    </w:p>
    <w:p>
      <w:pPr>
        <w:spacing w:after="160"/>
      </w:pPr>
      <w:r>
        <w:rPr>
          <w:b/>
          <w:i w:val="0"/>
        </w:rPr>
        <w:t>Appendix C — Full evaluation artefacts.</w:t>
      </w:r>
      <w:r>
        <w:rPr>
          <w:b w:val="0"/>
          <w:i w:val="0"/>
        </w:rPr>
        <w:t xml:space="preserve"> </w:t>
      </w:r>
      <w:r>
        <w:rPr>
          <w:rFonts w:ascii="Consolas" w:hAnsi="Consolas"/>
          <w:b w:val="0"/>
          <w:i w:val="0"/>
          <w:sz w:val="20"/>
        </w:rPr>
        <w:t>docs/results/</w:t>
      </w:r>
      <w:r>
        <w:rPr>
          <w:b w:val="0"/>
          <w:i w:val="0"/>
        </w:rPr>
        <w:t xml:space="preserve">: </w:t>
      </w:r>
      <w:r>
        <w:rPr>
          <w:rFonts w:ascii="Consolas" w:hAnsi="Consolas"/>
          <w:b w:val="0"/>
          <w:i w:val="0"/>
          <w:sz w:val="20"/>
        </w:rPr>
        <w:t>metrics_validation.csv</w:t>
      </w:r>
      <w:r>
        <w:rPr>
          <w:b w:val="0"/>
          <w:i w:val="0"/>
        </w:rPr>
        <w:t xml:space="preserve">, </w:t>
      </w:r>
      <w:r>
        <w:rPr>
          <w:rFonts w:ascii="Consolas" w:hAnsi="Consolas"/>
          <w:b w:val="0"/>
          <w:i w:val="0"/>
          <w:sz w:val="20"/>
        </w:rPr>
        <w:t>metrics_test.csv</w:t>
      </w:r>
      <w:r>
        <w:rPr>
          <w:b w:val="0"/>
          <w:i w:val="0"/>
        </w:rPr>
        <w:t xml:space="preserve">, </w:t>
      </w:r>
      <w:r>
        <w:rPr>
          <w:rFonts w:ascii="Consolas" w:hAnsi="Consolas"/>
          <w:b w:val="0"/>
          <w:i w:val="0"/>
          <w:sz w:val="20"/>
        </w:rPr>
        <w:t>confusion_validation.png</w:t>
      </w:r>
      <w:r>
        <w:rPr>
          <w:b w:val="0"/>
          <w:i w:val="0"/>
        </w:rPr>
        <w:t xml:space="preserve">, </w:t>
      </w:r>
      <w:r>
        <w:rPr>
          <w:rFonts w:ascii="Consolas" w:hAnsi="Consolas"/>
          <w:b w:val="0"/>
          <w:i w:val="0"/>
          <w:sz w:val="20"/>
        </w:rPr>
        <w:t>confusion_test.png</w:t>
      </w:r>
      <w:r>
        <w:rPr>
          <w:b w:val="0"/>
          <w:i w:val="0"/>
        </w:rPr>
        <w:t xml:space="preserve">, </w:t>
      </w:r>
      <w:r>
        <w:rPr>
          <w:rFonts w:ascii="Consolas" w:hAnsi="Consolas"/>
          <w:b w:val="0"/>
          <w:i w:val="0"/>
          <w:sz w:val="20"/>
        </w:rPr>
        <w:t>roc_validation.png</w:t>
      </w:r>
      <w:r>
        <w:rPr>
          <w:b w:val="0"/>
          <w:i w:val="0"/>
        </w:rPr>
        <w:t xml:space="preserve">, </w:t>
      </w:r>
      <w:r>
        <w:rPr>
          <w:rFonts w:ascii="Consolas" w:hAnsi="Consolas"/>
          <w:b w:val="0"/>
          <w:i w:val="0"/>
          <w:sz w:val="20"/>
        </w:rPr>
        <w:t>roc_test.png</w:t>
      </w:r>
      <w:r>
        <w:rPr>
          <w:b w:val="0"/>
          <w:i w:val="0"/>
        </w:rPr>
        <w:t xml:space="preserve">, </w:t>
      </w:r>
      <w:r>
        <w:rPr>
          <w:rFonts w:ascii="Consolas" w:hAnsi="Consolas"/>
          <w:b w:val="0"/>
          <w:i w:val="0"/>
          <w:sz w:val="20"/>
        </w:rPr>
        <w:t>quantization.csv</w:t>
      </w:r>
      <w:r>
        <w:rPr>
          <w:b w:val="0"/>
          <w:i w:val="0"/>
        </w:rPr>
        <w:t xml:space="preserve">, </w:t>
      </w:r>
      <w:r>
        <w:rPr>
          <w:rFonts w:ascii="Consolas" w:hAnsi="Consolas"/>
          <w:b w:val="0"/>
          <w:i w:val="0"/>
          <w:sz w:val="20"/>
        </w:rPr>
        <w:t>baselines.csv</w:t>
      </w:r>
      <w:r>
        <w:rPr>
          <w:b w:val="0"/>
          <w:i w:val="0"/>
        </w:rPr>
        <w:t xml:space="preserve">, </w:t>
      </w:r>
      <w:r>
        <w:rPr>
          <w:rFonts w:ascii="Consolas" w:hAnsi="Consolas"/>
          <w:b w:val="0"/>
          <w:i w:val="0"/>
          <w:sz w:val="20"/>
        </w:rPr>
        <w:t>class_dist.png</w:t>
      </w:r>
      <w:r>
        <w:rPr>
          <w:b w:val="0"/>
          <w:i w:val="0"/>
        </w:rPr>
        <w:t xml:space="preserve">, </w:t>
      </w:r>
      <w:r>
        <w:rPr>
          <w:rFonts w:ascii="Consolas" w:hAnsi="Consolas"/>
          <w:b w:val="0"/>
          <w:i w:val="0"/>
          <w:sz w:val="20"/>
        </w:rPr>
        <w:t>extraction_stats.json</w:t>
      </w:r>
      <w:r>
        <w:rPr>
          <w:b w:val="0"/>
          <w:i w:val="0"/>
        </w:rPr>
        <w:t xml:space="preserve">, </w:t>
      </w:r>
      <w:r>
        <w:rPr>
          <w:rFonts w:ascii="Consolas" w:hAnsi="Consolas"/>
          <w:b w:val="0"/>
          <w:i w:val="0"/>
          <w:sz w:val="20"/>
        </w:rPr>
        <w:t>parity_report.json</w:t>
      </w:r>
      <w:r>
        <w:rPr>
          <w:b w:val="0"/>
          <w:i w:val="0"/>
        </w:rPr>
        <w:t xml:space="preserve">, </w:t>
      </w:r>
      <w:r>
        <w:rPr>
          <w:rFonts w:ascii="Consolas" w:hAnsi="Consolas"/>
          <w:b w:val="0"/>
          <w:i w:val="0"/>
          <w:sz w:val="20"/>
        </w:rPr>
        <w:t>parity_report_gpu.json</w:t>
      </w:r>
      <w:r>
        <w:rPr>
          <w:b w:val="0"/>
          <w:i w:val="0"/>
        </w:rPr>
        <w:t xml:space="preserve"> (the GPU-delegate variant, a deliberate recorded FAIL — see Section 4.1.2), </w:t>
      </w:r>
      <w:r>
        <w:rPr>
          <w:rFonts w:ascii="Consolas" w:hAnsi="Consolas"/>
          <w:b w:val="0"/>
          <w:i w:val="0"/>
          <w:sz w:val="20"/>
        </w:rPr>
        <w:t>quantization_test.csv</w:t>
      </w:r>
      <w:r>
        <w:rPr>
          <w:b w:val="0"/>
          <w:i w:val="0"/>
        </w:rPr>
        <w:t xml:space="preserve">, </w:t>
      </w:r>
      <w:r>
        <w:rPr>
          <w:rFonts w:ascii="Consolas" w:hAnsi="Consolas"/>
          <w:b w:val="0"/>
          <w:i w:val="0"/>
          <w:sz w:val="20"/>
        </w:rPr>
        <w:t>privacy_trace.json</w:t>
      </w:r>
      <w:r>
        <w:rPr>
          <w:b w:val="0"/>
          <w:i w:val="0"/>
        </w:rPr>
        <w:t xml:space="preserve">, </w:t>
      </w:r>
      <w:r>
        <w:rPr>
          <w:rFonts w:ascii="Consolas" w:hAnsi="Consolas"/>
          <w:b w:val="0"/>
          <w:i w:val="0"/>
          <w:sz w:val="20"/>
        </w:rPr>
        <w:t>multi_seed_robustness.csv</w:t>
      </w:r>
      <w:r>
        <w:rPr>
          <w:b w:val="0"/>
          <w:i w:val="0"/>
        </w:rPr>
        <w:t xml:space="preserve">, </w:t>
      </w:r>
      <w:r>
        <w:rPr>
          <w:rFonts w:ascii="Consolas" w:hAnsi="Consolas"/>
          <w:b w:val="0"/>
          <w:i w:val="0"/>
          <w:sz w:val="20"/>
        </w:rPr>
        <w:t>cv_hyperparameter_search.csv</w:t>
      </w:r>
      <w:r>
        <w:rPr>
          <w:b w:val="0"/>
          <w:i w:val="0"/>
        </w:rPr>
        <w:t xml:space="preserve">,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 xml:space="preserve">; and </w:t>
      </w:r>
      <w:r>
        <w:rPr>
          <w:rFonts w:ascii="Consolas" w:hAnsi="Consolas"/>
          <w:b w:val="0"/>
          <w:i w:val="0"/>
          <w:sz w:val="20"/>
        </w:rPr>
        <w:t>docs/benchmarks/</w:t>
      </w:r>
      <w:r>
        <w:rPr>
          <w:b w:val="0"/>
          <w:i w:val="0"/>
        </w:rPr>
        <w:t xml:space="preserve"> for the J3 hardware runs; Experiments 7–8 artefacts: </w:t>
      </w:r>
      <w:r>
        <w:rPr>
          <w:rFonts w:ascii="Consolas" w:hAnsi="Consolas"/>
          <w:b w:val="0"/>
          <w:i w:val="0"/>
          <w:sz w:val="20"/>
        </w:rPr>
        <w:t>model_comparison_summary.md</w:t>
      </w:r>
      <w:r>
        <w:rPr>
          <w:b w:val="0"/>
          <w:i w:val="0"/>
        </w:rPr>
        <w:t xml:space="preserve"> and </w:t>
      </w:r>
      <w:r>
        <w:rPr>
          <w:rFonts w:ascii="Consolas" w:hAnsi="Consolas"/>
          <w:b w:val="0"/>
          <w:i w:val="0"/>
          <w:sz w:val="20"/>
        </w:rPr>
        <w:t>rigorous_model_search.md</w:t>
      </w:r>
      <w:r>
        <w:rPr>
          <w:b w:val="0"/>
          <w:i w:val="0"/>
        </w:rPr>
        <w:t xml:space="preserve"> (full findings records), </w:t>
      </w:r>
      <w:r>
        <w:rPr>
          <w:rFonts w:ascii="Consolas" w:hAnsi="Consolas"/>
          <w:b w:val="0"/>
          <w:i w:val="0"/>
          <w:sz w:val="20"/>
        </w:rPr>
        <w:t>architecture_comparison.csv</w:t>
      </w:r>
      <w:r>
        <w:rPr>
          <w:b w:val="0"/>
          <w:i w:val="0"/>
        </w:rPr>
        <w:t xml:space="preserve">, </w:t>
      </w:r>
      <w:r>
        <w:rPr>
          <w:rFonts w:ascii="Consolas" w:hAnsi="Consolas"/>
          <w:b w:val="0"/>
          <w:i w:val="0"/>
          <w:sz w:val="20"/>
        </w:rPr>
        <w:t>multi_seed_robustness.csv</w:t>
      </w:r>
      <w:r>
        <w:rPr>
          <w:b w:val="0"/>
          <w:i w:val="0"/>
        </w:rPr>
        <w:t xml:space="preserve">, </w:t>
      </w:r>
      <w:r>
        <w:rPr>
          <w:rFonts w:ascii="Consolas" w:hAnsi="Consolas"/>
          <w:b w:val="0"/>
          <w:i w:val="0"/>
          <w:sz w:val="20"/>
        </w:rPr>
        <w:t>feature_ablation.csv</w:t>
      </w:r>
      <w:r>
        <w:rPr>
          <w:b w:val="0"/>
          <w:i w:val="0"/>
        </w:rPr>
        <w:t xml:space="preserve">, </w:t>
      </w:r>
      <w:r>
        <w:rPr>
          <w:rFonts w:ascii="Consolas" w:hAnsi="Consolas"/>
          <w:b w:val="0"/>
          <w:i w:val="0"/>
          <w:sz w:val="20"/>
        </w:rPr>
        <w:t>significance.json</w:t>
      </w:r>
      <w:r>
        <w:rPr>
          <w:b w:val="0"/>
          <w:i w:val="0"/>
        </w:rPr>
        <w:t xml:space="preserve">, </w:t>
      </w:r>
      <w:r>
        <w:rPr>
          <w:rFonts w:ascii="Consolas" w:hAnsi="Consolas"/>
          <w:b w:val="0"/>
          <w:i w:val="0"/>
          <w:sz w:val="20"/>
        </w:rPr>
        <w:t>cv_feature_selection_summary.csv</w:t>
      </w:r>
      <w:r>
        <w:rPr>
          <w:b w:val="0"/>
          <w:i w:val="0"/>
        </w:rPr>
        <w:t xml:space="preserve">, </w:t>
      </w:r>
      <w:r>
        <w:rPr>
          <w:rFonts w:ascii="Consolas" w:hAnsi="Consolas"/>
          <w:b w:val="0"/>
          <w:i w:val="0"/>
          <w:sz w:val="20"/>
        </w:rPr>
        <w:t>cv_hyperparameter_search.csv</w:t>
      </w:r>
      <w:r>
        <w:rPr>
          <w:b w:val="0"/>
          <w:i w:val="0"/>
        </w:rPr>
        <w:t xml:space="preserve">, </w:t>
      </w:r>
      <w:r>
        <w:rPr>
          <w:rFonts w:ascii="Consolas" w:hAnsi="Consolas"/>
          <w:b w:val="0"/>
          <w:i w:val="0"/>
          <w:sz w:val="20"/>
        </w:rPr>
        <w:t>final_model_selection.json</w:t>
      </w:r>
      <w:r>
        <w:rPr>
          <w:b w:val="0"/>
          <w:i w:val="0"/>
        </w:rPr>
        <w:t xml:space="preserve">, </w:t>
      </w:r>
      <w:r>
        <w:rPr>
          <w:rFonts w:ascii="Consolas" w:hAnsi="Consolas"/>
          <w:b w:val="0"/>
          <w:i w:val="0"/>
          <w:sz w:val="20"/>
        </w:rPr>
        <w:t>ensemble_fixed.csv</w:t>
      </w:r>
      <w:r>
        <w:rPr>
          <w:b w:val="0"/>
          <w:i w:val="0"/>
        </w:rPr>
        <w:t xml:space="preserve">, </w:t>
      </w:r>
      <w:r>
        <w:rPr>
          <w:rFonts w:ascii="Consolas" w:hAnsi="Consolas"/>
          <w:b w:val="0"/>
          <w:i w:val="0"/>
          <w:sz w:val="20"/>
        </w:rPr>
        <w:t>ordinal_comparison.csv</w:t>
      </w:r>
      <w:r>
        <w:rPr>
          <w:b w:val="0"/>
          <w:i w:val="0"/>
        </w:rPr>
        <w:t xml:space="preserve">,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p>
      <w:pPr>
        <w:spacing w:after="160"/>
      </w:pPr>
      <w:r>
        <w:rPr>
          <w:b/>
          <w:i w:val="0"/>
        </w:rPr>
        <w:t>Appendix D — Privacy verification evidence.</w:t>
      </w:r>
      <w:r>
        <w:rPr>
          <w:b w:val="0"/>
          <w:i w:val="0"/>
        </w:rPr>
        <w:t xml:space="preserve"> </w:t>
      </w:r>
      <w:r>
        <w:rPr>
          <w:rFonts w:ascii="Consolas" w:hAnsi="Consolas"/>
          <w:b w:val="0"/>
          <w:i w:val="0"/>
          <w:sz w:val="20"/>
        </w:rPr>
        <w:t>docs/privacy.md</w:t>
      </w:r>
      <w:r>
        <w:rPr>
          <w:b w:val="0"/>
          <w:i w:val="0"/>
        </w:rPr>
        <w:t xml:space="preserve"> — full code walkthrough, network recordings, and the telemetry-call finding in detail.</w:t>
      </w:r>
    </w:p>
    <w:p>
      <w:pPr>
        <w:spacing w:after="160"/>
      </w:pPr>
      <w:r>
        <w:rPr>
          <w:b/>
          <w:i w:val="0"/>
        </w:rPr>
        <w:t>Appendix E — Demo hardening evidence.</w:t>
      </w:r>
      <w:r>
        <w:rPr>
          <w:b w:val="0"/>
          <w:i w:val="0"/>
        </w:rPr>
        <w:t xml:space="preserve"> </w:t>
      </w:r>
      <w:r>
        <w:rPr>
          <w:rFonts w:ascii="Consolas" w:hAnsi="Consolas"/>
          <w:b w:val="0"/>
          <w:i w:val="0"/>
          <w:sz w:val="20"/>
        </w:rPr>
        <w:t>docs/demo-failure-modes.md</w:t>
      </w:r>
      <w:r>
        <w:rPr>
          <w:b w:val="0"/>
          <w:i w:val="0"/>
        </w:rPr>
        <w:t xml:space="preserve"> — cross-browser and adverse-condition test results in full; </w:t>
      </w:r>
      <w:r>
        <w:rPr>
          <w:rFonts w:ascii="Consolas" w:hAnsi="Consolas"/>
          <w:b w:val="0"/>
          <w:i w:val="0"/>
          <w:sz w:val="20"/>
        </w:rPr>
        <w:t>docs/dry-run-checklist.md</w:t>
      </w:r>
      <w:r>
        <w:rPr>
          <w:b w:val="0"/>
          <w:i w:val="0"/>
        </w:rPr>
        <w:t xml:space="preserve"> — the live-rehearsal script derived from them.</w:t>
      </w:r>
    </w:p>
    <w:p>
      <w:pPr>
        <w:spacing w:after="160"/>
      </w:pPr>
      <w:r>
        <w:rPr>
          <w:b/>
          <w:i w:val="0"/>
        </w:rPr>
        <w:t>Appendix F — Development process record.</w:t>
      </w:r>
      <w:r>
        <w:rPr>
          <w:b w:val="0"/>
          <w:i w:val="0"/>
        </w:rPr>
        <w:t xml:space="preserve"> </w:t>
      </w:r>
      <w:r>
        <w:rPr>
          <w:rFonts w:ascii="Consolas" w:hAnsi="Consolas"/>
          <w:b w:val="0"/>
          <w:i w:val="0"/>
          <w:sz w:val="20"/>
        </w:rPr>
        <w:t>docs/PROGRESS.md</w:t>
      </w:r>
      <w:r>
        <w:rPr>
          <w:b w:val="0"/>
          <w:i w:val="0"/>
        </w:rPr>
        <w:t xml:space="preserve"> — full day-by-day project history; </w:t>
      </w:r>
      <w:r>
        <w:rPr>
          <w:rFonts w:ascii="Consolas" w:hAnsi="Consolas"/>
          <w:b w:val="0"/>
          <w:i w:val="0"/>
          <w:sz w:val="20"/>
        </w:rPr>
        <w:t>BUILD_PLAN_1.md</w:t>
      </w:r>
      <w:r>
        <w:rPr>
          <w:b w:val="0"/>
          <w:i w:val="0"/>
        </w:rPr>
        <w:t xml:space="preserve"> — original 20-day build plan with retrospective status annotations; </w:t>
      </w:r>
      <w:r>
        <w:rPr>
          <w:rFonts w:ascii="Consolas" w:hAnsi="Consolas"/>
          <w:b w:val="0"/>
          <w:i w:val="0"/>
          <w:sz w:val="20"/>
        </w:rPr>
        <w:t>GAP_CLOSURE_PLAN.md</w:t>
      </w:r>
      <w:r>
        <w:rPr>
          <w:b w:val="0"/>
          <w:i w:val="0"/>
        </w:rPr>
        <w:t xml:space="preserve"> — the mid-project self-audit and remediation plan referenced in Section 4.1; </w:t>
      </w:r>
      <w:r>
        <w:rPr>
          <w:rFonts w:ascii="Consolas" w:hAnsi="Consolas"/>
          <w:b w:val="0"/>
          <w:i w:val="0"/>
          <w:sz w:val="20"/>
        </w:rPr>
        <w:t>PROJECT_COMPLETION_PLAN.md</w:t>
      </w:r>
      <w:r>
        <w:rPr>
          <w:b w:val="0"/>
          <w:i w:val="0"/>
        </w:rPr>
        <w:t xml:space="preserve"> — the phased plan this report's own Experimentation chapter is structured against.</w:t>
      </w:r>
    </w:p>
    <w:p>
      <w:pPr>
        <w:spacing w:after="160"/>
      </w:pPr>
      <w:r>
        <w:rPr>
          <w:b/>
          <w:i w:val="0"/>
        </w:rPr>
        <w:t>Appendix G — Source code.</w:t>
      </w:r>
      <w:r>
        <w:rPr>
          <w:b w:val="0"/>
          <w:i w:val="0"/>
        </w:rPr>
        <w:t xml:space="preserve"> Full repository, including CI configuration (</w:t>
      </w:r>
      <w:r>
        <w:rPr>
          <w:rFonts w:ascii="Consolas" w:hAnsi="Consolas"/>
          <w:b w:val="0"/>
          <w:i w:val="0"/>
          <w:sz w:val="20"/>
        </w:rPr>
        <w:t>.github/workflows/ci.yml</w:t>
      </w:r>
      <w:r>
        <w:rPr>
          <w:b w:val="0"/>
          <w:i w:val="0"/>
        </w:rPr>
        <w:t>): https://github.com/MuhammadBilal-00/Multimodal-Cognitive-Overload-Detection.</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r>
    <w:r>
      <w:rPr>
        <w:color w:val="606060"/>
        <w:sz w:val="18"/>
      </w:rPr>
      <w:t xml:space="preserve">Page </w:t>
    </w:r>
    <w:r>
      <w:rPr>
        <w:color w:val="606060"/>
        <w:sz w:val="18"/>
      </w:rPr>
      <w:fldChar w:fldCharType="begin" w:dirty="true"/>
    </w:r>
    <w:r>
      <w:rPr>
        <w:color w:val="606060"/>
        <w:sz w:val="18"/>
      </w:rPr>
      <w:instrText xml:space="preserve"> PAGE </w:instrText>
    </w:r>
    <w:r>
      <w:rPr>
        <w:color w:val="606060"/>
        <w:sz w:val="18"/>
      </w:rPr>
      <w:fldChar w:fldCharType="separate"/>
    </w:r>
    <w:r>
      <w:rPr>
        <w:color w:val="606060"/>
        <w:sz w:val="18"/>
      </w:rPr>
      <w:fldChar w:fldCharType="end"/>
    </w:r>
    <w:r>
      <w:rPr>
        <w:color w:val="606060"/>
        <w:sz w:val="18"/>
      </w:rPr>
      <w:t xml:space="preserve"> of </w:t>
    </w:r>
    <w:r>
      <w:rPr>
        <w:color w:val="606060"/>
        <w:sz w:val="18"/>
      </w:rPr>
      <w:fldChar w:fldCharType="begin" w:dirty="true"/>
    </w:r>
    <w:r>
      <w:rPr>
        <w:color w:val="606060"/>
        <w:sz w:val="18"/>
      </w:rPr>
      <w:instrText xml:space="preserve"> NUMPAGES </w:instrText>
    </w:r>
    <w:r>
      <w:rPr>
        <w:color w:val="606060"/>
        <w:sz w:val="18"/>
      </w:rPr>
      <w:fldChar w:fldCharType="separate"/>
    </w:r>
    <w:r>
      <w:rPr>
        <w:color w:val="6060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Cognitive Engagement Detection from Webcam Video Using an Edge-Deployed Temporal Convolutional Network</dc:title>
  <dc:subject>MSc Data Science dissertation, University of Greenwich</dc:subject>
  <dc:creator>Ibtissam Merzouqi</dc:creator>
  <cp:keywords>engagement detection; edge machine learning; in-browser inference; temporal convolutional network; DAiSEE; privacy-preserving computer vision</cp:keywords>
  <dc:description/>
  <cp:lastModifiedBy>Ibtissam Merzouqi</cp:lastModifiedBy>
  <cp:revision>1</cp:revision>
  <dcterms:created xsi:type="dcterms:W3CDTF">2026-08-30T13:33:57Z</dcterms:created>
  <dcterms:modified xsi:type="dcterms:W3CDTF">2026-08-30T13:33:57Z</dcterms:modified>
  <cp:category/>
</cp:coreProperties>
</file>