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i w:val="0"/>
        </w:rPr>
        <w:t>Ibtissam Merzouqi</w:t>
      </w:r>
    </w:p>
    <w:p>
      <w:pPr>
        <w:jc w:val="center"/>
      </w:pPr>
      <w:r>
        <w:rPr>
          <w:b/>
          <w:i w:val="0"/>
        </w:rPr>
        <w:t>001487042</w:t>
      </w:r>
    </w:p>
    <w:p>
      <w:pPr>
        <w:jc w:val="center"/>
      </w:pPr>
      <w:r>
        <w:rPr>
          <w:b/>
          <w:i w:val="0"/>
        </w:rPr>
        <w:t>MSc Data Science, University of Greenwich</w:t>
      </w:r>
    </w:p>
    <w:p>
      <w:pPr>
        <w:jc w:val="center"/>
      </w:pPr>
      <w:r>
        <w:rPr>
          <w:b/>
          <w:i w:val="0"/>
        </w:rPr>
        <w:t>Supervisor: Ilya Alexakhin</w:t>
      </w:r>
      <w:r>
        <w:rPr>
          <w:b w:val="0"/>
          <w:i w:val="0"/>
        </w:rPr>
        <w:t xml:space="preserve"> | </w:t>
      </w:r>
      <w:r>
        <w:rPr>
          <w:b/>
          <w:i w:val="0"/>
        </w:rPr>
        <w:t>Second Marker: Ahmed Farhat</w:t>
      </w:r>
    </w:p>
    <w:p>
      <w:pPr>
        <w:jc w:val="center"/>
      </w:pPr>
      <w:r>
        <w:rPr>
          <w:b/>
          <w:i w:val="0"/>
        </w:rPr>
        <w:t>3 September 2026</w:t>
      </w:r>
    </w:p>
    <w:p>
      <w:r>
        <w:rPr>
          <w:b w:val="0"/>
          <w:i/>
          <w:color w:val="606060"/>
        </w:rPr>
        <w:t xml:space="preserve">This report is written from the completed </w:t>
      </w:r>
      <w:r>
        <w:rPr>
          <w:rFonts w:ascii="Consolas" w:hAnsi="Consolas"/>
          <w:b w:val="0"/>
          <w:i/>
          <w:color w:val="606060"/>
          <w:sz w:val="20"/>
        </w:rPr>
        <w:t>Multimodal-Cognitive-Overload-Detection</w:t>
      </w:r>
      <w:r>
        <w:rPr>
          <w:b w:val="0"/>
          <w:i/>
          <w:color w:val="606060"/>
        </w:rPr>
        <w:t xml:space="preserve"> repository and its full development record (</w:t>
      </w:r>
      <w:r>
        <w:rPr>
          <w:rFonts w:ascii="Consolas" w:hAnsi="Consolas"/>
          <w:b w:val="0"/>
          <w:i/>
          <w:color w:val="606060"/>
          <w:sz w:val="20"/>
        </w:rPr>
        <w:t>docs/PROGRESS.md</w:t>
      </w:r>
      <w:r>
        <w:rPr>
          <w:b w:val="0"/>
          <w:i/>
          <w:color w:val="606060"/>
        </w:rPr>
        <w:t xml:space="preserve">, </w:t>
      </w:r>
      <w:r>
        <w:rPr>
          <w:rFonts w:ascii="Consolas" w:hAnsi="Consolas"/>
          <w:b w:val="0"/>
          <w:i/>
          <w:color w:val="606060"/>
          <w:sz w:val="20"/>
        </w:rPr>
        <w:t>CONTRACT.md</w:t>
      </w:r>
      <w:r>
        <w:rPr>
          <w:b w:val="0"/>
          <w:i/>
          <w:color w:val="606060"/>
        </w:rPr>
        <w:t xml:space="preserve">, </w:t>
      </w:r>
      <w:r>
        <w:rPr>
          <w:rFonts w:ascii="Consolas" w:hAnsi="Consolas"/>
          <w:b w:val="0"/>
          <w:i/>
          <w:color w:val="606060"/>
          <w:sz w:val="20"/>
        </w:rPr>
        <w:t>BUILD_PLAN_1.md</w:t>
      </w:r>
      <w:r>
        <w:rPr>
          <w:b w:val="0"/>
          <w:i/>
          <w:color w:val="606060"/>
        </w:rPr>
        <w:t xml:space="preserve">, </w:t>
      </w:r>
      <w:r>
        <w:rPr>
          <w:rFonts w:ascii="Consolas" w:hAnsi="Consolas"/>
          <w:b w:val="0"/>
          <w:i/>
          <w:color w:val="606060"/>
          <w:sz w:val="20"/>
        </w:rPr>
        <w:t>GAP_CLOSURE_PLAN.md</w:t>
      </w:r>
      <w:r>
        <w:rPr>
          <w:b w:val="0"/>
          <w:i/>
          <w:color w:val="606060"/>
        </w:rPr>
        <w:t xml:space="preserve">, </w:t>
      </w:r>
      <w:r>
        <w:rPr>
          <w:rFonts w:ascii="Consolas" w:hAnsi="Consolas"/>
          <w:b w:val="0"/>
          <w:i/>
          <w:color w:val="606060"/>
          <w:sz w:val="20"/>
        </w:rPr>
        <w:t>PROJECT_COMPLETION_PLAN.md</w:t>
      </w:r>
      <w:r>
        <w:rPr>
          <w:b w:val="0"/>
          <w:i/>
          <w:color w:val="606060"/>
        </w:rPr>
        <w:t>).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rPr>
          <w:b w:val="0"/>
          <w:i w:val="0"/>
        </w:rP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b w:val="0"/>
          <w:i/>
        </w:rPr>
        <w:t>et al.</w:t>
      </w:r>
      <w:r>
        <w:rPr>
          <w:b w:val="0"/>
          <w:i w:val="0"/>
        </w:rP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committed, re-runnable network trace of a 75-second live session against the production build under a full Content Security Policy records all 39 requests as same-origin, with no external request of any kind — and disclosed one genuine finding along the way: an undisclosed telemetry call inside a third-party dependency, caught and blocked at the browser-policy level, not patched around. A rebuilt parity gate additionally caught and fixed a real train/serve skew regression introduced by a later multi-face UI feature, demonstrating the value of the automated verification built around the system, not just the system itself.</w:t>
      </w:r>
    </w:p>
    <w:p>
      <w:pPr>
        <w:spacing w:after="160"/>
      </w:pPr>
      <w:r>
        <w:rPr>
          <w:b/>
          <w:i w:val="0"/>
        </w:rPr>
        <w:t>Keywords:</w:t>
      </w:r>
      <w:r>
        <w:rPr>
          <w:b w:val="0"/>
          <w:i w:val="0"/>
        </w:rP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rPr>
          <w:b w:val="0"/>
          <w:i w:val="0"/>
        </w:rP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rPr>
          <w:b w:val="0"/>
          <w:i w:val="0"/>
        </w:rPr>
        <w:t xml:space="preserve">This project was built in two tracks against a frozen interface contract, and I thank my Track B collaborator for holding that contract to the letter over twenty days of parallel development; the cross-language parity gate described in Chapter 4 only has value because both sides refused to change the specification quietly. I also thank the authors of the DAiSEE dataset (Gupta </w:t>
      </w:r>
      <w:r>
        <w:rPr>
          <w:b w:val="0"/>
          <w:i/>
        </w:rPr>
        <w:t>et al.</w:t>
      </w:r>
      <w:r>
        <w:rPr>
          <w:b w:val="0"/>
          <w:i w:val="0"/>
        </w:rP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rPr>
          <w:b w:val="0"/>
          <w:i w:val="0"/>
        </w:rP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rPr>
          <w:b w:val="0"/>
          <w:i w:val="0"/>
        </w:rP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r>
        <w:rPr>
          <w:b/>
          <w:color w:val="1F3864"/>
          <w:sz w:val="26"/>
        </w:rP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r>
        <w:rPr>
          <w:b/>
          <w:color w:val="1F3864"/>
          <w:sz w:val="26"/>
        </w:rPr>
        <w:t>List of Figures</w:t>
      </w:r>
    </w:p>
    <w:p>
      <w:r>
        <w:fldChar w:fldCharType="begin" w:dirty="true"/>
      </w:r>
      <w:r>
        <w:instrText xml:space="preserve"> TOC \h \z \t "Caption,1" </w:instrText>
      </w:r>
      <w:r>
        <w:fldChar w:fldCharType="separate"/>
      </w:r>
      <w:r>
        <w:rPr>
          <w:i/>
          <w:color w:val="808080"/>
        </w:rPr>
        <w:t>[This list is generated by Word. If it is still showing this line, press Ctrl+A then F9 to update all fields.]</w:t>
      </w:r>
      <w:r>
        <w:fldChar w:fldCharType="end"/>
      </w:r>
    </w:p>
    <w:p>
      <w:r>
        <w:br w:type="page"/>
      </w:r>
    </w:p>
    <w:p>
      <w:r>
        <w:rPr>
          <w:b/>
          <w:color w:val="1F3864"/>
          <w:sz w:val="26"/>
        </w:rPr>
        <w:t>List of Tables</w:t>
      </w:r>
    </w:p>
    <w:p>
      <w:r>
        <w:fldChar w:fldCharType="begin" w:dirty="true"/>
      </w:r>
      <w:r>
        <w:instrText xml:space="preserve"> TOC \h \z \t "Table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Term</w:t>
            </w:r>
          </w:p>
        </w:tc>
        <w:tc>
          <w:tcPr>
            <w:tcW w:type="dxa" w:w="4320"/>
            <w:shd w:val="clear" w:color="auto" w:fill="D9E2F3"/>
          </w:tcPr>
          <w:p>
            <w:r>
              <w:rPr>
                <w:b/>
              </w:rPr>
            </w:r>
            <w:r>
              <w:rPr>
                <w:b/>
                <w:i w:val="0"/>
              </w:rPr>
              <w:t>Meaning</w:t>
            </w:r>
          </w:p>
        </w:tc>
      </w:tr>
      <w:tr>
        <w:tc>
          <w:tcPr>
            <w:tcW w:type="dxa" w:w="4320"/>
          </w:tcPr>
          <w:p>
            <w:r/>
            <w:r>
              <w:rPr>
                <w:b w:val="0"/>
                <w:i w:val="0"/>
              </w:rPr>
              <w:t>CI</w:t>
            </w:r>
          </w:p>
        </w:tc>
        <w:tc>
          <w:tcPr>
            <w:tcW w:type="dxa" w:w="4320"/>
          </w:tcPr>
          <w:p>
            <w:r/>
            <w:r>
              <w:rPr>
                <w:b w:val="0"/>
                <w:i w:val="0"/>
              </w:rPr>
              <w:t>Continuous Integration — automated tests run on every code change (this project: GitHub Actions)</w:t>
            </w:r>
          </w:p>
        </w:tc>
      </w:tr>
      <w:tr>
        <w:tc>
          <w:tcPr>
            <w:tcW w:type="dxa" w:w="4320"/>
          </w:tcPr>
          <w:p>
            <w:r/>
            <w:r>
              <w:rPr>
                <w:b w:val="0"/>
                <w:i w:val="0"/>
              </w:rPr>
              <w:t>CONTRACT.md</w:t>
            </w:r>
          </w:p>
        </w:tc>
        <w:tc>
          <w:tcPr>
            <w:tcW w:type="dxa" w:w="4320"/>
          </w:tcPr>
          <w:p>
            <w:r/>
            <w:r>
              <w:rPr>
                <w:b w:val="0"/>
                <w:i w:val="0"/>
              </w:rPr>
              <w:t>This project's frozen interface specification between the Python training pipeline and the browser inference pipeline</w:t>
            </w:r>
          </w:p>
        </w:tc>
      </w:tr>
      <w:tr>
        <w:tc>
          <w:tcPr>
            <w:tcW w:type="dxa" w:w="4320"/>
          </w:tcPr>
          <w:p>
            <w:r/>
            <w:r>
              <w:rPr>
                <w:b w:val="0"/>
                <w:i w:val="0"/>
              </w:rPr>
              <w:t>CSP</w:t>
            </w:r>
          </w:p>
        </w:tc>
        <w:tc>
          <w:tcPr>
            <w:tcW w:type="dxa" w:w="4320"/>
          </w:tcPr>
          <w:p>
            <w:r/>
            <w:r>
              <w:rPr>
                <w:b w:val="0"/>
                <w:i w:val="0"/>
              </w:rPr>
              <w:t>Content Security Policy — a browser-enforced HTTP header restricting what a page is allowed to connect to</w:t>
            </w:r>
          </w:p>
        </w:tc>
      </w:tr>
      <w:tr>
        <w:tc>
          <w:tcPr>
            <w:tcW w:type="dxa" w:w="4320"/>
          </w:tcPr>
          <w:p>
            <w:r/>
            <w:r>
              <w:rPr>
                <w:b w:val="0"/>
                <w:i w:val="0"/>
              </w:rPr>
              <w:t>DAiSEE</w:t>
            </w:r>
          </w:p>
        </w:tc>
        <w:tc>
          <w:tcPr>
            <w:tcW w:type="dxa" w:w="4320"/>
          </w:tcPr>
          <w:p>
            <w:r/>
            <w:r>
              <w:rPr>
                <w:b w:val="0"/>
                <w:i w:val="0"/>
              </w:rPr>
              <w:t xml:space="preserve">Dataset for Affective States in E-Environments (Gupta </w:t>
            </w:r>
            <w:r>
              <w:rPr>
                <w:b w:val="0"/>
                <w:i/>
              </w:rPr>
              <w:t>et al.</w:t>
            </w:r>
            <w:r>
              <w:rPr>
                <w:b w:val="0"/>
                <w:i w:val="0"/>
              </w:rPr>
              <w:t>, 2016) — the video dataset this project trains on</w:t>
            </w:r>
          </w:p>
        </w:tc>
      </w:tr>
      <w:tr>
        <w:tc>
          <w:tcPr>
            <w:tcW w:type="dxa" w:w="4320"/>
          </w:tcPr>
          <w:p>
            <w:r/>
            <w:r>
              <w:rPr>
                <w:b w:val="0"/>
                <w:i w:val="0"/>
              </w:rPr>
              <w:t>EAR / MAR</w:t>
            </w:r>
          </w:p>
        </w:tc>
        <w:tc>
          <w:tcPr>
            <w:tcW w:type="dxa" w:w="4320"/>
          </w:tcPr>
          <w:p>
            <w:r/>
            <w:r>
              <w:rPr>
                <w:b w:val="0"/>
                <w:i w:val="0"/>
              </w:rPr>
              <w:t>Eye Aspect Ratio / Mouth Aspect Ratio — geometric ratios derived from facial landmark distances</w:t>
            </w:r>
          </w:p>
        </w:tc>
      </w:tr>
      <w:tr>
        <w:tc>
          <w:tcPr>
            <w:tcW w:type="dxa" w:w="4320"/>
          </w:tcPr>
          <w:p>
            <w:r/>
            <w:r>
              <w:rPr>
                <w:b w:val="0"/>
                <w:i w:val="0"/>
              </w:rPr>
              <w:t>Macro-F1</w:t>
            </w:r>
          </w:p>
        </w:tc>
        <w:tc>
          <w:tcPr>
            <w:tcW w:type="dxa" w:w="4320"/>
          </w:tcPr>
          <w:p>
            <w:r/>
            <w:r>
              <w:rPr>
                <w:b w:val="0"/>
                <w:i w:val="0"/>
              </w:rPr>
              <w:t>The F1 score (harmonic mean of precision and recall) averaged equally across classes, regardless of class size</w:t>
            </w:r>
          </w:p>
        </w:tc>
      </w:tr>
      <w:tr>
        <w:tc>
          <w:tcPr>
            <w:tcW w:type="dxa" w:w="4320"/>
          </w:tcPr>
          <w:p>
            <w:r/>
            <w:r>
              <w:rPr>
                <w:b w:val="0"/>
                <w:i w:val="0"/>
              </w:rPr>
              <w:t>ONNX</w:t>
            </w:r>
          </w:p>
        </w:tc>
        <w:tc>
          <w:tcPr>
            <w:tcW w:type="dxa" w:w="4320"/>
          </w:tcPr>
          <w:p>
            <w:r/>
            <w:r>
              <w:rPr>
                <w:b w:val="0"/>
                <w:i w:val="0"/>
              </w:rPr>
              <w:t>Open Neural Network Exchange — a portable format for trained model graphs</w:t>
            </w:r>
          </w:p>
        </w:tc>
      </w:tr>
      <w:tr>
        <w:tc>
          <w:tcPr>
            <w:tcW w:type="dxa" w:w="4320"/>
          </w:tcPr>
          <w:p>
            <w:r/>
            <w:r>
              <w:rPr>
                <w:b w:val="0"/>
                <w:i w:val="0"/>
              </w:rPr>
              <w:t>Parity gate</w:t>
            </w:r>
          </w:p>
        </w:tc>
        <w:tc>
          <w:tcPr>
            <w:tcW w:type="dxa" w:w="4320"/>
          </w:tcPr>
          <w:p>
            <w:r/>
            <w:r>
              <w:rPr>
                <w:b w:val="0"/>
                <w:i w:val="0"/>
              </w:rPr>
              <w:t>An automated test asserting that two independent implementations (here: Python and TypeScript feature extraction) produce numerically equivalent output</w:t>
            </w:r>
          </w:p>
        </w:tc>
      </w:tr>
      <w:tr>
        <w:tc>
          <w:tcPr>
            <w:tcW w:type="dxa" w:w="4320"/>
          </w:tcPr>
          <w:p>
            <w:r/>
            <w:r>
              <w:rPr>
                <w:b w:val="0"/>
                <w:i w:val="0"/>
              </w:rPr>
              <w:t>Quantization</w:t>
            </w:r>
          </w:p>
        </w:tc>
        <w:tc>
          <w:tcPr>
            <w:tcW w:type="dxa" w:w="4320"/>
          </w:tcPr>
          <w:p>
            <w:r/>
            <w:r>
              <w:rPr>
                <w:b w:val="0"/>
                <w:i w:val="0"/>
              </w:rPr>
              <w:t>Reducing a model's numeric precision (here: 32-bit floats to 8-bit integers) to shrink size and speed up inference</w:t>
            </w:r>
          </w:p>
        </w:tc>
      </w:tr>
      <w:tr>
        <w:tc>
          <w:tcPr>
            <w:tcW w:type="dxa" w:w="4320"/>
          </w:tcPr>
          <w:p>
            <w:r/>
            <w:r>
              <w:rPr>
                <w:b w:val="0"/>
                <w:i w:val="0"/>
              </w:rPr>
              <w:t>TCN</w:t>
            </w:r>
          </w:p>
        </w:tc>
        <w:tc>
          <w:tcPr>
            <w:tcW w:type="dxa" w:w="4320"/>
          </w:tcPr>
          <w:p>
            <w:r/>
            <w:r>
              <w:rPr>
                <w:b w:val="0"/>
                <w:i w:val="0"/>
              </w:rPr>
              <w:t>Temporal Convolutional Network — a 1-D dilated convolutional architecture for sequence modelling (Bai, Kolter and Koltun, 2018)</w:t>
            </w:r>
          </w:p>
        </w:tc>
      </w:tr>
      <w:tr>
        <w:tc>
          <w:tcPr>
            <w:tcW w:type="dxa" w:w="4320"/>
          </w:tcPr>
          <w:p>
            <w:r/>
            <w:r>
              <w:rPr>
                <w:b w:val="0"/>
                <w:i w:val="0"/>
              </w:rPr>
              <w:t>WASM</w:t>
            </w:r>
          </w:p>
        </w:tc>
        <w:tc>
          <w:tcPr>
            <w:tcW w:type="dxa" w:w="4320"/>
          </w:tcPr>
          <w:p>
            <w:r/>
            <w:r>
              <w:rPr>
                <w:b w:val="0"/>
                <w:i w:val="0"/>
              </w:rP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rPr>
          <w:b w:val="0"/>
          <w:i w:val="0"/>
        </w:rP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b w:val="0"/>
          <w:i/>
        </w:rPr>
        <w:t>automatic</w:t>
      </w:r>
      <w:r>
        <w:rPr>
          <w:b w:val="0"/>
          <w:i w:val="0"/>
        </w:rP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rPr>
          <w:b w:val="0"/>
          <w:i w:val="0"/>
        </w:rP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rPr>
          <w:b w:val="0"/>
          <w:i w:val="0"/>
        </w:rP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b w:val="0"/>
          <w:i/>
        </w:rPr>
        <w:t>by construction</w:t>
      </w:r>
      <w:r>
        <w:rPr>
          <w:b w:val="0"/>
          <w:i w:val="0"/>
        </w:rP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rPr>
          <w:b w:val="0"/>
          <w:i w:val="0"/>
        </w:rPr>
        <w:t xml:space="preserve">This project narrows that broad concern to a concrete, testable engineering question: </w:t>
      </w:r>
      <w:r>
        <w:rPr>
          <w:b/>
          <w:i w:val="0"/>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rPr>
          <w:b w:val="0"/>
          <w:i w:val="0"/>
        </w:rP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b w:val="0"/>
          <w:i w:val="0"/>
          <w:sz w:val="20"/>
        </w:rPr>
        <w:t>docs/privacy.md</w:t>
      </w:r>
      <w:r>
        <w:rPr>
          <w:b w:val="0"/>
          <w:i w:val="0"/>
        </w:rPr>
        <w:t>) rather than a sentence in a README.</w:t>
      </w:r>
    </w:p>
    <w:p>
      <w:pPr>
        <w:pStyle w:val="Heading2"/>
      </w:pPr>
      <w:r>
        <w:t>1.3 Framing as a Computer/Data Science Problem</w:t>
      </w:r>
    </w:p>
    <w:p>
      <w:pPr>
        <w:spacing w:after="160"/>
      </w:pPr>
      <w:r>
        <w:rPr>
          <w:b w:val="0"/>
          <w:i w:val="0"/>
        </w:rPr>
        <w:t>Reduced to its computational form, the problem has three coupled parts, each with its own well-established sub-field:</w:t>
      </w:r>
    </w:p>
    <w:p>
      <w:pPr>
        <w:pStyle w:val="ListNumber"/>
        <w:numPr>
          <w:ilvl w:val="0"/>
          <w:numId w:val="10"/>
        </w:numPr>
      </w:pPr>
      <w:r>
        <w:rPr>
          <w:b/>
          <w:i w:val="0"/>
        </w:rPr>
        <w:t>A supervised sequence-classification problem.</w:t>
      </w:r>
      <w:r>
        <w:rPr>
          <w:b w:val="0"/>
          <w:i w:val="0"/>
        </w:rP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numPr>
          <w:ilvl w:val="0"/>
          <w:numId w:val="11"/>
        </w:numPr>
      </w:pPr>
      <w:r>
        <w:rPr>
          <w:b/>
          <w:i w:val="0"/>
        </w:rPr>
        <w:t>A cross-language numerical-equivalence problem.</w:t>
      </w:r>
      <w:r>
        <w:rPr>
          <w:b w:val="0"/>
          <w:i w:val="0"/>
        </w:rP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numPr>
          <w:ilvl w:val="0"/>
          <w:numId w:val="12"/>
        </w:numPr>
      </w:pPr>
      <w:r>
        <w:rPr>
          <w:b/>
          <w:i w:val="0"/>
        </w:rPr>
        <w:t>A model-compression and edge-deployment problem.</w:t>
      </w:r>
      <w:r>
        <w:rPr>
          <w:b w:val="0"/>
          <w:i w:val="0"/>
        </w:rP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rPr>
          <w:b w:val="0"/>
          <w:i w:val="0"/>
        </w:rPr>
        <w:t>Specific, measurable, achievable, relevant, time-bound (S.M.A.R.T.) objectives, as executed against a 20-day build plan (</w:t>
      </w:r>
      <w:r>
        <w:rPr>
          <w:rFonts w:ascii="Consolas" w:hAnsi="Consolas"/>
          <w:b w:val="0"/>
          <w:i w:val="0"/>
          <w:sz w:val="20"/>
        </w:rPr>
        <w:t>BUILD_PLAN_1.md</w:t>
      </w:r>
      <w:r>
        <w:rPr>
          <w:b w:val="0"/>
          <w:i w:val="0"/>
        </w:rPr>
        <w:t>) and a subsequent verification/hardening pass (</w:t>
      </w:r>
      <w:r>
        <w:rPr>
          <w:rFonts w:ascii="Consolas" w:hAnsi="Consolas"/>
          <w:b w:val="0"/>
          <w:i w:val="0"/>
          <w:sz w:val="20"/>
        </w:rPr>
        <w:t>GAP_CLOSURE_PLAN.md</w:t>
      </w:r>
      <w:r>
        <w:rPr>
          <w:b w:val="0"/>
          <w:i w:val="0"/>
        </w:rPr>
        <w:t xml:space="preserve">, </w:t>
      </w:r>
      <w:r>
        <w:rPr>
          <w:rFonts w:ascii="Consolas" w:hAnsi="Consolas"/>
          <w:b w:val="0"/>
          <w:i w:val="0"/>
          <w:sz w:val="20"/>
        </w:rPr>
        <w:t>PROJECT_COMPLETION_PLAN.md</w:t>
      </w:r>
      <w:r>
        <w:rPr>
          <w:b w:val="0"/>
          <w:i w:val="0"/>
        </w:rPr>
        <w:t>):</w:t>
      </w:r>
    </w:p>
    <w:p>
      <w:pPr>
        <w:pStyle w:val="ListBullet"/>
      </w:pPr>
      <w:r>
        <w:rPr>
          <w:b/>
          <w:i w:val="0"/>
        </w:rPr>
        <w:t>O1.</w:t>
      </w:r>
      <w:r>
        <w:rPr>
          <w:b w:val="0"/>
          <w:i w:val="0"/>
        </w:rPr>
        <w:t xml:space="preserve"> Implement a 13-feature facial geometry extractor, identical in Python and TypeScript to within a max-absolute-difference tolerance of 0.02 per feature, verified by an automated cross-language test — </w:t>
      </w:r>
      <w:r>
        <w:rPr>
          <w:b w:val="0"/>
          <w:i/>
        </w:rPr>
        <w:t>achieved, Section 4 Experiment 1</w:t>
      </w:r>
      <w:r>
        <w:rPr>
          <w:b w:val="0"/>
          <w:i w:val="0"/>
        </w:rPr>
        <w:t>.</w:t>
      </w:r>
    </w:p>
    <w:p>
      <w:pPr>
        <w:pStyle w:val="ListBullet"/>
      </w:pPr>
      <w:r>
        <w:rPr>
          <w:b/>
          <w:i w:val="0"/>
        </w:rPr>
        <w:t>O2.</w:t>
      </w:r>
      <w:r>
        <w:rPr>
          <w:b w:val="0"/>
          <w:i w:val="0"/>
        </w:rPr>
        <w:t xml:space="preserve"> Train a temporal model on the DAiSEE dataset that beats a majority-class baseline and two classical-ML baselines on validation macro-F1 — </w:t>
      </w:r>
      <w:r>
        <w:rPr>
          <w:b w:val="0"/>
          <w:i/>
        </w:rPr>
        <w:t>achieved, Section 4 Experiments 2–3</w:t>
      </w:r>
      <w:r>
        <w:rPr>
          <w:b w:val="0"/>
          <w:i w:val="0"/>
        </w:rPr>
        <w:t>.</w:t>
      </w:r>
    </w:p>
    <w:p>
      <w:pPr>
        <w:pStyle w:val="ListBullet"/>
      </w:pPr>
      <w:r>
        <w:rPr>
          <w:b/>
          <w:i w:val="0"/>
        </w:rPr>
        <w:t>O3.</w:t>
      </w:r>
      <w:r>
        <w:rPr>
          <w:b w:val="0"/>
          <w:i w:val="0"/>
        </w:rPr>
        <w:t xml:space="preserve"> Quantize the trained model to int8 and ship it inside a browser application that reaches "live" (camera → landmarks → features → inference → UI) end-to-end, with a measured inference latency compatible with real-time use — </w:t>
      </w:r>
      <w:r>
        <w:rPr>
          <w:b w:val="0"/>
          <w:i/>
        </w:rPr>
        <w:t>achieved, Section 4 Experiments 3, 5</w:t>
      </w:r>
      <w:r>
        <w:rPr>
          <w:b w:val="0"/>
          <w:i w:val="0"/>
        </w:rPr>
        <w:t>.</w:t>
      </w:r>
    </w:p>
    <w:p>
      <w:pPr>
        <w:pStyle w:val="ListBullet"/>
      </w:pPr>
      <w:r>
        <w:rPr>
          <w:b/>
          <w:i w:val="0"/>
        </w:rPr>
        <w:t>O4.</w:t>
      </w:r>
      <w:r>
        <w:rPr>
          <w:b w:val="0"/>
          <w:i w:val="0"/>
        </w:rPr>
        <w:t xml:space="preserve"> Produce direct, recorded evidence for the privacy claim (a network trace of a live session), not an assertion — </w:t>
      </w:r>
      <w:r>
        <w:rPr>
          <w:b w:val="0"/>
          <w:i/>
        </w:rPr>
        <w:t>achieved, Section 4 Experiment 4</w:t>
      </w:r>
      <w:r>
        <w:rPr>
          <w:b w:val="0"/>
          <w:i w:val="0"/>
        </w:rPr>
        <w:t>.</w:t>
      </w:r>
    </w:p>
    <w:p>
      <w:pPr>
        <w:pStyle w:val="ListBullet"/>
      </w:pPr>
      <w:r>
        <w:rPr>
          <w:b/>
          <w:i w:val="0"/>
        </w:rPr>
        <w:t>O5.</w:t>
      </w:r>
      <w:r>
        <w:rPr>
          <w:b w:val="0"/>
          <w:i w:val="0"/>
        </w:rPr>
        <w:t xml:space="preserve"> Verify the system survives realistic deployment conditions — a clean install on an unmodified machine, more than one browser engine, and deliberately adverse camera conditions (no face, multiple faces, poor lighting, glasses) — </w:t>
      </w:r>
      <w:r>
        <w:rPr>
          <w:b w:val="0"/>
          <w:i/>
        </w:rPr>
        <w:t>achieved, Section 4 Experiment 6</w:t>
      </w:r>
      <w:r>
        <w:rPr>
          <w:b w:val="0"/>
          <w:i w:val="0"/>
        </w:rPr>
        <w:t>.</w:t>
      </w:r>
    </w:p>
    <w:p>
      <w:pPr>
        <w:pStyle w:val="Heading2"/>
      </w:pPr>
      <w:r>
        <w:t>1.5 Dataset Details and Exploratory Data Analysis</w:t>
      </w:r>
    </w:p>
    <w:p>
      <w:pPr>
        <w:spacing w:after="160"/>
      </w:pPr>
      <w:r>
        <w:rPr>
          <w:b w:val="0"/>
          <w:i w:val="0"/>
        </w:rPr>
        <w:t xml:space="preserve">The project trains on </w:t>
      </w:r>
      <w:r>
        <w:rPr>
          <w:b/>
          <w:i w:val="0"/>
        </w:rPr>
        <w:t>DAiSEE</w:t>
      </w:r>
      <w:r>
        <w:rPr>
          <w:b w:val="0"/>
          <w:i w:val="0"/>
        </w:rPr>
        <w:t xml:space="preserve"> (Dataset for Affective States in E-Environments; Gupta </w:t>
      </w:r>
      <w:r>
        <w:rPr>
          <w:b w:val="0"/>
          <w:i/>
        </w:rPr>
        <w:t>et al.</w:t>
      </w:r>
      <w:r>
        <w:rPr>
          <w:b w:val="0"/>
          <w:i w:val="0"/>
        </w:rP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 (Kamath, Biswas and Balasubramanian, 2016).</w:t>
      </w:r>
    </w:p>
    <w:p>
      <w:pPr>
        <w:spacing w:after="160"/>
      </w:pPr>
      <w:r>
        <w:rPr>
          <w:b/>
          <w:i w:val="0"/>
        </w:rPr>
        <w:t xml:space="preserve">Pre-processing pipeline (executed once, </w:t>
      </w:r>
      <w:r>
        <w:rPr>
          <w:rFonts w:ascii="Consolas" w:hAnsi="Consolas"/>
          <w:b/>
          <w:i w:val="0"/>
          <w:sz w:val="20"/>
        </w:rPr>
        <w:t>ml/src/extract.py</w:t>
      </w:r>
      <w:r>
        <w:rPr>
          <w:b/>
          <w:i w:val="0"/>
        </w:rPr>
        <w:t xml:space="preserve">; full parameters and results in </w:t>
      </w:r>
      <w:r>
        <w:rPr>
          <w:rFonts w:ascii="Consolas" w:hAnsi="Consolas"/>
          <w:b/>
          <w:i w:val="0"/>
          <w:sz w:val="20"/>
        </w:rPr>
        <w:t>docs/results/extraction_stats.json</w:t>
      </w:r>
      <w:r>
        <w:rPr>
          <w:b/>
          <w:i w:val="0"/>
        </w:rPr>
        <w:t>):</w:t>
      </w:r>
    </w:p>
    <w:p>
      <w:pPr>
        <w:pStyle w:val="ListBullet"/>
      </w:pPr>
      <w:r>
        <w:rPr>
          <w:b w:val="0"/>
          <w:i w:val="0"/>
        </w:rPr>
        <w:t xml:space="preserve">All 9,067 clips present on disk (5,481 / 1,720 / 1,866 across the official Train / Validation / Test folders) were processed to feature CSVs; the committed </w:t>
      </w:r>
      <w:r>
        <w:rPr>
          <w:rFonts w:ascii="Consolas" w:hAnsi="Consolas"/>
          <w:b w:val="0"/>
          <w:i w:val="0"/>
          <w:sz w:val="20"/>
        </w:rPr>
        <w:t>extraction_stats.json</w:t>
      </w:r>
      <w:r>
        <w:rPr>
          <w:b w:val="0"/>
          <w:i w:val="0"/>
        </w:rPr>
        <w:t xml:space="preserve"> records the 9,032 processed in its final </w:t>
      </w:r>
      <w:r>
        <w:rPr>
          <w:rFonts w:ascii="Consolas" w:hAnsi="Consolas"/>
          <w:b w:val="0"/>
          <w:i w:val="0"/>
          <w:sz w:val="20"/>
        </w:rPr>
        <w:t>--resume</w:t>
      </w:r>
      <w:r>
        <w:rPr>
          <w:b w:val="0"/>
          <w:i w:val="0"/>
        </w:rP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i w:val="0"/>
        </w:rPr>
        <w:t>8,570 clips (5,357 / 1,429 / 1,784)</w:t>
      </w:r>
      <w:r>
        <w:rPr>
          <w:b w:val="0"/>
          <w:i w:val="0"/>
        </w:rPr>
        <w:t>. The official split is used unmodified so results remain comparable to the published benchmark, rather than re-splitting.</w:t>
      </w:r>
    </w:p>
    <w:p>
      <w:pPr>
        <w:pStyle w:val="ListBullet"/>
      </w:pPr>
      <w:r>
        <w:rPr>
          <w:b w:val="0"/>
          <w:i w:val="0"/>
        </w:rPr>
        <w:t xml:space="preserve">Each clip was sampled at 10 FPS (every third frame of the native ~30 FPS source) and run through a MediaPipe FaceLandmarker to extract 478 facial landmarks (Kartynnik </w:t>
      </w:r>
      <w:r>
        <w:rPr>
          <w:b w:val="0"/>
          <w:i/>
        </w:rPr>
        <w:t>et al.</w:t>
      </w:r>
      <w:r>
        <w:rPr>
          <w:b w:val="0"/>
          <w:i w:val="0"/>
        </w:rPr>
        <w:t>, 2019) per sampled frame.</w:t>
      </w:r>
    </w:p>
    <w:p>
      <w:pPr>
        <w:pStyle w:val="ListBullet"/>
      </w:pPr>
      <w:r>
        <w:rPr>
          <w:b/>
          <w:i w:val="0"/>
        </w:rPr>
        <w:t>Face-detection rate: 99.96%</w:t>
      </w:r>
      <w:r>
        <w:rPr>
          <w:b w:val="0"/>
          <w:i w:val="0"/>
        </w:rP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rPr>
          <w:b w:val="0"/>
          <w:i w:val="0"/>
        </w:rPr>
        <w:t xml:space="preserve">Each clip's ~100 per-frame feature rows were windowed with a stride of 10 over a 30-frame (3.0 s) span, yielding roughly 8 overlapping windows per clip; </w:t>
      </w:r>
      <w:r>
        <w:rPr>
          <w:b/>
          <w:i w:val="0"/>
        </w:rPr>
        <w:t>42,856 / 11,432 / 14,241 windows</w:t>
      </w:r>
      <w:r>
        <w:rPr>
          <w:b w:val="0"/>
          <w:i w:val="0"/>
        </w:rPr>
        <w:t xml:space="preserve"> for Train / Validation / Test respectively.</w:t>
      </w:r>
    </w:p>
    <w:p>
      <w:pPr>
        <w:spacing w:after="160"/>
      </w:pPr>
      <w:r>
        <w:rPr>
          <w:b/>
          <w:i w:val="0"/>
        </w:rPr>
        <w:t xml:space="preserve">Class imbalance — the central empirical fact shaping every later decision (labels via </w:t>
      </w:r>
      <w:r>
        <w:rPr>
          <w:rFonts w:ascii="Consolas" w:hAnsi="Consolas"/>
          <w:b/>
          <w:i w:val="0"/>
          <w:sz w:val="20"/>
        </w:rPr>
        <w:t>ml/src/labels.py</w:t>
      </w:r>
      <w:r>
        <w:rPr>
          <w:b/>
          <w:i w:val="0"/>
        </w:rPr>
        <w:t xml:space="preserve">; exact support counts from </w:t>
      </w:r>
      <w:r>
        <w:rPr>
          <w:rFonts w:ascii="Consolas" w:hAnsi="Consolas"/>
          <w:b/>
          <w:i w:val="0"/>
          <w:sz w:val="20"/>
        </w:rPr>
        <w:t>docs/results/metrics_test.csv</w:t>
      </w:r>
      <w:r>
        <w:rPr>
          <w:b/>
          <w:i w:val="0"/>
        </w:rPr>
        <w:t>):</w:t>
      </w:r>
      <w:r>
        <w:rPr>
          <w:b w:val="0"/>
          <w:i w:val="0"/>
        </w:rP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from the label CSVs (8,571 clips; the downstream corpus also requires a successful extraction, so one Train clip differs).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rPr>
          <w:b w:val="0"/>
          <w:i w:val="0"/>
        </w:rP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i w:val="0"/>
        </w:rPr>
        <w:t>eye aspect ratio (EAR)</w:t>
      </w:r>
      <w:r>
        <w:rPr>
          <w:b w:val="0"/>
          <w:i w:val="0"/>
        </w:rPr>
        <w:t xml:space="preserve"> of Soukupová and Čech (2016): a scalar computed from six landmarks around each eye, </w:t>
      </w:r>
      <w:r>
        <w:rPr>
          <w:rFonts w:ascii="Consolas" w:hAnsi="Consolas"/>
          <w:b w:val="0"/>
          <w:i w:val="0"/>
          <w:sz w:val="20"/>
        </w:rPr>
        <w:t>(|p2−p6| + |p3−p5|) / (2|p1−p4|)</w:t>
      </w:r>
      <w:r>
        <w:rPr>
          <w:b w:val="0"/>
          <w:i w:val="0"/>
        </w:rP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rPr>
          <w:b w:val="0"/>
          <w:i w:val="0"/>
        </w:rPr>
        <w:t>This project adopts the EAR formula from Soukupová and Čech (2016) essentially unchanged (</w:t>
      </w:r>
      <w:r>
        <w:rPr>
          <w:rFonts w:ascii="Consolas" w:hAnsi="Consolas"/>
          <w:b w:val="0"/>
          <w:i w:val="0"/>
          <w:sz w:val="20"/>
        </w:rPr>
        <w:t>ml/src/features.py</w:t>
      </w:r>
      <w:r>
        <w:rPr>
          <w:b w:val="0"/>
          <w:i w:val="0"/>
        </w:rPr>
        <w:t xml:space="preserve">, </w:t>
      </w:r>
      <w:r>
        <w:rPr>
          <w:rFonts w:ascii="Consolas" w:hAnsi="Consolas"/>
          <w:b w:val="0"/>
          <w:i w:val="0"/>
          <w:sz w:val="20"/>
        </w:rPr>
        <w:t>eye_aspect_ratio</w:t>
      </w:r>
      <w:r>
        <w:rPr>
          <w:b w:val="0"/>
          <w:i w:val="0"/>
        </w:rP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b w:val="0"/>
          <w:i/>
        </w:rPr>
        <w:t>second, independent implementation</w:t>
      </w:r>
      <w:r>
        <w:rPr>
          <w:b w:val="0"/>
          <w:i w:val="0"/>
        </w:rP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i w:val="0"/>
        </w:rPr>
        <w:t>MediaPipe Face Mesh</w:t>
      </w:r>
      <w:r>
        <w:rPr>
          <w:b w:val="0"/>
          <w:i w:val="0"/>
        </w:rPr>
        <w:t xml:space="preserve"> (Kartynnik </w:t>
      </w:r>
      <w:r>
        <w:rPr>
          <w:b w:val="0"/>
          <w:i/>
        </w:rPr>
        <w:t>et al.</w:t>
      </w:r>
      <w:r>
        <w:rPr>
          <w:b w:val="0"/>
          <w:i w:val="0"/>
        </w:rPr>
        <w:t xml:space="preserve">, 2019) is a neural-network-based model that predicts an approximate 3-D mesh of 468 surface points from a single RGB frame, running in real time on mobile GPUs without specialised hardware; </w:t>
      </w:r>
      <w:r>
        <w:rPr>
          <w:b/>
          <w:i w:val="0"/>
        </w:rPr>
        <w:t>MediaPipe Iris</w:t>
      </w:r>
      <w:r>
        <w:rPr>
          <w:b w:val="0"/>
          <w:i w:val="0"/>
        </w:rPr>
        <w:t xml:space="preserve"> extends the same framework with dedicated iris-landmark prediction, enabling gaze- and depth-related features from a standard webcam (Lugaresi </w:t>
      </w:r>
      <w:r>
        <w:rPr>
          <w:b w:val="0"/>
          <w:i/>
        </w:rPr>
        <w:t>et al.</w:t>
      </w:r>
      <w:r>
        <w:rPr>
          <w:b w:val="0"/>
          <w:i w:val="0"/>
        </w:rPr>
        <w:t xml:space="preserve">, 2019). Separately, classical head-pose estimation typically solves the </w:t>
      </w:r>
      <w:r>
        <w:rPr>
          <w:b/>
          <w:i w:val="0"/>
        </w:rPr>
        <w:t>Perspective-n-Point (PnP)</w:t>
      </w:r>
      <w:r>
        <w:rPr>
          <w:b w:val="0"/>
          <w:i w:val="0"/>
        </w:rP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b w:val="0"/>
          <w:i/>
        </w:rPr>
        <w:t>n</w:t>
      </w:r>
      <w:r>
        <w:rPr>
          <w:b w:val="0"/>
          <w:i w:val="0"/>
        </w:rPr>
        <w:t xml:space="preserve"> to linear while retaining accuracy.</w:t>
      </w:r>
    </w:p>
    <w:p>
      <w:pPr>
        <w:pStyle w:val="Heading3"/>
      </w:pPr>
      <w:r>
        <w:t>2.2.2 Fit with this project's methodology</w:t>
      </w:r>
    </w:p>
    <w:p>
      <w:pPr>
        <w:spacing w:after="160"/>
      </w:pPr>
      <w:r>
        <w:rPr>
          <w:b w:val="0"/>
          <w:i w:val="0"/>
        </w:rPr>
        <w:t xml:space="preserve">This project uses MediaPipe's Tasks API </w:t>
      </w:r>
      <w:r>
        <w:rPr>
          <w:rFonts w:ascii="Consolas" w:hAnsi="Consolas"/>
          <w:b w:val="0"/>
          <w:i w:val="0"/>
          <w:sz w:val="20"/>
        </w:rPr>
        <w:t>FaceLandmarker</w:t>
      </w:r>
      <w:r>
        <w:rPr>
          <w:b w:val="0"/>
          <w:i w:val="0"/>
        </w:rPr>
        <w:t xml:space="preserve">, built on the Kartynnik </w:t>
      </w:r>
      <w:r>
        <w:rPr>
          <w:b w:val="0"/>
          <w:i/>
        </w:rPr>
        <w:t>et al.</w:t>
      </w:r>
      <w:r>
        <w:rPr>
          <w:b w:val="0"/>
          <w:i w:val="0"/>
        </w:rPr>
        <w:t xml:space="preserve"> (2019) mesh model extended to 478 points (468 surface + 10 iris), on </w:t>
      </w:r>
      <w:r>
        <w:rPr>
          <w:b/>
          <w:i w:val="0"/>
        </w:rPr>
        <w:t>both</w:t>
      </w:r>
      <w:r>
        <w:rPr>
          <w:b w:val="0"/>
          <w:i w:val="0"/>
        </w:rPr>
        <w:t xml:space="preserve"> sides of the pipeline (Python, via </w:t>
      </w:r>
      <w:r>
        <w:rPr>
          <w:rFonts w:ascii="Consolas" w:hAnsi="Consolas"/>
          <w:b w:val="0"/>
          <w:i w:val="0"/>
          <w:sz w:val="20"/>
        </w:rPr>
        <w:t>mediapipe.tasks.python</w:t>
      </w:r>
      <w:r>
        <w:rPr>
          <w:b w:val="0"/>
          <w:i w:val="0"/>
        </w:rPr>
        <w:t xml:space="preserve">, and browser, via </w:t>
      </w:r>
      <w:r>
        <w:rPr>
          <w:rFonts w:ascii="Consolas" w:hAnsi="Consolas"/>
          <w:b w:val="0"/>
          <w:i w:val="0"/>
          <w:sz w:val="20"/>
        </w:rPr>
        <w:t>@mediapipe/tasks-vision</w:t>
      </w:r>
      <w:r>
        <w:rPr>
          <w:b w:val="0"/>
          <w:i w:val="0"/>
        </w:rP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rPr>
          <w:b w:val="0"/>
          <w:i w:val="0"/>
        </w:rPr>
        <w:t xml:space="preserve">Head pose is the one area where this project deliberately does </w:t>
      </w:r>
      <w:r>
        <w:rPr>
          <w:b/>
          <w:i w:val="0"/>
        </w:rPr>
        <w:t>not</w:t>
      </w:r>
      <w:r>
        <w:rPr>
          <w:b w:val="0"/>
          <w:i w:val="0"/>
        </w:rPr>
        <w:t xml:space="preserve"> follow the dominant prior approach. A true PnP solution (EPnP or otherwise) requires </w:t>
      </w:r>
      <w:r>
        <w:rPr>
          <w:rFonts w:ascii="Consolas" w:hAnsi="Consolas"/>
          <w:b w:val="0"/>
          <w:i w:val="0"/>
          <w:sz w:val="20"/>
        </w:rPr>
        <w:t>cv2.solvePnP</w:t>
      </w:r>
      <w:r>
        <w:rPr>
          <w:b w:val="0"/>
          <w:i w:val="0"/>
        </w:rPr>
        <w:t xml:space="preserve"> on the Python side and an equivalent on the browser side; the only practical browser equivalent, </w:t>
      </w:r>
      <w:r>
        <w:rPr>
          <w:rFonts w:ascii="Consolas" w:hAnsi="Consolas"/>
          <w:b w:val="0"/>
          <w:i w:val="0"/>
          <w:sz w:val="20"/>
        </w:rPr>
        <w:t>opencv.js</w:t>
      </w:r>
      <w:r>
        <w:rPr>
          <w:b w:val="0"/>
          <w:i w:val="0"/>
        </w:rPr>
        <w:t xml:space="preserve">, costs roughly 8 MB of additional WASM purely to obtain three Euler angles — disproportionate for an application whose entire premise is a minimal footprint. Instead, yaw, pitch, and roll are computed as </w:t>
      </w:r>
      <w:r>
        <w:rPr>
          <w:b/>
          <w:i w:val="0"/>
        </w:rPr>
        <w:t>geometric pose proxies</w:t>
      </w:r>
      <w:r>
        <w:rPr>
          <w:b w:val="0"/>
          <w:i w:val="0"/>
        </w:rP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rPr>
          <w:b w:val="0"/>
          <w:i w:val="0"/>
        </w:rPr>
        <w:t xml:space="preserve">Two DAiSEE-specific prior works are directly comparable to this project's approach. Abedi and Khan (2021) combine a 2-D ResNet spatial encoder with a </w:t>
      </w:r>
      <w:r>
        <w:rPr>
          <w:b/>
          <w:i w:val="0"/>
        </w:rPr>
        <w:t>Temporal Convolutional Network (TCN)</w:t>
      </w:r>
      <w:r>
        <w:rPr>
          <w:b w:val="0"/>
          <w:i w:val="0"/>
        </w:rP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rPr>
          <w:b w:val="0"/>
          <w:i w:val="0"/>
        </w:rPr>
        <w:t xml:space="preserve">This project's architecture (Section 3, </w:t>
      </w:r>
      <w:r>
        <w:rPr>
          <w:rFonts w:ascii="Consolas" w:hAnsi="Consolas"/>
          <w:b w:val="0"/>
          <w:i w:val="0"/>
          <w:sz w:val="20"/>
        </w:rPr>
        <w:t>ml/src/model.py</w:t>
      </w:r>
      <w:r>
        <w:rPr>
          <w:b w:val="0"/>
          <w:i w:val="0"/>
        </w:rP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b w:val="0"/>
          <w:i/>
        </w:rPr>
        <w:t>accuracy</w:t>
      </w:r>
      <w:r>
        <w:rPr>
          <w:b w:val="0"/>
          <w:i w:val="0"/>
        </w:rP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rPr>
          <w:b w:val="0"/>
          <w:i w:val="0"/>
        </w:rP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rPr>
          <w:b w:val="0"/>
          <w:i w:val="0"/>
        </w:rP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rPr>
          <w:b w:val="0"/>
          <w:i w:val="0"/>
        </w:rP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rPr>
          <w:b w:val="0"/>
          <w:i w:val="0"/>
        </w:rPr>
        <w:t xml:space="preserve">Jacob </w:t>
      </w:r>
      <w:r>
        <w:rPr>
          <w:b w:val="0"/>
          <w:i/>
        </w:rPr>
        <w:t>et al.</w:t>
      </w:r>
      <w:r>
        <w:rPr>
          <w:b w:val="0"/>
          <w:i w:val="0"/>
        </w:rP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rPr>
          <w:b w:val="0"/>
          <w:i w:val="0"/>
        </w:rPr>
        <w:t xml:space="preserve">This project applies </w:t>
      </w:r>
      <w:r>
        <w:rPr>
          <w:b/>
          <w:i w:val="0"/>
        </w:rPr>
        <w:t>static QDQ int8 quantization</w:t>
      </w:r>
      <w:r>
        <w:rPr>
          <w:b w:val="0"/>
          <w:i w:val="0"/>
        </w:rPr>
        <w:t xml:space="preserve"> (via ONNX Runtime's </w:t>
      </w:r>
      <w:r>
        <w:rPr>
          <w:rFonts w:ascii="Consolas" w:hAnsi="Consolas"/>
          <w:b w:val="0"/>
          <w:i w:val="0"/>
          <w:sz w:val="20"/>
        </w:rPr>
        <w:t>quantize_static</w:t>
      </w:r>
      <w:r>
        <w:rPr>
          <w:b w:val="0"/>
          <w:i w:val="0"/>
        </w:rPr>
        <w:t xml:space="preserve">, </w:t>
      </w:r>
      <w:r>
        <w:rPr>
          <w:rFonts w:ascii="Consolas" w:hAnsi="Consolas"/>
          <w:b w:val="0"/>
          <w:i w:val="0"/>
          <w:sz w:val="20"/>
        </w:rPr>
        <w:t>ml/src/export.py</w:t>
      </w:r>
      <w:r>
        <w:rPr>
          <w:b w:val="0"/>
          <w:i w:val="0"/>
        </w:rPr>
        <w:t xml:space="preserve">) in the spirit of Jacob </w:t>
      </w:r>
      <w:r>
        <w:rPr>
          <w:b w:val="0"/>
          <w:i/>
        </w:rPr>
        <w:t>et al.</w:t>
      </w:r>
      <w:r>
        <w:rPr>
          <w:b w:val="0"/>
          <w:i w:val="0"/>
        </w:rP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i w:val="0"/>
        </w:rPr>
        <w:t>dynamic</w:t>
      </w:r>
      <w:r>
        <w:rPr>
          <w:b w:val="0"/>
          <w:i w:val="0"/>
        </w:rPr>
        <w:t xml:space="preserve"> quantization produced a model that loaded but could not execute in onnxruntime-web's WASM backend, because dynamic quantization emits </w:t>
      </w:r>
      <w:r>
        <w:rPr>
          <w:rFonts w:ascii="Consolas" w:hAnsi="Consolas"/>
          <w:b w:val="0"/>
          <w:i w:val="0"/>
          <w:sz w:val="20"/>
        </w:rPr>
        <w:t>ConvInteger</w:t>
      </w:r>
      <w:r>
        <w:rPr>
          <w:b w:val="0"/>
          <w:i w:val="0"/>
        </w:rPr>
        <w:t xml:space="preserve"> operator nodes that onnxruntime-web does not implement, whereas static QDQ quantization emits </w:t>
      </w:r>
      <w:r>
        <w:rPr>
          <w:rFonts w:ascii="Consolas" w:hAnsi="Consolas"/>
          <w:b w:val="0"/>
          <w:i w:val="0"/>
          <w:sz w:val="20"/>
        </w:rPr>
        <w:t>QLinearConv</w:t>
      </w:r>
      <w:r>
        <w:rPr>
          <w:b w:val="0"/>
          <w:i w:val="0"/>
        </w:rPr>
        <w:t xml:space="preserve"> nodes, which it does. This was discovered empirically via a dedicated browser-execution smoke test (</w:t>
      </w:r>
      <w:r>
        <w:rPr>
          <w:rFonts w:ascii="Consolas" w:hAnsi="Consolas"/>
          <w:b w:val="0"/>
          <w:i w:val="0"/>
          <w:sz w:val="20"/>
        </w:rPr>
        <w:t>ml/scripts/browser_tests.py</w:t>
      </w:r>
      <w:r>
        <w:rPr>
          <w:b w:val="0"/>
          <w:i w:val="0"/>
        </w:rP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rPr>
          <w:b w:val="0"/>
          <w:i w:val="0"/>
        </w:rPr>
        <w:t xml:space="preserve">Two further methods entered this project during its extended experimentation phase (Chapter 4, Experiments 7–8) and are reviewed here for completeness. </w:t>
      </w:r>
      <w:r>
        <w:rPr>
          <w:b/>
          <w:i w:val="0"/>
        </w:rPr>
        <w:t>CORAL</w:t>
      </w:r>
      <w:r>
        <w:rPr>
          <w:b w:val="0"/>
          <w:i w:val="0"/>
        </w:rPr>
        <w:t xml:space="preserve"> (Cao, Mirjalili and Raschka, 2020) reformulates ordinal classification — categories with a meaningful order, such as DAiSEE's very-low-to-very-high engagement scale — as a set of rank-consistent binary "greater than level </w:t>
      </w:r>
      <w:r>
        <w:rPr>
          <w:b w:val="0"/>
          <w:i/>
        </w:rPr>
        <w:t>k</w:t>
      </w:r>
      <w:r>
        <w:rPr>
          <w:b w:val="0"/>
          <w:i w:val="0"/>
        </w:rPr>
        <w:t xml:space="preserve">" sub-problems sharing one learned representation, guaranteeing the predicted rank probabilities are monotonically consistent, unlike naive per-threshold classifiers. </w:t>
      </w:r>
      <w:r>
        <w:rPr>
          <w:b/>
          <w:i w:val="0"/>
        </w:rPr>
        <w:t>Optuna</w:t>
      </w:r>
      <w:r>
        <w:rPr>
          <w:b w:val="0"/>
          <w:i w:val="0"/>
        </w:rPr>
        <w:t xml:space="preserve"> (Akiba </w:t>
      </w:r>
      <w:r>
        <w:rPr>
          <w:b w:val="0"/>
          <w:i/>
        </w:rPr>
        <w:t>et al.</w:t>
      </w:r>
      <w:r>
        <w:rPr>
          <w:b w:val="0"/>
          <w:i w:val="0"/>
        </w:rP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rPr>
          <w:b w:val="0"/>
          <w:i w:val="0"/>
        </w:rPr>
        <w:t xml:space="preserve">Both are used as </w:t>
      </w:r>
      <w:r>
        <w:rPr>
          <w:b w:val="0"/>
          <w:i/>
        </w:rPr>
        <w:t>interrogation tools</w:t>
      </w:r>
      <w:r>
        <w:rPr>
          <w:b w:val="0"/>
          <w:i w:val="0"/>
        </w:rP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rPr>
          <w:b w:val="0"/>
          <w:i w:val="0"/>
        </w:rP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rPr>
          <w:b w:val="0"/>
          <w:i w:val="0"/>
        </w:rPr>
        <w:t>Derived directly from the dataset properties established in Section 1.5 and the prior-work gaps identified in Section 2:</w:t>
      </w:r>
    </w:p>
    <w:p>
      <w:pPr>
        <w:pStyle w:val="TableCaption"/>
      </w:pPr>
      <w:r>
        <w:rPr>
          <w:b w:val="0"/>
          <w:i w:val="0"/>
        </w:rPr>
        <w:t>Table 3.1 — Functional and non-functional requirements, each traced to the dataset property or prior-work gap that motivates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Requirement</w:t>
            </w:r>
          </w:p>
        </w:tc>
        <w:tc>
          <w:tcPr>
            <w:tcW w:type="dxa" w:w="2880"/>
            <w:shd w:val="clear" w:color="auto" w:fill="D9E2F3"/>
          </w:tcPr>
          <w:p>
            <w:r>
              <w:rPr>
                <w:b/>
              </w:rPr>
            </w:r>
            <w:r>
              <w:rPr>
                <w:b/>
                <w:i w:val="0"/>
              </w:rPr>
              <w:t>Source</w:t>
            </w:r>
          </w:p>
        </w:tc>
      </w:tr>
      <w:tr>
        <w:tc>
          <w:tcPr>
            <w:tcW w:type="dxa" w:w="2880"/>
          </w:tcPr>
          <w:p>
            <w:r/>
            <w:r>
              <w:rPr>
                <w:b w:val="0"/>
                <w:i w:val="0"/>
              </w:rPr>
              <w:t>R1</w:t>
            </w:r>
          </w:p>
        </w:tc>
        <w:tc>
          <w:tcPr>
            <w:tcW w:type="dxa" w:w="2880"/>
          </w:tcPr>
          <w:p>
            <w:r/>
            <w:r>
              <w:rPr>
                <w:b w:val="0"/>
                <w:i w:val="0"/>
              </w:rPr>
              <w:t>Feature extraction must be numerically reproducible across two independent language implementations (Python training, TypeScript inference), to a documented, empirically-justified tolerance</w:t>
            </w:r>
          </w:p>
        </w:tc>
        <w:tc>
          <w:tcPr>
            <w:tcW w:type="dxa" w:w="2880"/>
          </w:tcPr>
          <w:p>
            <w:r/>
            <w:r>
              <w:rPr>
                <w:b w:val="0"/>
                <w:i w:val="0"/>
              </w:rPr>
              <w:t>Section 1.3(2); no equivalent guarantee exists for raw-pixel deep features (Section 2.1.2)</w:t>
            </w:r>
          </w:p>
        </w:tc>
      </w:tr>
      <w:tr>
        <w:tc>
          <w:tcPr>
            <w:tcW w:type="dxa" w:w="2880"/>
          </w:tcPr>
          <w:p>
            <w:r/>
            <w:r>
              <w:rPr>
                <w:b w:val="0"/>
                <w:i w:val="0"/>
              </w:rPr>
              <w:t>R2</w:t>
            </w:r>
          </w:p>
        </w:tc>
        <w:tc>
          <w:tcPr>
            <w:tcW w:type="dxa" w:w="2880"/>
          </w:tcPr>
          <w:p>
            <w:r/>
            <w:r>
              <w:rPr>
                <w:b w:val="0"/>
                <w:i w:val="0"/>
              </w:rPr>
              <w:t>The trained model must be evaluated primarily on macro-F1, not accuracy, given the ≈0.22% prevalence of the rarest class</w:t>
            </w:r>
          </w:p>
        </w:tc>
        <w:tc>
          <w:tcPr>
            <w:tcW w:type="dxa" w:w="2880"/>
          </w:tcPr>
          <w:p>
            <w:r/>
            <w:r>
              <w:rPr>
                <w:b w:val="0"/>
                <w:i w:val="0"/>
              </w:rPr>
              <w:t>Section 1.5</w:t>
            </w:r>
          </w:p>
        </w:tc>
      </w:tr>
      <w:tr>
        <w:tc>
          <w:tcPr>
            <w:tcW w:type="dxa" w:w="2880"/>
          </w:tcPr>
          <w:p>
            <w:r/>
            <w:r>
              <w:rPr>
                <w:b w:val="0"/>
                <w:i w:val="0"/>
              </w:rPr>
              <w:t>R3</w:t>
            </w:r>
          </w:p>
        </w:tc>
        <w:tc>
          <w:tcPr>
            <w:tcW w:type="dxa" w:w="2880"/>
          </w:tcPr>
          <w:p>
            <w:r/>
            <w:r>
              <w:rPr>
                <w:b w:val="0"/>
                <w:i w:val="0"/>
              </w:rPr>
              <w:t>The training objective must explicitly counteract class imbalance, not rely on the optimiser discovering minority classes unaided</w:t>
            </w:r>
          </w:p>
        </w:tc>
        <w:tc>
          <w:tcPr>
            <w:tcW w:type="dxa" w:w="2880"/>
          </w:tcPr>
          <w:p>
            <w:r/>
            <w:r>
              <w:rPr>
                <w:b w:val="0"/>
                <w:i w:val="0"/>
              </w:rPr>
              <w:t>Section 1.5, Section 2.3.2</w:t>
            </w:r>
          </w:p>
        </w:tc>
      </w:tr>
      <w:tr>
        <w:tc>
          <w:tcPr>
            <w:tcW w:type="dxa" w:w="2880"/>
          </w:tcPr>
          <w:p>
            <w:r/>
            <w:r>
              <w:rPr>
                <w:b w:val="0"/>
                <w:i w:val="0"/>
              </w:rPr>
              <w:t>R4</w:t>
            </w:r>
          </w:p>
        </w:tc>
        <w:tc>
          <w:tcPr>
            <w:tcW w:type="dxa" w:w="2880"/>
          </w:tcPr>
          <w:p>
            <w:r/>
            <w:r>
              <w:rPr>
                <w:b w:val="0"/>
                <w:i w:val="0"/>
              </w:rPr>
              <w:t>The exported model must run inside a browser WASM runtime, not merely inside Python ONNX Runtime</w:t>
            </w:r>
          </w:p>
        </w:tc>
        <w:tc>
          <w:tcPr>
            <w:tcW w:type="dxa" w:w="2880"/>
          </w:tcPr>
          <w:p>
            <w:r/>
            <w:r>
              <w:rPr>
                <w:b w:val="0"/>
                <w:i w:val="0"/>
              </w:rPr>
              <w:t>Section 2.5.2 (the dynamic-quantization finding demonstrates these are not equivalent)</w:t>
            </w:r>
          </w:p>
        </w:tc>
      </w:tr>
      <w:tr>
        <w:tc>
          <w:tcPr>
            <w:tcW w:type="dxa" w:w="2880"/>
          </w:tcPr>
          <w:p>
            <w:r/>
            <w:r>
              <w:rPr>
                <w:b w:val="0"/>
                <w:i w:val="0"/>
              </w:rPr>
              <w:t>R5</w:t>
            </w:r>
          </w:p>
        </w:tc>
        <w:tc>
          <w:tcPr>
            <w:tcW w:type="dxa" w:w="2880"/>
          </w:tcPr>
          <w:p>
            <w:r/>
            <w:r>
              <w:rPr>
                <w:b w:val="0"/>
                <w:i w:val="0"/>
              </w:rPr>
              <w:t>No frame of video, no derived feature, and no prediction may be transmitted off-device at any point, and this must be independently verified, not merely designed for</w:t>
            </w:r>
          </w:p>
        </w:tc>
        <w:tc>
          <w:tcPr>
            <w:tcW w:type="dxa" w:w="2880"/>
          </w:tcPr>
          <w:p>
            <w:r/>
            <w:r>
              <w:rPr>
                <w:b w:val="0"/>
                <w:i w:val="0"/>
              </w:rPr>
              <w:t>Section 1.2</w:t>
            </w:r>
          </w:p>
        </w:tc>
      </w:tr>
      <w:tr>
        <w:tc>
          <w:tcPr>
            <w:tcW w:type="dxa" w:w="2880"/>
          </w:tcPr>
          <w:p>
            <w:r/>
            <w:r>
              <w:rPr>
                <w:b w:val="0"/>
                <w:i w:val="0"/>
              </w:rPr>
              <w:t>R6</w:t>
            </w:r>
          </w:p>
        </w:tc>
        <w:tc>
          <w:tcPr>
            <w:tcW w:type="dxa" w:w="2880"/>
          </w:tcPr>
          <w:p>
            <w:r/>
            <w:r>
              <w:rPr>
                <w:b w:val="0"/>
                <w:i w:val="0"/>
              </w:rPr>
              <w:t xml:space="preserve">Head pose must be computed without adding a heavyweight browser dependency (ruling out </w:t>
            </w:r>
            <w:r>
              <w:rPr>
                <w:rFonts w:ascii="Consolas" w:hAnsi="Consolas"/>
                <w:b w:val="0"/>
                <w:i w:val="0"/>
                <w:sz w:val="20"/>
              </w:rPr>
              <w:t>cv2.solvePnP</w:t>
            </w:r>
            <w:r>
              <w:rPr>
                <w:b w:val="0"/>
                <w:i w:val="0"/>
              </w:rPr>
              <w:t>/</w:t>
            </w:r>
            <w:r>
              <w:rPr>
                <w:rFonts w:ascii="Consolas" w:hAnsi="Consolas"/>
                <w:b w:val="0"/>
                <w:i w:val="0"/>
                <w:sz w:val="20"/>
              </w:rPr>
              <w:t>opencv.js</w:t>
            </w:r>
            <w:r>
              <w:rPr>
                <w:b w:val="0"/>
                <w:i w:val="0"/>
              </w:rPr>
              <w:t>)</w:t>
            </w:r>
          </w:p>
        </w:tc>
        <w:tc>
          <w:tcPr>
            <w:tcW w:type="dxa" w:w="2880"/>
          </w:tcPr>
          <w:p>
            <w:r/>
            <w:r>
              <w:rPr>
                <w:b w:val="0"/>
                <w:i w:val="0"/>
              </w:rPr>
              <w:t>Section 2.2.2</w:t>
            </w:r>
          </w:p>
        </w:tc>
      </w:tr>
      <w:tr>
        <w:tc>
          <w:tcPr>
            <w:tcW w:type="dxa" w:w="2880"/>
          </w:tcPr>
          <w:p>
            <w:r/>
            <w:r>
              <w:rPr>
                <w:b w:val="0"/>
                <w:i w:val="0"/>
              </w:rPr>
              <w:t>R7</w:t>
            </w:r>
          </w:p>
        </w:tc>
        <w:tc>
          <w:tcPr>
            <w:tcW w:type="dxa" w:w="2880"/>
          </w:tcPr>
          <w:p>
            <w:r/>
            <w:r>
              <w:rPr>
                <w:b w:val="0"/>
                <w:i w:val="0"/>
              </w:rPr>
              <w:t>The DAiSEE official Train/Validation/Test split must be preserved unmodified, with zero clip-ID leakage across splits, to remain comparable to the published benchmark and prior work (Section 2.3)</w:t>
            </w:r>
          </w:p>
        </w:tc>
        <w:tc>
          <w:tcPr>
            <w:tcW w:type="dxa" w:w="2880"/>
          </w:tcPr>
          <w:p>
            <w:r/>
            <w:r>
              <w:rPr>
                <w:b w:val="0"/>
                <w:i w:val="0"/>
              </w:rPr>
              <w:t>Section 1.5</w:t>
            </w:r>
          </w:p>
        </w:tc>
      </w:tr>
    </w:tbl>
    <w:p/>
    <w:p>
      <w:pPr>
        <w:pStyle w:val="Heading2"/>
      </w:pPr>
      <w:r>
        <w:t>3.2 Methodology: a Two-Track Contract-Driven Pipeline</w:t>
      </w:r>
    </w:p>
    <w:p>
      <w:pPr>
        <w:spacing w:after="160"/>
      </w:pPr>
      <w:r>
        <w:rPr>
          <w:b w:val="0"/>
          <w:i w:val="0"/>
        </w:rPr>
        <w:t xml:space="preserve">The project's own name for its methodology, used consistently throughout its own build documentation, is </w:t>
      </w:r>
      <w:r>
        <w:rPr>
          <w:b/>
          <w:i w:val="0"/>
        </w:rPr>
        <w:t>"contract-driven parallel development"</w:t>
      </w:r>
      <w:r>
        <w:rPr>
          <w:b w:val="0"/>
          <w:i w:val="0"/>
        </w:rP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b w:val="0"/>
          <w:i w:val="0"/>
          <w:sz w:val="20"/>
        </w:rPr>
        <w:t>CONTRACT.md</w:t>
      </w:r>
      <w:r>
        <w:rPr>
          <w:b w:val="0"/>
          <w:i w:val="0"/>
        </w:rP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b w:val="0"/>
          <w:i w:val="0"/>
          <w:sz w:val="20"/>
        </w:rPr>
        <w:t>BUILD_PLAN_1.md</w:t>
      </w:r>
      <w:r>
        <w:rPr>
          <w:b w:val="0"/>
          <w:i w:val="0"/>
        </w:rPr>
        <w:t xml:space="preserve"> §8).</w:t>
      </w:r>
    </w:p>
    <w:p>
      <w:pPr>
        <w:pStyle w:val="Heading3"/>
      </w:pPr>
      <w:r>
        <w:t>3.2.1 Pre-existing methodology used</w:t>
      </w:r>
    </w:p>
    <w:p>
      <w:pPr>
        <w:spacing w:after="160"/>
      </w:pPr>
      <w:r>
        <w:rPr>
          <w:b w:val="0"/>
          <w:i w:val="0"/>
        </w:rP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rPr>
          <w:b w:val="0"/>
          <w:i w:val="0"/>
        </w:rPr>
        <w:t>Thirteen features are computed per frame, identically specified for both language implementations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 xml:space="preserve">; browser port </w:t>
      </w:r>
      <w:r>
        <w:rPr>
          <w:rFonts w:ascii="Consolas" w:hAnsi="Consolas"/>
          <w:b w:val="0"/>
          <w:i w:val="0"/>
          <w:sz w:val="20"/>
        </w:rPr>
        <w:t>web/lib/features.ts</w:t>
      </w:r>
      <w:r>
        <w:rPr>
          <w:b w:val="0"/>
          <w:i w:val="0"/>
        </w:rPr>
        <w:t>):</w:t>
      </w:r>
    </w:p>
    <w:p>
      <w:pPr>
        <w:pStyle w:val="TableCaption"/>
      </w:pPr>
      <w:r>
        <w:rPr>
          <w:b w:val="0"/>
          <w:i w:val="0"/>
        </w:rPr>
        <w:t xml:space="preserve">Table 3.2 — The 13-dimensional per-frame feature vector, in the frozen contract order (source: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Feature</w:t>
            </w:r>
          </w:p>
        </w:tc>
        <w:tc>
          <w:tcPr>
            <w:tcW w:type="dxa" w:w="2880"/>
            <w:shd w:val="clear" w:color="auto" w:fill="D9E2F3"/>
          </w:tcPr>
          <w:p>
            <w:r>
              <w:rPr>
                <w:b/>
              </w:rPr>
            </w:r>
            <w:r>
              <w:rPr>
                <w:b/>
                <w:i w:val="0"/>
              </w:rPr>
              <w:t>Definition</w:t>
            </w:r>
          </w:p>
        </w:tc>
      </w:tr>
      <w:tr>
        <w:tc>
          <w:tcPr>
            <w:tcW w:type="dxa" w:w="2880"/>
          </w:tcPr>
          <w:p>
            <w:r/>
            <w:r>
              <w:rPr>
                <w:b w:val="0"/>
                <w:i w:val="0"/>
              </w:rPr>
              <w:t>0–2</w:t>
            </w:r>
          </w:p>
        </w:tc>
        <w:tc>
          <w:tcPr>
            <w:tcW w:type="dxa" w:w="2880"/>
          </w:tcPr>
          <w:p>
            <w:r/>
            <w:r>
              <w:rPr>
                <w:rFonts w:ascii="Consolas" w:hAnsi="Consolas"/>
                <w:b w:val="0"/>
                <w:i w:val="0"/>
                <w:sz w:val="20"/>
              </w:rPr>
              <w:t>ear_left</w:t>
            </w:r>
            <w:r>
              <w:rPr>
                <w:b w:val="0"/>
                <w:i w:val="0"/>
              </w:rPr>
              <w:t xml:space="preserve">, </w:t>
            </w:r>
            <w:r>
              <w:rPr>
                <w:rFonts w:ascii="Consolas" w:hAnsi="Consolas"/>
                <w:b w:val="0"/>
                <w:i w:val="0"/>
                <w:sz w:val="20"/>
              </w:rPr>
              <w:t>ear_right</w:t>
            </w:r>
            <w:r>
              <w:rPr>
                <w:b w:val="0"/>
                <w:i w:val="0"/>
              </w:rPr>
              <w:t xml:space="preserve">, </w:t>
            </w:r>
            <w:r>
              <w:rPr>
                <w:rFonts w:ascii="Consolas" w:hAnsi="Consolas"/>
                <w:b w:val="0"/>
                <w:i w:val="0"/>
                <w:sz w:val="20"/>
              </w:rPr>
              <w:t>ear_mean</w:t>
            </w:r>
          </w:p>
        </w:tc>
        <w:tc>
          <w:tcPr>
            <w:tcW w:type="dxa" w:w="2880"/>
          </w:tcPr>
          <w:p>
            <w:r/>
            <w:r>
              <w:rPr>
                <w:b w:val="0"/>
                <w:i w:val="0"/>
              </w:rPr>
              <w:t>Eye Aspect Ratio (Soukupová and Čech, 2016), each eye and their mean</w:t>
            </w:r>
          </w:p>
        </w:tc>
      </w:tr>
      <w:tr>
        <w:tc>
          <w:tcPr>
            <w:tcW w:type="dxa" w:w="2880"/>
          </w:tcPr>
          <w:p>
            <w:r/>
            <w:r>
              <w:rPr>
                <w:b w:val="0"/>
                <w:i w:val="0"/>
              </w:rPr>
              <w:t>3</w:t>
            </w:r>
          </w:p>
        </w:tc>
        <w:tc>
          <w:tcPr>
            <w:tcW w:type="dxa" w:w="2880"/>
          </w:tcPr>
          <w:p>
            <w:r/>
            <w:r>
              <w:rPr>
                <w:rFonts w:ascii="Consolas" w:hAnsi="Consolas"/>
                <w:b w:val="0"/>
                <w:i w:val="0"/>
                <w:sz w:val="20"/>
              </w:rPr>
              <w:t>mar</w:t>
            </w:r>
          </w:p>
        </w:tc>
        <w:tc>
          <w:tcPr>
            <w:tcW w:type="dxa" w:w="2880"/>
          </w:tcPr>
          <w:p>
            <w:r/>
            <w:r>
              <w:rPr>
                <w:b w:val="0"/>
                <w:i w:val="0"/>
              </w:rPr>
              <w:t>Mouth Aspect Ratio — vertical ÷ horizontal lip distance</w:t>
            </w:r>
          </w:p>
        </w:tc>
      </w:tr>
      <w:tr>
        <w:tc>
          <w:tcPr>
            <w:tcW w:type="dxa" w:w="2880"/>
          </w:tcPr>
          <w:p>
            <w:r/>
            <w:r>
              <w:rPr>
                <w:b w:val="0"/>
                <w:i w:val="0"/>
              </w:rPr>
              <w:t>4–5</w:t>
            </w:r>
          </w:p>
        </w:tc>
        <w:tc>
          <w:tcPr>
            <w:tcW w:type="dxa" w:w="2880"/>
          </w:tcPr>
          <w:p>
            <w:r/>
            <w:r>
              <w:rPr>
                <w:rFonts w:ascii="Consolas" w:hAnsi="Consolas"/>
                <w:b w:val="0"/>
                <w:i w:val="0"/>
                <w:sz w:val="20"/>
              </w:rPr>
              <w:t>brow_left</w:t>
            </w:r>
            <w:r>
              <w:rPr>
                <w:b w:val="0"/>
                <w:i w:val="0"/>
              </w:rPr>
              <w:t xml:space="preserve">, </w:t>
            </w:r>
            <w:r>
              <w:rPr>
                <w:rFonts w:ascii="Consolas" w:hAnsi="Consolas"/>
                <w:b w:val="0"/>
                <w:i w:val="0"/>
                <w:sz w:val="20"/>
              </w:rPr>
              <w:t>brow_right</w:t>
            </w:r>
          </w:p>
        </w:tc>
        <w:tc>
          <w:tcPr>
            <w:tcW w:type="dxa" w:w="2880"/>
          </w:tcPr>
          <w:p>
            <w:r/>
            <w:r>
              <w:rPr>
                <w:b w:val="0"/>
                <w:i w:val="0"/>
              </w:rPr>
              <w:t>Eyebrow-to-eye-centre distance ÷ interocular distance</w:t>
            </w:r>
          </w:p>
        </w:tc>
      </w:tr>
      <w:tr>
        <w:tc>
          <w:tcPr>
            <w:tcW w:type="dxa" w:w="2880"/>
          </w:tcPr>
          <w:p>
            <w:r/>
            <w:r>
              <w:rPr>
                <w:b w:val="0"/>
                <w:i w:val="0"/>
              </w:rPr>
              <w:t>6–8</w:t>
            </w:r>
          </w:p>
        </w:tc>
        <w:tc>
          <w:tcPr>
            <w:tcW w:type="dxa" w:w="2880"/>
          </w:tcPr>
          <w:p>
            <w:r/>
            <w:r>
              <w:rPr>
                <w:rFonts w:ascii="Consolas" w:hAnsi="Consolas"/>
                <w:b w:val="0"/>
                <w:i w:val="0"/>
                <w:sz w:val="20"/>
              </w:rPr>
              <w:t>yaw</w:t>
            </w:r>
            <w:r>
              <w:rPr>
                <w:b w:val="0"/>
                <w:i w:val="0"/>
              </w:rPr>
              <w:t xml:space="preserve">, </w:t>
            </w:r>
            <w:r>
              <w:rPr>
                <w:rFonts w:ascii="Consolas" w:hAnsi="Consolas"/>
                <w:b w:val="0"/>
                <w:i w:val="0"/>
                <w:sz w:val="20"/>
              </w:rPr>
              <w:t>pitch</w:t>
            </w:r>
            <w:r>
              <w:rPr>
                <w:b w:val="0"/>
                <w:i w:val="0"/>
              </w:rPr>
              <w:t xml:space="preserve">, </w:t>
            </w:r>
            <w:r>
              <w:rPr>
                <w:rFonts w:ascii="Consolas" w:hAnsi="Consolas"/>
                <w:b w:val="0"/>
                <w:i w:val="0"/>
                <w:sz w:val="20"/>
              </w:rPr>
              <w:t>roll</w:t>
            </w:r>
          </w:p>
        </w:tc>
        <w:tc>
          <w:tcPr>
            <w:tcW w:type="dxa" w:w="2880"/>
          </w:tcPr>
          <w:p>
            <w:r/>
            <w:r>
              <w:rPr>
                <w:b w:val="0"/>
                <w:i w:val="0"/>
              </w:rPr>
              <w:t>Geometric head-pose proxies (Section 2.2.2)</w:t>
            </w:r>
          </w:p>
        </w:tc>
      </w:tr>
      <w:tr>
        <w:tc>
          <w:tcPr>
            <w:tcW w:type="dxa" w:w="2880"/>
          </w:tcPr>
          <w:p>
            <w:r/>
            <w:r>
              <w:rPr>
                <w:b w:val="0"/>
                <w:i w:val="0"/>
              </w:rPr>
              <w:t>9–10</w:t>
            </w:r>
          </w:p>
        </w:tc>
        <w:tc>
          <w:tcPr>
            <w:tcW w:type="dxa" w:w="2880"/>
          </w:tcPr>
          <w:p>
            <w:r/>
            <w:r>
              <w:rPr>
                <w:rFonts w:ascii="Consolas" w:hAnsi="Consolas"/>
                <w:b w:val="0"/>
                <w:i w:val="0"/>
                <w:sz w:val="20"/>
              </w:rPr>
              <w:t>gaze_x</w:t>
            </w:r>
            <w:r>
              <w:rPr>
                <w:b w:val="0"/>
                <w:i w:val="0"/>
              </w:rPr>
              <w:t xml:space="preserve">, </w:t>
            </w:r>
            <w:r>
              <w:rPr>
                <w:rFonts w:ascii="Consolas" w:hAnsi="Consolas"/>
                <w:b w:val="0"/>
                <w:i w:val="0"/>
                <w:sz w:val="20"/>
              </w:rPr>
              <w:t>gaze_y</w:t>
            </w:r>
          </w:p>
        </w:tc>
        <w:tc>
          <w:tcPr>
            <w:tcW w:type="dxa" w:w="2880"/>
          </w:tcPr>
          <w:p>
            <w:r/>
            <w:r>
              <w:rPr>
                <w:b w:val="0"/>
                <w:i w:val="0"/>
              </w:rPr>
              <w:t>Iris-centre offset from eye-corner midpoint, normalised by eye width/height</w:t>
            </w:r>
          </w:p>
        </w:tc>
      </w:tr>
      <w:tr>
        <w:tc>
          <w:tcPr>
            <w:tcW w:type="dxa" w:w="2880"/>
          </w:tcPr>
          <w:p>
            <w:r/>
            <w:r>
              <w:rPr>
                <w:b w:val="0"/>
                <w:i w:val="0"/>
              </w:rPr>
              <w:t>11</w:t>
            </w:r>
          </w:p>
        </w:tc>
        <w:tc>
          <w:tcPr>
            <w:tcW w:type="dxa" w:w="2880"/>
          </w:tcPr>
          <w:p>
            <w:r/>
            <w:r>
              <w:rPr>
                <w:rFonts w:ascii="Consolas" w:hAnsi="Consolas"/>
                <w:b w:val="0"/>
                <w:i w:val="0"/>
                <w:sz w:val="20"/>
              </w:rPr>
              <w:t>face_area</w:t>
            </w:r>
          </w:p>
        </w:tc>
        <w:tc>
          <w:tcPr>
            <w:tcW w:type="dxa" w:w="2880"/>
          </w:tcPr>
          <w:p>
            <w:r/>
            <w:r>
              <w:rPr>
                <w:b w:val="0"/>
                <w:i w:val="0"/>
              </w:rPr>
              <w:t>Landmark bounding-box area ÷ frame area</w:t>
            </w:r>
          </w:p>
        </w:tc>
      </w:tr>
      <w:tr>
        <w:tc>
          <w:tcPr>
            <w:tcW w:type="dxa" w:w="2880"/>
          </w:tcPr>
          <w:p>
            <w:r/>
            <w:r>
              <w:rPr>
                <w:b w:val="0"/>
                <w:i w:val="0"/>
              </w:rPr>
              <w:t>12</w:t>
            </w:r>
          </w:p>
        </w:tc>
        <w:tc>
          <w:tcPr>
            <w:tcW w:type="dxa" w:w="2880"/>
          </w:tcPr>
          <w:p>
            <w:r/>
            <w:r>
              <w:rPr>
                <w:rFonts w:ascii="Consolas" w:hAnsi="Consolas"/>
                <w:b w:val="0"/>
                <w:i w:val="0"/>
                <w:sz w:val="20"/>
              </w:rPr>
              <w:t>face_present</w:t>
            </w:r>
          </w:p>
        </w:tc>
        <w:tc>
          <w:tcPr>
            <w:tcW w:type="dxa" w:w="2880"/>
          </w:tcPr>
          <w:p>
            <w:r/>
            <w:r>
              <w:rPr>
                <w:b w:val="0"/>
                <w:i w:val="0"/>
              </w:rPr>
              <w:t>1.0 if a face was detected in the frame, else 0.0</w:t>
            </w:r>
          </w:p>
        </w:tc>
      </w:tr>
    </w:tbl>
    <w:p/>
    <w:p>
      <w:pPr>
        <w:spacing w:after="160"/>
      </w:pPr>
      <w:r>
        <w:rPr>
          <w:b w:val="0"/>
          <w:i w:val="0"/>
        </w:rPr>
        <w:t xml:space="preserve">Two normalisation rules apply throughout and are load-bearing for the cross-domain generalisation this project needs (DAiSEE clips recorded at one camera distance; live webcam users sitting at another): </w:t>
      </w:r>
      <w:r>
        <w:rPr>
          <w:b/>
          <w:i w:val="0"/>
        </w:rPr>
        <w:t>every raw distance is divided by interocular distance</w:t>
      </w:r>
      <w:r>
        <w:rPr>
          <w:b w:val="0"/>
          <w:i w:val="0"/>
        </w:rPr>
        <w:t xml:space="preserve"> (the outer-eye-corner-to-outer-eye-corner span) before use, cancelling out camera-distance scale; and </w:t>
      </w:r>
      <w:r>
        <w:rPr>
          <w:b/>
          <w:i w:val="0"/>
        </w:rPr>
        <w:t xml:space="preserve">a frame with no detected face emits thirteen zeros with </w:t>
      </w:r>
      <w:r>
        <w:rPr>
          <w:rFonts w:ascii="Consolas" w:hAnsi="Consolas"/>
          <w:b/>
          <w:i w:val="0"/>
          <w:sz w:val="20"/>
        </w:rPr>
        <w:t>face_present = 0.0</w:t>
      </w:r>
      <w:r>
        <w:rPr>
          <w:b w:val="0"/>
          <w:i w:val="0"/>
        </w:rPr>
        <w:t>, never an interpolated or dropped value, so the model must learn to handle missing-face frames as first-class input rather than assuming continuous detection.</w:t>
      </w:r>
    </w:p>
    <w:p>
      <w:pPr>
        <w:spacing w:after="160"/>
      </w:pPr>
      <w:r>
        <w:rPr>
          <w:b w:val="0"/>
          <w:i w:val="0"/>
        </w:rP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b w:val="0"/>
          <w:i w:val="0"/>
          <w:sz w:val="20"/>
        </w:rPr>
        <w:t>ml/scripts/verify_landmarks.py</w:t>
      </w:r>
      <w:r>
        <w:rPr>
          <w:b w:val="0"/>
          <w:i w:val="0"/>
        </w:rP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b w:val="0"/>
          <w:i w:val="0"/>
          <w:sz w:val="20"/>
        </w:rPr>
        <w:t>ml/src/extract.py</w:t>
      </w:r>
      <w:r>
        <w:rPr>
          <w:b w:val="0"/>
          <w:i w:val="0"/>
        </w:rPr>
        <w:t xml:space="preserve"> walks the DAiSEE directory tree; for each clip, opens it with OpenCV, samples every third frame (30 FPS native → 10 FPS contract rate), runs MediaPipe's </w:t>
      </w:r>
      <w:r>
        <w:rPr>
          <w:rFonts w:ascii="Consolas" w:hAnsi="Consolas"/>
          <w:b w:val="0"/>
          <w:i w:val="0"/>
          <w:sz w:val="20"/>
        </w:rPr>
        <w:t>FaceLandmarker</w:t>
      </w:r>
      <w:r>
        <w:rPr>
          <w:b w:val="0"/>
          <w:i w:val="0"/>
        </w:rPr>
        <w:t xml:space="preserve"> in </w:t>
      </w:r>
      <w:r>
        <w:rPr>
          <w:rFonts w:ascii="Consolas" w:hAnsi="Consolas"/>
          <w:b w:val="0"/>
          <w:i w:val="0"/>
          <w:sz w:val="20"/>
        </w:rPr>
        <w:t>VIDEO</w:t>
      </w:r>
      <w:r>
        <w:rPr>
          <w:b w:val="0"/>
          <w:i w:val="0"/>
        </w:rPr>
        <w:t xml:space="preserve"> running mode (a fresh landmarker instance per clip, in a </w:t>
      </w:r>
      <w:r>
        <w:rPr>
          <w:rFonts w:ascii="Consolas" w:hAnsi="Consolas"/>
          <w:b w:val="0"/>
          <w:i w:val="0"/>
          <w:sz w:val="20"/>
        </w:rPr>
        <w:t>multiprocessing.Pool</w:t>
      </w:r>
      <w:r>
        <w:rPr>
          <w:b w:val="0"/>
          <w:i w:val="0"/>
        </w:rPr>
        <w:t xml:space="preserve"> worker, so that </w:t>
      </w:r>
      <w:r>
        <w:rPr>
          <w:rFonts w:ascii="Consolas" w:hAnsi="Consolas"/>
          <w:b w:val="0"/>
          <w:i w:val="0"/>
          <w:sz w:val="20"/>
        </w:rPr>
        <w:t>VIDEO</w:t>
      </w:r>
      <w:r>
        <w:rPr>
          <w:b w:val="0"/>
          <w:i w:val="0"/>
        </w:rP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b w:val="0"/>
          <w:i w:val="0"/>
          <w:sz w:val="20"/>
        </w:rPr>
        <w:t>ml/src/labels.py</w:t>
      </w:r>
      <w:r>
        <w:rPr>
          <w:b w:val="0"/>
          <w:i w:val="0"/>
        </w:rPr>
        <w:t xml:space="preserve"> joins DAiSEE's official per-clip label CSVs against the clips actually present on disk (using the </w:t>
      </w:r>
      <w:r>
        <w:rPr>
          <w:b/>
          <w:i w:val="0"/>
        </w:rPr>
        <w:t>intersection</w:t>
      </w:r>
      <w:r>
        <w:rPr>
          <w:b w:val="0"/>
          <w:i w:val="0"/>
        </w:rPr>
        <w:t xml:space="preserve"> of the two, within each official split folder, rather than assuming full coverage); </w:t>
      </w:r>
      <w:r>
        <w:rPr>
          <w:rFonts w:ascii="Consolas" w:hAnsi="Consolas"/>
          <w:b w:val="0"/>
          <w:i w:val="0"/>
          <w:sz w:val="20"/>
        </w:rPr>
        <w:t>ml/src/dataset.py</w:t>
      </w:r>
      <w:r>
        <w:rPr>
          <w:b w:val="0"/>
          <w:i w:val="0"/>
        </w:rPr>
        <w:t xml:space="preserve"> then slides a 30-frame (3.0 s) window with stride 10 over each clip's ~100 feature rows, assigns the clip's engagement label to every window drawn from it, and writes the resulting </w:t>
      </w:r>
      <w:r>
        <w:rPr>
          <w:rFonts w:ascii="Consolas" w:hAnsi="Consolas"/>
          <w:b w:val="0"/>
          <w:i w:val="0"/>
          <w:sz w:val="20"/>
        </w:rPr>
        <w:t>(N, 30, 13)</w:t>
      </w:r>
      <w:r>
        <w:rPr>
          <w:b w:val="0"/>
          <w:i w:val="0"/>
        </w:rPr>
        <w:t xml:space="preserve"> tensors per split. </w:t>
      </w:r>
      <w:r>
        <w:rPr>
          <w:b/>
          <w:i w:val="0"/>
        </w:rPr>
        <w:t>Zero clip-ID overlap between the three splits is asserted in code, not merely assumed</w:t>
      </w:r>
      <w:r>
        <w:rPr>
          <w:b w:val="0"/>
          <w:i w:val="0"/>
        </w:rP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b w:val="0"/>
          <w:i w:val="0"/>
          <w:sz w:val="20"/>
        </w:rPr>
        <w:t>StandardScaler</w:t>
      </w:r>
      <w:r>
        <w:rPr>
          <w:b w:val="0"/>
          <w:i w:val="0"/>
        </w:rPr>
        <w:t xml:space="preserve"> is fit on the </w:t>
      </w:r>
      <w:r>
        <w:rPr>
          <w:b/>
          <w:i w:val="0"/>
        </w:rPr>
        <w:t>training split only</w:t>
      </w:r>
      <w:r>
        <w:rPr>
          <w:b w:val="0"/>
          <w:i w:val="0"/>
        </w:rPr>
        <w:t xml:space="preserve"> and applied to all three splits, with its mean/std/feature-name triple serialised to </w:t>
      </w:r>
      <w:r>
        <w:rPr>
          <w:rFonts w:ascii="Consolas" w:hAnsi="Consolas"/>
          <w:b w:val="0"/>
          <w:i w:val="0"/>
          <w:sz w:val="20"/>
        </w:rPr>
        <w:t>scaler.json</w:t>
      </w:r>
      <w:r>
        <w:rPr>
          <w:b w:val="0"/>
          <w:i w:val="0"/>
        </w:rPr>
        <w:t xml:space="preserve"> and shipped to the browser (</w:t>
      </w:r>
      <w:r>
        <w:rPr>
          <w:rFonts w:ascii="Consolas" w:hAnsi="Consolas"/>
          <w:b w:val="0"/>
          <w:i w:val="0"/>
          <w:sz w:val="20"/>
        </w:rPr>
        <w:t>web/public/model/scaler.json</w:t>
      </w:r>
      <w:r>
        <w:rPr>
          <w:b w:val="0"/>
          <w:i w:val="0"/>
        </w:rPr>
        <w:t>) so both the Python and TypeScript pipelines standardise features identically.</w:t>
      </w:r>
    </w:p>
    <w:p>
      <w:pPr>
        <w:pStyle w:val="Heading3"/>
      </w:pPr>
      <w:r>
        <w:t>3.2.5 Step 4 — Classical baselines</w:t>
      </w:r>
    </w:p>
    <w:p>
      <w:pPr>
        <w:spacing w:after="160"/>
      </w:pPr>
      <w:r>
        <w:rPr>
          <w:b w:val="0"/>
          <w:i w:val="0"/>
        </w:rPr>
        <w:t>Before any temporal model is trained, each 30×13 window is collapsed to a 65-dimensional vector — the mean, standard deviation, minimum, maximum, and range of each of the 13 features across the 30-frame window (</w:t>
      </w:r>
      <w:r>
        <w:rPr>
          <w:rFonts w:ascii="Consolas" w:hAnsi="Consolas"/>
          <w:b w:val="0"/>
          <w:i w:val="0"/>
          <w:sz w:val="20"/>
        </w:rPr>
        <w:t>ml/src/baselines.py</w:t>
      </w:r>
      <w:r>
        <w:rPr>
          <w:b w:val="0"/>
          <w:i w:val="0"/>
        </w:rPr>
        <w:t>) — and used to train a logistic regression and a random forest classifier (</w:t>
      </w:r>
      <w:r>
        <w:rPr>
          <w:rFonts w:ascii="Consolas" w:hAnsi="Consolas"/>
          <w:b w:val="0"/>
          <w:i w:val="0"/>
          <w:sz w:val="20"/>
        </w:rPr>
        <w:t>scikit-learn</w:t>
      </w:r>
      <w:r>
        <w:rPr>
          <w:b w:val="0"/>
          <w:i w:val="0"/>
        </w:rPr>
        <w:t xml:space="preserve">, </w:t>
      </w:r>
      <w:r>
        <w:rPr>
          <w:rFonts w:ascii="Consolas" w:hAnsi="Consolas"/>
          <w:b w:val="0"/>
          <w:i w:val="0"/>
          <w:sz w:val="20"/>
        </w:rPr>
        <w:t>class_weight="balanced"</w:t>
      </w:r>
      <w:r>
        <w:rPr>
          <w:b w:val="0"/>
          <w:i w:val="0"/>
        </w:rPr>
        <w:t xml:space="preserve">), alongside a constant majority-class predictor. This step exists specifically to answer the question Section 4 must otherwise leave open: </w:t>
      </w:r>
      <w:r>
        <w:rPr>
          <w:b w:val="0"/>
          <w:i/>
        </w:rPr>
        <w:t>is the temporal model's added complexity (Step 6) actually earning its keep</w:t>
      </w:r>
      <w:r>
        <w:rPr>
          <w:b w:val="0"/>
          <w:i w:val="0"/>
        </w:rP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b w:val="0"/>
          <w:i w:val="0"/>
          <w:sz w:val="20"/>
        </w:rPr>
        <w:t>ml/src/model.py</w:t>
      </w:r>
      <w:r>
        <w:rPr>
          <w:b w:val="0"/>
          <w:i w:val="0"/>
        </w:rPr>
        <w:t xml:space="preserve"> defines </w:t>
      </w:r>
      <w:r>
        <w:rPr>
          <w:rFonts w:ascii="Consolas" w:hAnsi="Consolas"/>
          <w:b w:val="0"/>
          <w:i w:val="0"/>
          <w:sz w:val="20"/>
        </w:rPr>
        <w:t>EngagementTCN</w:t>
      </w:r>
      <w:r>
        <w:rPr>
          <w:b w:val="0"/>
          <w:i w:val="0"/>
        </w:rPr>
        <w:t xml:space="preserve">: four stacked dilated causal 1-D convolutional blocks (Conv1d, kernel size 3, dilations 1/2/4/8; each followed by BatchNorm, ReLU, Dropout(0.2), and a residual connection), operating on the transposed </w:t>
      </w:r>
      <w:r>
        <w:rPr>
          <w:rFonts w:ascii="Consolas" w:hAnsi="Consolas"/>
          <w:b w:val="0"/>
          <w:i w:val="0"/>
          <w:sz w:val="20"/>
        </w:rPr>
        <w:t>(B, 13, 30)</w:t>
      </w:r>
      <w:r>
        <w:rPr>
          <w:b w:val="0"/>
          <w:i w:val="0"/>
        </w:rPr>
        <w:t xml:space="preserve"> input, followed by a mean pool over the time dimension (deliberately </w:t>
      </w:r>
      <w:r>
        <w:rPr>
          <w:b w:val="0"/>
          <w:i/>
        </w:rPr>
        <w:t>not</w:t>
      </w:r>
      <w:r>
        <w:rPr>
          <w:b w:val="0"/>
          <w:i w:val="0"/>
        </w:rPr>
        <w:t xml:space="preserve"> </w:t>
      </w:r>
      <w:r>
        <w:rPr>
          <w:rFonts w:ascii="Consolas" w:hAnsi="Consolas"/>
          <w:b w:val="0"/>
          <w:i w:val="0"/>
          <w:sz w:val="20"/>
        </w:rPr>
        <w:t>AdaptiveAvgPool1d</w:t>
      </w:r>
      <w:r>
        <w:rPr>
          <w:b w:val="0"/>
          <w:i w:val="0"/>
        </w:rPr>
        <w:t xml:space="preserve">, which does not export cleanly to ONNX) and two linear heads — a 4-way engagement-logit head and a 4-way (multi-label) state-logit head. Total parameter count: </w:t>
      </w:r>
      <w:r>
        <w:rPr>
          <w:b/>
          <w:i w:val="0"/>
        </w:rPr>
        <w:t>41,544</w:t>
      </w:r>
      <w:r>
        <w:rPr>
          <w:b w:val="0"/>
          <w:i w:val="0"/>
        </w:rPr>
        <w:t>, against a self-imposed budget of under 100,000 — the entire edge-deployment argument rests on the model staying this small, so parameter count is checked by an assertion in the module itself (</w:t>
      </w:r>
      <w:r>
        <w:rPr>
          <w:rFonts w:ascii="Consolas" w:hAnsi="Consolas"/>
          <w:b w:val="0"/>
          <w:i w:val="0"/>
          <w:sz w:val="20"/>
        </w:rPr>
        <w:t>assert n &lt; 100_000</w:t>
      </w:r>
      <w:r>
        <w:rPr>
          <w:b w:val="0"/>
          <w:i w:val="0"/>
        </w:rPr>
        <w:t>), not merely reported after the fact.</w:t>
      </w:r>
    </w:p>
    <w:p>
      <w:pPr>
        <w:pStyle w:val="Heading3"/>
      </w:pPr>
      <w:r>
        <w:t>3.2.7 Step 6 — Training</w:t>
      </w:r>
    </w:p>
    <w:p>
      <w:pPr>
        <w:spacing w:after="160"/>
      </w:pPr>
      <w:r>
        <w:rPr>
          <w:b w:val="0"/>
          <w:i w:val="0"/>
        </w:rPr>
        <w:t xml:space="preserve">Adam optimiser, initial learning rate 1×10⁻³ with cosine annealing over up to 100 epochs, batch size 128, </w:t>
      </w:r>
      <w:r>
        <w:rPr>
          <w:b/>
          <w:i w:val="0"/>
        </w:rPr>
        <w:t>early stopping on validation macro-F1</w:t>
      </w:r>
      <w:r>
        <w:rPr>
          <w:b w:val="0"/>
          <w:i w:val="0"/>
        </w:rPr>
        <w:t xml:space="preserve"> (not validation loss, not accuracy — consistent with R2) with patience 15. The loss combines a class-weighted cross-entropy term for the engagement head with a binary cross-entropy term for the four state heads: </w:t>
      </w:r>
      <w:r>
        <w:rPr>
          <w:rFonts w:ascii="Consolas" w:hAnsi="Consolas"/>
          <w:b w:val="0"/>
          <w:i w:val="0"/>
          <w:sz w:val="20"/>
        </w:rPr>
        <w:t>L = CE(engagement, w) + 0.5 · BCE(states)</w:t>
      </w:r>
      <w:r>
        <w:rPr>
          <w:b w:val="0"/>
          <w:i w:val="0"/>
        </w:rPr>
        <w:t xml:space="preserve">, where </w:t>
      </w:r>
      <w:r>
        <w:rPr>
          <w:rFonts w:ascii="Consolas" w:hAnsi="Consolas"/>
          <w:b w:val="0"/>
          <w:i w:val="0"/>
          <w:sz w:val="20"/>
        </w:rPr>
        <w:t>w</w:t>
      </w:r>
      <w:r>
        <w:rPr>
          <w:b w:val="0"/>
          <w:i w:val="0"/>
        </w:rP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b w:val="0"/>
          <w:i w:val="0"/>
          <w:sz w:val="20"/>
        </w:rPr>
        <w:t>ml/src/export.py</w:t>
      </w:r>
      <w:r>
        <w:rPr>
          <w:b w:val="0"/>
          <w:i w:val="0"/>
        </w:rPr>
        <w:t xml:space="preserve">: </w:t>
      </w:r>
      <w:r>
        <w:rPr>
          <w:rFonts w:ascii="Consolas" w:hAnsi="Consolas"/>
          <w:b w:val="0"/>
          <w:i w:val="0"/>
          <w:sz w:val="20"/>
        </w:rPr>
        <w:t>torch.onnx.export</w:t>
      </w:r>
      <w:r>
        <w:rPr>
          <w:b w:val="0"/>
          <w:i w:val="0"/>
        </w:rP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b w:val="0"/>
          <w:i w:val="0"/>
          <w:sz w:val="20"/>
        </w:rPr>
        <w:t>onnx.checker.check_model</w:t>
      </w:r>
      <w:r>
        <w:rPr>
          <w:b w:val="0"/>
          <w:i w:val="0"/>
        </w:rPr>
        <w:t xml:space="preserve">; a </w:t>
      </w:r>
      <w:r>
        <w:rPr>
          <w:b/>
          <w:i w:val="0"/>
        </w:rPr>
        <w:t>second, independent parity check</w:t>
      </w:r>
      <w:r>
        <w:rPr>
          <w:b w:val="0"/>
          <w:i w:val="0"/>
        </w:rPr>
        <w:t xml:space="preserve"> — 100 random inputs run through both the PyTorch model and the exported ONNX graph via </w:t>
      </w:r>
      <w:r>
        <w:rPr>
          <w:rFonts w:ascii="Consolas" w:hAnsi="Consolas"/>
          <w:b w:val="0"/>
          <w:i w:val="0"/>
          <w:sz w:val="20"/>
        </w:rPr>
        <w:t>onnxruntime</w:t>
      </w:r>
      <w:r>
        <w:rPr>
          <w:b w:val="0"/>
          <w:i w:val="0"/>
        </w:rPr>
        <w:t xml:space="preserve">, asserting max-absolute-difference below 1×10⁻⁵, </w:t>
      </w:r>
      <w:r>
        <w:rPr>
          <w:b/>
          <w:i w:val="0"/>
        </w:rPr>
        <w:t>aborting the build if it fails</w:t>
      </w:r>
      <w:r>
        <w:rPr>
          <w:b w:val="0"/>
          <w:i w:val="0"/>
        </w:rP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rPr>
          <w:b w:val="0"/>
          <w:i w:val="0"/>
        </w:rPr>
        <w:t>The Next.js application (</w:t>
      </w:r>
      <w:r>
        <w:rPr>
          <w:rFonts w:ascii="Consolas" w:hAnsi="Consolas"/>
          <w:b w:val="0"/>
          <w:i w:val="0"/>
          <w:sz w:val="20"/>
        </w:rPr>
        <w:t>web/</w:t>
      </w:r>
      <w:r>
        <w:rPr>
          <w:b w:val="0"/>
          <w:i w:val="0"/>
        </w:rPr>
        <w:t xml:space="preserve">) mirrors Steps 2–3 of the pipeline entirely client-side: </w:t>
      </w:r>
      <w:r>
        <w:rPr>
          <w:rFonts w:ascii="Consolas" w:hAnsi="Consolas"/>
          <w:b w:val="0"/>
          <w:i w:val="0"/>
          <w:sz w:val="20"/>
        </w:rPr>
        <w:t>getUserMedia</w:t>
      </w:r>
      <w:r>
        <w:rPr>
          <w:b w:val="0"/>
          <w:i w:val="0"/>
        </w:rPr>
        <w:t xml:space="preserve"> supplies a raw (un-mirrored — mirroring is CSS-only, for on-screen display) video stream; </w:t>
      </w:r>
      <w:r>
        <w:rPr>
          <w:b/>
          <w:i w:val="0"/>
        </w:rPr>
        <w:t xml:space="preserve">two separate MediaPipe </w:t>
      </w:r>
      <w:r>
        <w:rPr>
          <w:rFonts w:ascii="Consolas" w:hAnsi="Consolas"/>
          <w:b/>
          <w:i w:val="0"/>
          <w:sz w:val="20"/>
        </w:rPr>
        <w:t>FaceLandmarker</w:t>
      </w:r>
      <w:r>
        <w:rPr>
          <w:b/>
          <w:i w:val="0"/>
        </w:rPr>
        <w:t xml:space="preserve"> instances</w:t>
      </w:r>
      <w:r>
        <w:rPr>
          <w:b w:val="0"/>
          <w:i w:val="0"/>
        </w:rPr>
        <w:t xml:space="preserve"> are run per sampled frame — one configured for a single face (</w:t>
      </w:r>
      <w:r>
        <w:rPr>
          <w:rFonts w:ascii="Consolas" w:hAnsi="Consolas"/>
          <w:b w:val="0"/>
          <w:i w:val="0"/>
          <w:sz w:val="20"/>
        </w:rPr>
        <w:t>numFaces: 1</w:t>
      </w:r>
      <w:r>
        <w:rPr>
          <w:b w:val="0"/>
          <w:i w:val="0"/>
        </w:rPr>
        <w:t xml:space="preserve">), whose output is the </w:t>
      </w:r>
      <w:r>
        <w:rPr>
          <w:b w:val="0"/>
          <w:i/>
        </w:rPr>
        <w:t>only</w:t>
      </w:r>
      <w:r>
        <w:rPr>
          <w:b w:val="0"/>
          <w:i w:val="0"/>
        </w:rPr>
        <w:t xml:space="preserve"> one ever passed into the Step-1 feature function, because that is what the training pipeline was built against; and a second, independent instance configured for up to four faces (</w:t>
      </w:r>
      <w:r>
        <w:rPr>
          <w:rFonts w:ascii="Consolas" w:hAnsi="Consolas"/>
          <w:b w:val="0"/>
          <w:i w:val="0"/>
          <w:sz w:val="20"/>
        </w:rPr>
        <w:t>numFaces: 4</w:t>
      </w:r>
      <w:r>
        <w:rPr>
          <w:b w:val="0"/>
          <w:i w:val="0"/>
        </w:rPr>
        <w:t xml:space="preserve">), used </w:t>
      </w:r>
      <w:r>
        <w:rPr>
          <w:b w:val="0"/>
          <w:i/>
        </w:rPr>
        <w:t>only</w:t>
      </w:r>
      <w:r>
        <w:rPr>
          <w:b w:val="0"/>
          <w:i w:val="0"/>
        </w:rP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b w:val="0"/>
          <w:i w:val="0"/>
          <w:sz w:val="20"/>
        </w:rPr>
        <w:t>scaler.json</w:t>
      </w:r>
      <w:r>
        <w:rPr>
          <w:b w:val="0"/>
          <w:i w:val="0"/>
        </w:rP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i w:val="0"/>
        </w:rPr>
        <w:t>Technical.</w:t>
      </w:r>
      <w:r>
        <w:rPr>
          <w:b w:val="0"/>
          <w:i w:val="0"/>
        </w:rP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i w:val="0"/>
        </w:rPr>
        <w:t>Ethical and privacy.</w:t>
      </w:r>
      <w:r>
        <w:rPr>
          <w:b w:val="0"/>
          <w:i w:val="0"/>
        </w:rPr>
        <w:t xml:space="preserve"> DAiSEE is a licensed academic dataset; its terms explicitly prohibit redistribution of the underlying video, which this project respects at every level — the raw clips are gitignored and never enter version control, and even </w:t>
      </w:r>
      <w:r>
        <w:rPr>
          <w:b w:val="0"/>
          <w:i/>
        </w:rPr>
        <w:t>derived</w:t>
      </w:r>
      <w:r>
        <w:rPr>
          <w:b w:val="0"/>
          <w:i w:val="0"/>
        </w:rPr>
        <w:t xml:space="preserve"> artefacts (extracted frame images, transcoded fixture clips used for automated testing) are likewise excluded from the git history, not merely the final delivered product (</w:t>
      </w:r>
      <w:r>
        <w:rPr>
          <w:rFonts w:ascii="Consolas" w:hAnsi="Consolas"/>
          <w:b w:val="0"/>
          <w:i w:val="0"/>
          <w:sz w:val="20"/>
        </w:rPr>
        <w:t>.gitignore</w:t>
      </w:r>
      <w:r>
        <w:rPr>
          <w:b w:val="0"/>
          <w:i w:val="0"/>
        </w:rP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b w:val="0"/>
          <w:i w:val="0"/>
          <w:sz w:val="20"/>
        </w:rPr>
        <w:t>docs/privacy.md</w:t>
      </w:r>
      <w:r>
        <w:rPr>
          <w:b w:val="0"/>
          <w:i w:val="0"/>
        </w:rPr>
        <w:t>) rather than left unmentioned because it originated in a dependency rather than this project's own code.</w:t>
      </w:r>
    </w:p>
    <w:p>
      <w:pPr>
        <w:pStyle w:val="Heading2"/>
      </w:pPr>
      <w:r>
        <w:t>3.4 Verification as Methodology, Not Afterthought</w:t>
      </w:r>
    </w:p>
    <w:p>
      <w:pPr>
        <w:spacing w:after="160"/>
      </w:pPr>
      <w:r>
        <w:rPr>
          <w:b w:val="0"/>
          <w:i w:val="0"/>
        </w:rPr>
        <w:t xml:space="preserve">Four automated verification gates exist as reproducible scripts and are treated as part of the methodology rather than post-hoc quality assurance, because each answers a question the modelling pipeline alone cannot. Being precise about </w:t>
      </w:r>
      <w:r>
        <w:rPr>
          <w:b w:val="0"/>
          <w:i/>
        </w:rPr>
        <w:t>where each actually runs</w:t>
      </w:r>
      <w:r>
        <w:rPr>
          <w:b w:val="0"/>
          <w:i w:val="0"/>
        </w:rPr>
        <w:t xml:space="preserve"> — a distinction an earlier draft of this section blurred by calling all four "CI-integrated":</w:t>
      </w:r>
    </w:p>
    <w:p>
      <w:pPr>
        <w:pStyle w:val="ListBullet"/>
      </w:pPr>
      <w:r>
        <w:rPr>
          <w:b/>
          <w:i w:val="0"/>
        </w:rPr>
        <w:t>Feature parity</w:t>
      </w:r>
      <w:r>
        <w:rPr>
          <w:b w:val="0"/>
          <w:i w:val="0"/>
        </w:rPr>
        <w:t xml:space="preserve"> (R1) — do the two independent language implementations agree? (Section 4, Experiment 1.) A Playwright test wired into </w:t>
      </w:r>
      <w:r>
        <w:rPr>
          <w:rFonts w:ascii="Consolas" w:hAnsi="Consolas"/>
          <w:b w:val="0"/>
          <w:i w:val="0"/>
          <w:sz w:val="20"/>
        </w:rPr>
        <w:t>.github/workflows/ci.yml</w:t>
      </w:r>
      <w:r>
        <w:rPr>
          <w:b w:val="0"/>
          <w:i w:val="0"/>
        </w:rPr>
        <w:t xml:space="preserve">, but its DAiSEE-derived frame fixture cannot be committed under the dataset licence, so on an ordinary hosted runner the job detects the missing fixture and skips </w:t>
      </w:r>
      <w:r>
        <w:rPr>
          <w:b w:val="0"/>
          <w:i/>
        </w:rPr>
        <w:t>with a visible warning</w:t>
      </w:r>
      <w:r>
        <w:rPr>
          <w:b w:val="0"/>
          <w:i w:val="0"/>
        </w:rPr>
        <w:t xml:space="preserve"> rather than failing; the gate genuinely executes on any runner seeded with the fixture, and locally on every release.</w:t>
      </w:r>
    </w:p>
    <w:p>
      <w:pPr>
        <w:pStyle w:val="ListBullet"/>
      </w:pPr>
      <w:r>
        <w:rPr>
          <w:b/>
          <w:i w:val="0"/>
        </w:rPr>
        <w:t>Model export parity</w:t>
      </w:r>
      <w:r>
        <w:rPr>
          <w:b w:val="0"/>
          <w:i w:val="0"/>
        </w:rPr>
        <w:t xml:space="preserve"> (Section 3.2.8) — does the exported ONNX graph agree with the trained PyTorch model to 1×10⁻⁵? </w:t>
      </w:r>
      <w:r>
        <w:rPr>
          <w:b/>
          <w:i w:val="0"/>
        </w:rPr>
        <w:t>Runs in CI on every push</w:t>
      </w:r>
      <w:r>
        <w:rPr>
          <w:b w:val="0"/>
          <w:i w:val="0"/>
        </w:rPr>
        <w:t xml:space="preserve"> (an untrained export exercises the identical graph path with no dataset needed), and again, against the real checkpoint, at every actual export.</w:t>
      </w:r>
    </w:p>
    <w:p>
      <w:pPr>
        <w:pStyle w:val="ListBullet"/>
      </w:pPr>
      <w:r>
        <w:rPr>
          <w:b/>
          <w:i w:val="0"/>
        </w:rPr>
        <w:t>Unit and contract suites</w:t>
      </w:r>
      <w:r>
        <w:rPr>
          <w:b w:val="0"/>
          <w:i w:val="0"/>
        </w:rP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i w:val="0"/>
        </w:rPr>
        <w:t>run in CI on every push</w:t>
      </w:r>
      <w:r>
        <w:rPr>
          <w:b w:val="0"/>
          <w:i w:val="0"/>
        </w:rPr>
        <w:t>.</w:t>
      </w:r>
    </w:p>
    <w:p>
      <w:pPr>
        <w:pStyle w:val="ListBullet"/>
      </w:pPr>
      <w:r>
        <w:rPr>
          <w:b/>
          <w:i w:val="0"/>
        </w:rPr>
        <w:t>Browser execution smoke</w:t>
      </w:r>
      <w:r>
        <w:rPr>
          <w:b w:val="0"/>
          <w:i w:val="0"/>
        </w:rPr>
        <w:t xml:space="preserve"> (Section 2.5.2) and </w:t>
      </w:r>
      <w:r>
        <w:rPr>
          <w:b/>
          <w:i w:val="0"/>
        </w:rPr>
        <w:t>end-to-end integration</w:t>
      </w:r>
      <w:r>
        <w:rPr>
          <w:b w:val="0"/>
          <w:i w:val="0"/>
        </w:rPr>
        <w:t xml:space="preserve"> (camera → landmarks → features → inference → UI, Section 4, Experiment 6) — reproducible scripts (</w:t>
      </w:r>
      <w:r>
        <w:rPr>
          <w:rFonts w:ascii="Consolas" w:hAnsi="Consolas"/>
          <w:b w:val="0"/>
          <w:i w:val="0"/>
          <w:sz w:val="20"/>
        </w:rPr>
        <w:t>ml/scripts/browser_tests.py</w:t>
      </w:r>
      <w:r>
        <w:rPr>
          <w:b w:val="0"/>
          <w:i w:val="0"/>
        </w:rPr>
        <w:t xml:space="preserve">, </w:t>
      </w:r>
      <w:r>
        <w:rPr>
          <w:rFonts w:ascii="Consolas" w:hAnsi="Consolas"/>
          <w:b w:val="0"/>
          <w:i w:val="0"/>
          <w:sz w:val="20"/>
        </w:rPr>
        <w:t>e2e_app_test.py</w:t>
      </w:r>
      <w:r>
        <w:rPr>
          <w:b w:val="0"/>
          <w:i w:val="0"/>
        </w:rP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rPr>
          <w:b w:val="0"/>
          <w:i w:val="0"/>
        </w:rPr>
        <w:t>A single 10-second DAiSEE clip is transcoded once to a browser-decodable VP9 WebM and, from the identical decode pass, both (a) full-precision reference features via the Python pipeline (</w:t>
      </w:r>
      <w:r>
        <w:rPr>
          <w:rFonts w:ascii="Consolas" w:hAnsi="Consolas"/>
          <w:b w:val="0"/>
          <w:i w:val="0"/>
          <w:sz w:val="20"/>
        </w:rPr>
        <w:t>ml/scripts/make_parity_fixture.py</w:t>
      </w:r>
      <w:r>
        <w:rPr>
          <w:b w:val="0"/>
          <w:i w:val="0"/>
        </w:rPr>
        <w:t xml:space="preserve">, using the </w:t>
      </w:r>
      <w:r>
        <w:rPr>
          <w:b w:val="0"/>
          <w:i/>
        </w:rPr>
        <w:t>same</w:t>
      </w:r>
      <w:r>
        <w:rPr>
          <w:b w:val="0"/>
          <w:i w:val="0"/>
        </w:rPr>
        <w:t xml:space="preserve"> </w:t>
      </w:r>
      <w:r>
        <w:rPr>
          <w:rFonts w:ascii="Consolas" w:hAnsi="Consolas"/>
          <w:b w:val="0"/>
          <w:i w:val="0"/>
          <w:sz w:val="20"/>
        </w:rPr>
        <w:t>FaceLandmarker</w:t>
      </w:r>
      <w:r>
        <w:rPr>
          <w:b w:val="0"/>
          <w:i w:val="0"/>
        </w:rPr>
        <w:t xml:space="preserve"> configuration as training extraction) and (b) 100 individual PNG frames are produced, guaranteeing byte-identical, frame-aligned input to both sides of the comparison. A Playwright Test (</w:t>
      </w:r>
      <w:r>
        <w:rPr>
          <w:rFonts w:ascii="Consolas" w:hAnsi="Consolas"/>
          <w:b w:val="0"/>
          <w:i w:val="0"/>
          <w:sz w:val="20"/>
        </w:rPr>
        <w:t>web/tests/e2e/features.parity.test.ts</w:t>
      </w:r>
      <w:r>
        <w:rPr>
          <w:b w:val="0"/>
          <w:i w:val="0"/>
        </w:rPr>
        <w:t xml:space="preserve">) then drives a real Next.js route that runs each of the 100 frames through the browser's </w:t>
      </w:r>
      <w:r>
        <w:rPr>
          <w:b w:val="0"/>
          <w:i/>
        </w:rPr>
        <w:t>production</w:t>
      </w:r>
      <w:r>
        <w:rPr>
          <w:b w:val="0"/>
          <w:i w:val="0"/>
        </w:rPr>
        <w:t xml:space="preserve"> landmarker factory and the browser's </w:t>
      </w:r>
      <w:r>
        <w:rPr>
          <w:rFonts w:ascii="Consolas" w:hAnsi="Consolas"/>
          <w:b w:val="0"/>
          <w:i w:val="0"/>
          <w:sz w:val="20"/>
        </w:rPr>
        <w:t>features.ts</w:t>
      </w:r>
      <w:r>
        <w:rPr>
          <w:b w:val="0"/>
          <w:i w:val="0"/>
        </w:rP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b w:val="0"/>
          <w:i w:val="0"/>
          <w:sz w:val="20"/>
        </w:rPr>
        <w:t>CONTRACT.md</w:t>
      </w:r>
      <w:r>
        <w:rPr>
          <w:b w:val="0"/>
          <w:i w:val="0"/>
        </w:rPr>
        <w:t xml:space="preserve"> Amendment 2 — the value the tolerance took is itself a finding, discussed below).</w:t>
      </w:r>
    </w:p>
    <w:p>
      <w:pPr>
        <w:spacing w:after="160"/>
      </w:pPr>
      <w:r>
        <w:rPr>
          <w:b w:val="0"/>
          <w:i w:val="0"/>
        </w:rPr>
        <w:t xml:space="preserve">This experiment was </w:t>
      </w:r>
      <w:r>
        <w:rPr>
          <w:b/>
          <w:i w:val="0"/>
        </w:rPr>
        <w:t>rebuilt during this project's later verification phase</w:t>
      </w:r>
      <w:r>
        <w:rPr>
          <w:b w:val="0"/>
          <w:i w:val="0"/>
        </w:rP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rPr>
          <w:b w:val="0"/>
          <w:i w:val="0"/>
        </w:rPr>
        <w:t>The rebuild's first run failed: worst-case per-feature difference of 0.86 (</w:t>
      </w:r>
      <w:r>
        <w:rPr>
          <w:rFonts w:ascii="Consolas" w:hAnsi="Consolas"/>
          <w:b w:val="0"/>
          <w:i w:val="0"/>
          <w:sz w:val="20"/>
        </w:rPr>
        <w:t>gaze_y</w:t>
      </w:r>
      <w:r>
        <w:rPr>
          <w:b w:val="0"/>
          <w:i w:val="0"/>
        </w:rP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b w:val="0"/>
          <w:i w:val="0"/>
          <w:sz w:val="20"/>
        </w:rPr>
        <w:t>numFaces: 4</w:t>
      </w:r>
      <w:r>
        <w:rPr>
          <w:b w:val="0"/>
          <w:i w:val="0"/>
        </w:rPr>
        <w:t xml:space="preserve"> — a multi-face detection option added to the application </w:t>
      </w:r>
      <w:r>
        <w:rPr>
          <w:b w:val="0"/>
          <w:i/>
        </w:rPr>
        <w:t>after</w:t>
      </w:r>
      <w:r>
        <w:rPr>
          <w:b w:val="0"/>
          <w:i w:val="0"/>
        </w:rP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b w:val="0"/>
          <w:i w:val="0"/>
          <w:sz w:val="20"/>
        </w:rPr>
        <w:t>numFaces: 1</w:t>
      </w:r>
      <w:r>
        <w:rPr>
          <w:b w:val="0"/>
          <w:i w:val="0"/>
        </w:rPr>
        <w:t>, the identical 100 frames produced a worst-case difference of 0.0157 (</w:t>
      </w:r>
      <w:r>
        <w:rPr>
          <w:rFonts w:ascii="Consolas" w:hAnsi="Consolas"/>
          <w:b w:val="0"/>
          <w:i w:val="0"/>
          <w:sz w:val="20"/>
        </w:rPr>
        <w:t>brow_left</w:t>
      </w:r>
      <w:r>
        <w:rPr>
          <w:b w:val="0"/>
          <w:i w:val="0"/>
        </w:rPr>
        <w:t>), consistent with the 0.0079 previously recorded and comfortably inside tolerance.</w:t>
      </w:r>
    </w:p>
    <w:p>
      <w:pPr>
        <w:spacing w:after="160"/>
      </w:pPr>
      <w:r>
        <w:rPr>
          <w:b w:val="0"/>
          <w:i w:val="0"/>
        </w:rPr>
        <w:t>The fix — splitting the single landmarker into two independent instances (</w:t>
      </w:r>
      <w:r>
        <w:rPr>
          <w:rFonts w:ascii="Consolas" w:hAnsi="Consolas"/>
          <w:b w:val="0"/>
          <w:i w:val="0"/>
          <w:sz w:val="20"/>
        </w:rPr>
        <w:t>createFeatureLandmarker()</w:t>
      </w:r>
      <w:r>
        <w:rPr>
          <w:b w:val="0"/>
          <w:i w:val="0"/>
        </w:rPr>
        <w:t xml:space="preserve">, </w:t>
      </w:r>
      <w:r>
        <w:rPr>
          <w:rFonts w:ascii="Consolas" w:hAnsi="Consolas"/>
          <w:b w:val="0"/>
          <w:i w:val="0"/>
          <w:sz w:val="20"/>
        </w:rPr>
        <w:t>numFaces: 1</w:t>
      </w:r>
      <w:r>
        <w:rPr>
          <w:b w:val="0"/>
          <w:i w:val="0"/>
        </w:rPr>
        <w:t xml:space="preserve">, feeding the model; </w:t>
      </w:r>
      <w:r>
        <w:rPr>
          <w:rFonts w:ascii="Consolas" w:hAnsi="Consolas"/>
          <w:b w:val="0"/>
          <w:i w:val="0"/>
          <w:sz w:val="20"/>
        </w:rPr>
        <w:t>createDisplayLandmarker()</w:t>
      </w:r>
      <w:r>
        <w:rPr>
          <w:b w:val="0"/>
          <w:i w:val="0"/>
        </w:rPr>
        <w:t xml:space="preserve">, </w:t>
      </w:r>
      <w:r>
        <w:rPr>
          <w:rFonts w:ascii="Consolas" w:hAnsi="Consolas"/>
          <w:b w:val="0"/>
          <w:i w:val="0"/>
          <w:sz w:val="20"/>
        </w:rPr>
        <w:t>numFaces: 4</w:t>
      </w:r>
      <w:r>
        <w:rPr>
          <w:b w:val="0"/>
          <w:i w:val="0"/>
        </w:rPr>
        <w:t xml:space="preserve">, driving the on-screen overlay only) — restored the 0.0157 result while preserving the multi-face UI feature, at the cost of a second WASM detection pass per sampled frame. The same gate records a related finding: with MediaPipe's GPU delegate the identical frames give a worst case of 0.050 on </w:t>
      </w:r>
      <w:r>
        <w:rPr>
          <w:rFonts w:ascii="Consolas" w:hAnsi="Consolas"/>
          <w:b w:val="0"/>
          <w:i w:val="0"/>
          <w:sz w:val="20"/>
        </w:rPr>
        <w:t>gaze_y</w:t>
      </w:r>
      <w:r>
        <w:rPr>
          <w:b w:val="0"/>
          <w:i w:val="0"/>
        </w:rPr>
        <w:t xml:space="preserve">, 2.5× tolerance, which is why </w:t>
      </w:r>
      <w:r>
        <w:rPr>
          <w:rFonts w:ascii="Consolas" w:hAnsi="Consolas"/>
          <w:b w:val="0"/>
          <w:i w:val="0"/>
          <w:sz w:val="20"/>
        </w:rPr>
        <w:t>web/lib/faceLandmarker.ts</w:t>
      </w:r>
      <w:r>
        <w:rPr>
          <w:b w:val="0"/>
          <w:i w:val="0"/>
        </w:rPr>
        <w:t xml:space="preserve"> pins </w:t>
      </w:r>
      <w:r>
        <w:rPr>
          <w:rFonts w:ascii="Consolas" w:hAnsi="Consolas"/>
          <w:b w:val="0"/>
          <w:i w:val="0"/>
          <w:sz w:val="20"/>
        </w:rPr>
        <w:t>delegate: 'CPU'</w:t>
      </w:r>
      <w:r>
        <w:rPr>
          <w:b w:val="0"/>
          <w:i w:val="0"/>
        </w:rPr>
        <w:t xml:space="preserve">. That failing run is committed as </w:t>
      </w:r>
      <w:r>
        <w:rPr>
          <w:rFonts w:ascii="Consolas" w:hAnsi="Consolas"/>
          <w:b w:val="0"/>
          <w:i w:val="0"/>
          <w:sz w:val="20"/>
        </w:rPr>
        <w:t>docs/results/parity_report_gpu.json</w:t>
      </w:r>
      <w:r>
        <w:rPr>
          <w:b w:val="0"/>
          <w:i w:val="0"/>
        </w:rPr>
        <w:t xml:space="preserve"> (</w:t>
      </w:r>
      <w:r>
        <w:rPr>
          <w:rFonts w:ascii="Consolas" w:hAnsi="Consolas"/>
          <w:b w:val="0"/>
          <w:i w:val="0"/>
          <w:sz w:val="20"/>
        </w:rPr>
        <w:t>ok: false</w:t>
      </w:r>
      <w:r>
        <w:rPr>
          <w:b w:val="0"/>
          <w:i w:val="0"/>
        </w:rPr>
        <w:t>) — a documented negative result, not a discarded one.</w:t>
      </w:r>
    </w:p>
    <w:p>
      <w:pPr>
        <w:spacing w:after="160"/>
      </w:pPr>
      <w:r>
        <w:rPr>
          <w:b/>
          <w:i w:val="0"/>
        </w:rPr>
        <w:t>A second, subtler defect surfaced later, inside the "passing" result itself.</w:t>
      </w:r>
      <w:r>
        <w:rPr>
          <w:b w:val="0"/>
          <w:i w:val="0"/>
        </w:rP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b w:val="0"/>
          <w:i/>
        </w:rPr>
        <w:t>centroid of all six eye landmarks</w:t>
      </w:r>
      <w:r>
        <w:rPr>
          <w:b w:val="0"/>
          <w:i w:val="0"/>
        </w:rPr>
        <w:t xml:space="preserve">, where the Python reference — and the contract — use the </w:t>
      </w:r>
      <w:r>
        <w:rPr>
          <w:b w:val="0"/>
          <w:i/>
        </w:rPr>
        <w:t>midpoint of the two eye corners</w:t>
      </w:r>
      <w:r>
        <w:rPr>
          <w:b w:val="0"/>
          <w:i w:val="0"/>
        </w:rP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i w:val="0"/>
        </w:rPr>
        <w:t>0.0035</w:t>
      </w:r>
      <w:r>
        <w:rPr>
          <w:b w:val="0"/>
          <w:i w:val="0"/>
        </w:rPr>
        <w:t xml:space="preserve"> — headroom against the 0.02 tolerance improving from 1.3× to 5.7×. The episode is recorded as </w:t>
      </w:r>
      <w:r>
        <w:rPr>
          <w:rFonts w:ascii="Consolas" w:hAnsi="Consolas"/>
          <w:b w:val="0"/>
          <w:i w:val="0"/>
          <w:sz w:val="20"/>
        </w:rPr>
        <w:t>CONTRACT.md</w:t>
      </w:r>
      <w:r>
        <w:rPr>
          <w:b w:val="0"/>
          <w:i w:val="0"/>
        </w:rPr>
        <w:t xml:space="preserve"> Amendment 4, which corrects Amendment 2's diagnosis.</w:t>
      </w:r>
    </w:p>
    <w:p>
      <w:pPr>
        <w:pStyle w:val="TableCaption"/>
      </w:pPr>
      <w:r>
        <w:rPr>
          <w:b w:val="0"/>
          <w:i w:val="0"/>
        </w:rPr>
        <w:t xml:space="preserve">Table 4.1 — Per-feature Python↔browser absolute differences over the 100-frame parity fixture, after the Amendment 4 fix (source: </w:t>
      </w:r>
      <w:r>
        <w:rPr>
          <w:rFonts w:ascii="Consolas" w:hAnsi="Consolas"/>
          <w:b w:val="0"/>
          <w:i w:val="0"/>
          <w:sz w:val="20"/>
        </w:rPr>
        <w:t>docs/results/parity_report.json</w:t>
      </w:r>
      <w:r>
        <w:rPr>
          <w:b w:val="0"/>
          <w:i w:val="0"/>
        </w:rP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Feature</w:t>
            </w:r>
          </w:p>
        </w:tc>
        <w:tc>
          <w:tcPr>
            <w:tcW w:type="dxa" w:w="2880"/>
            <w:shd w:val="clear" w:color="auto" w:fill="D9E2F3"/>
          </w:tcPr>
          <w:p>
            <w:r>
              <w:rPr>
                <w:b/>
              </w:rPr>
            </w:r>
            <w:r>
              <w:rPr>
                <w:b/>
                <w:i w:val="0"/>
              </w:rPr>
              <w:t>Mean abs diff</w:t>
            </w:r>
          </w:p>
        </w:tc>
        <w:tc>
          <w:tcPr>
            <w:tcW w:type="dxa" w:w="2880"/>
            <w:shd w:val="clear" w:color="auto" w:fill="D9E2F3"/>
          </w:tcPr>
          <w:p>
            <w:r>
              <w:rPr>
                <w:b/>
              </w:rPr>
            </w:r>
            <w:r>
              <w:rPr>
                <w:b/>
                <w:i w:val="0"/>
              </w:rPr>
              <w:t>Max abs diff</w:t>
            </w:r>
          </w:p>
        </w:tc>
      </w:tr>
      <w:tr>
        <w:tc>
          <w:tcPr>
            <w:tcW w:type="dxa" w:w="2880"/>
          </w:tcPr>
          <w:p>
            <w:r/>
            <w:r>
              <w:rPr>
                <w:rFonts w:ascii="Consolas" w:hAnsi="Consolas"/>
                <w:b w:val="0"/>
                <w:i w:val="0"/>
                <w:sz w:val="20"/>
              </w:rPr>
              <w:t>ear_left</w:t>
            </w:r>
          </w:p>
        </w:tc>
        <w:tc>
          <w:tcPr>
            <w:tcW w:type="dxa" w:w="2880"/>
          </w:tcPr>
          <w:p>
            <w:r/>
            <w:r>
              <w:rPr>
                <w:b w:val="0"/>
                <w:i w:val="0"/>
              </w:rPr>
              <w:t>0.000218</w:t>
            </w:r>
          </w:p>
        </w:tc>
        <w:tc>
          <w:tcPr>
            <w:tcW w:type="dxa" w:w="2880"/>
          </w:tcPr>
          <w:p>
            <w:r/>
            <w:r>
              <w:rPr>
                <w:b w:val="0"/>
                <w:i w:val="0"/>
              </w:rPr>
              <w:t>0.001076</w:t>
            </w:r>
          </w:p>
        </w:tc>
      </w:tr>
      <w:tr>
        <w:tc>
          <w:tcPr>
            <w:tcW w:type="dxa" w:w="2880"/>
          </w:tcPr>
          <w:p>
            <w:r/>
            <w:r>
              <w:rPr>
                <w:rFonts w:ascii="Consolas" w:hAnsi="Consolas"/>
                <w:b w:val="0"/>
                <w:i w:val="0"/>
                <w:sz w:val="20"/>
              </w:rPr>
              <w:t>ear_right</w:t>
            </w:r>
          </w:p>
        </w:tc>
        <w:tc>
          <w:tcPr>
            <w:tcW w:type="dxa" w:w="2880"/>
          </w:tcPr>
          <w:p>
            <w:r/>
            <w:r>
              <w:rPr>
                <w:b w:val="0"/>
                <w:i w:val="0"/>
              </w:rPr>
              <w:t>0.000180</w:t>
            </w:r>
          </w:p>
        </w:tc>
        <w:tc>
          <w:tcPr>
            <w:tcW w:type="dxa" w:w="2880"/>
          </w:tcPr>
          <w:p>
            <w:r/>
            <w:r>
              <w:rPr>
                <w:b w:val="0"/>
                <w:i w:val="0"/>
              </w:rPr>
              <w:t>0.001055</w:t>
            </w:r>
          </w:p>
        </w:tc>
      </w:tr>
      <w:tr>
        <w:tc>
          <w:tcPr>
            <w:tcW w:type="dxa" w:w="2880"/>
          </w:tcPr>
          <w:p>
            <w:r/>
            <w:r>
              <w:rPr>
                <w:rFonts w:ascii="Consolas" w:hAnsi="Consolas"/>
                <w:b w:val="0"/>
                <w:i w:val="0"/>
                <w:sz w:val="20"/>
              </w:rPr>
              <w:t>ear_mean</w:t>
            </w:r>
          </w:p>
        </w:tc>
        <w:tc>
          <w:tcPr>
            <w:tcW w:type="dxa" w:w="2880"/>
          </w:tcPr>
          <w:p>
            <w:r/>
            <w:r>
              <w:rPr>
                <w:b w:val="0"/>
                <w:i w:val="0"/>
              </w:rPr>
              <w:t>0.000170</w:t>
            </w:r>
          </w:p>
        </w:tc>
        <w:tc>
          <w:tcPr>
            <w:tcW w:type="dxa" w:w="2880"/>
          </w:tcPr>
          <w:p>
            <w:r/>
            <w:r>
              <w:rPr>
                <w:b w:val="0"/>
                <w:i w:val="0"/>
              </w:rPr>
              <w:t>0.000768</w:t>
            </w:r>
          </w:p>
        </w:tc>
      </w:tr>
      <w:tr>
        <w:tc>
          <w:tcPr>
            <w:tcW w:type="dxa" w:w="2880"/>
          </w:tcPr>
          <w:p>
            <w:r/>
            <w:r>
              <w:rPr>
                <w:rFonts w:ascii="Consolas" w:hAnsi="Consolas"/>
                <w:b w:val="0"/>
                <w:i w:val="0"/>
                <w:sz w:val="20"/>
              </w:rPr>
              <w:t>mar</w:t>
            </w:r>
          </w:p>
        </w:tc>
        <w:tc>
          <w:tcPr>
            <w:tcW w:type="dxa" w:w="2880"/>
          </w:tcPr>
          <w:p>
            <w:r/>
            <w:r>
              <w:rPr>
                <w:b w:val="0"/>
                <w:i w:val="0"/>
              </w:rPr>
              <w:t>0.000300</w:t>
            </w:r>
          </w:p>
        </w:tc>
        <w:tc>
          <w:tcPr>
            <w:tcW w:type="dxa" w:w="2880"/>
          </w:tcPr>
          <w:p>
            <w:r/>
            <w:r>
              <w:rPr>
                <w:b w:val="0"/>
                <w:i w:val="0"/>
              </w:rPr>
              <w:t>0.001997</w:t>
            </w:r>
          </w:p>
        </w:tc>
      </w:tr>
      <w:tr>
        <w:tc>
          <w:tcPr>
            <w:tcW w:type="dxa" w:w="2880"/>
          </w:tcPr>
          <w:p>
            <w:r/>
            <w:r>
              <w:rPr>
                <w:rFonts w:ascii="Consolas" w:hAnsi="Consolas"/>
                <w:b w:val="0"/>
                <w:i w:val="0"/>
                <w:sz w:val="20"/>
              </w:rPr>
              <w:t>brow_left</w:t>
            </w:r>
          </w:p>
        </w:tc>
        <w:tc>
          <w:tcPr>
            <w:tcW w:type="dxa" w:w="2880"/>
          </w:tcPr>
          <w:p>
            <w:r/>
            <w:r>
              <w:rPr>
                <w:b w:val="0"/>
                <w:i w:val="0"/>
              </w:rPr>
              <w:t>0.000085</w:t>
            </w:r>
          </w:p>
        </w:tc>
        <w:tc>
          <w:tcPr>
            <w:tcW w:type="dxa" w:w="2880"/>
          </w:tcPr>
          <w:p>
            <w:r/>
            <w:r>
              <w:rPr>
                <w:b w:val="0"/>
                <w:i w:val="0"/>
              </w:rPr>
              <w:t>0.000458</w:t>
            </w:r>
          </w:p>
        </w:tc>
      </w:tr>
      <w:tr>
        <w:tc>
          <w:tcPr>
            <w:tcW w:type="dxa" w:w="2880"/>
          </w:tcPr>
          <w:p>
            <w:r/>
            <w:r>
              <w:rPr>
                <w:rFonts w:ascii="Consolas" w:hAnsi="Consolas"/>
                <w:b w:val="0"/>
                <w:i w:val="0"/>
                <w:sz w:val="20"/>
              </w:rPr>
              <w:t>brow_right</w:t>
            </w:r>
          </w:p>
        </w:tc>
        <w:tc>
          <w:tcPr>
            <w:tcW w:type="dxa" w:w="2880"/>
          </w:tcPr>
          <w:p>
            <w:r/>
            <w:r>
              <w:rPr>
                <w:b w:val="0"/>
                <w:i w:val="0"/>
              </w:rPr>
              <w:t>0.000074</w:t>
            </w:r>
          </w:p>
        </w:tc>
        <w:tc>
          <w:tcPr>
            <w:tcW w:type="dxa" w:w="2880"/>
          </w:tcPr>
          <w:p>
            <w:r/>
            <w:r>
              <w:rPr>
                <w:b w:val="0"/>
                <w:i w:val="0"/>
              </w:rPr>
              <w:t>0.000512</w:t>
            </w:r>
          </w:p>
        </w:tc>
      </w:tr>
      <w:tr>
        <w:tc>
          <w:tcPr>
            <w:tcW w:type="dxa" w:w="2880"/>
          </w:tcPr>
          <w:p>
            <w:r/>
            <w:r>
              <w:rPr>
                <w:rFonts w:ascii="Consolas" w:hAnsi="Consolas"/>
                <w:b w:val="0"/>
                <w:i w:val="0"/>
                <w:sz w:val="20"/>
              </w:rPr>
              <w:t>yaw</w:t>
            </w:r>
          </w:p>
        </w:tc>
        <w:tc>
          <w:tcPr>
            <w:tcW w:type="dxa" w:w="2880"/>
          </w:tcPr>
          <w:p>
            <w:r/>
            <w:r>
              <w:rPr>
                <w:b w:val="0"/>
                <w:i w:val="0"/>
              </w:rPr>
              <w:t>0.000159</w:t>
            </w:r>
          </w:p>
        </w:tc>
        <w:tc>
          <w:tcPr>
            <w:tcW w:type="dxa" w:w="2880"/>
          </w:tcPr>
          <w:p>
            <w:r/>
            <w:r>
              <w:rPr>
                <w:b w:val="0"/>
                <w:i w:val="0"/>
              </w:rPr>
              <w:t>0.000967</w:t>
            </w:r>
          </w:p>
        </w:tc>
      </w:tr>
      <w:tr>
        <w:tc>
          <w:tcPr>
            <w:tcW w:type="dxa" w:w="2880"/>
          </w:tcPr>
          <w:p>
            <w:r/>
            <w:r>
              <w:rPr>
                <w:rFonts w:ascii="Consolas" w:hAnsi="Consolas"/>
                <w:b w:val="0"/>
                <w:i w:val="0"/>
                <w:sz w:val="20"/>
              </w:rPr>
              <w:t>pitch</w:t>
            </w:r>
          </w:p>
        </w:tc>
        <w:tc>
          <w:tcPr>
            <w:tcW w:type="dxa" w:w="2880"/>
          </w:tcPr>
          <w:p>
            <w:r/>
            <w:r>
              <w:rPr>
                <w:b w:val="0"/>
                <w:i w:val="0"/>
              </w:rPr>
              <w:t>0.000090</w:t>
            </w:r>
          </w:p>
        </w:tc>
        <w:tc>
          <w:tcPr>
            <w:tcW w:type="dxa" w:w="2880"/>
          </w:tcPr>
          <w:p>
            <w:r/>
            <w:r>
              <w:rPr>
                <w:b w:val="0"/>
                <w:i w:val="0"/>
              </w:rPr>
              <w:t>0.000385</w:t>
            </w:r>
          </w:p>
        </w:tc>
      </w:tr>
      <w:tr>
        <w:tc>
          <w:tcPr>
            <w:tcW w:type="dxa" w:w="2880"/>
          </w:tcPr>
          <w:p>
            <w:r/>
            <w:r>
              <w:rPr>
                <w:rFonts w:ascii="Consolas" w:hAnsi="Consolas"/>
                <w:b w:val="0"/>
                <w:i w:val="0"/>
                <w:sz w:val="20"/>
              </w:rPr>
              <w:t>roll</w:t>
            </w:r>
          </w:p>
        </w:tc>
        <w:tc>
          <w:tcPr>
            <w:tcW w:type="dxa" w:w="2880"/>
          </w:tcPr>
          <w:p>
            <w:r/>
            <w:r>
              <w:rPr>
                <w:b w:val="0"/>
                <w:i w:val="0"/>
              </w:rPr>
              <w:t>0.000067</w:t>
            </w:r>
          </w:p>
        </w:tc>
        <w:tc>
          <w:tcPr>
            <w:tcW w:type="dxa" w:w="2880"/>
          </w:tcPr>
          <w:p>
            <w:r/>
            <w:r>
              <w:rPr>
                <w:b w:val="0"/>
                <w:i w:val="0"/>
              </w:rPr>
              <w:t>0.000214</w:t>
            </w:r>
          </w:p>
        </w:tc>
      </w:tr>
      <w:tr>
        <w:tc>
          <w:tcPr>
            <w:tcW w:type="dxa" w:w="2880"/>
          </w:tcPr>
          <w:p>
            <w:r/>
            <w:r>
              <w:rPr>
                <w:rFonts w:ascii="Consolas" w:hAnsi="Consolas"/>
                <w:b w:val="0"/>
                <w:i w:val="0"/>
                <w:sz w:val="20"/>
              </w:rPr>
              <w:t>gaze_x</w:t>
            </w:r>
          </w:p>
        </w:tc>
        <w:tc>
          <w:tcPr>
            <w:tcW w:type="dxa" w:w="2880"/>
          </w:tcPr>
          <w:p>
            <w:r/>
            <w:r>
              <w:rPr>
                <w:b w:val="0"/>
                <w:i w:val="0"/>
              </w:rPr>
              <w:t>0.000191</w:t>
            </w:r>
          </w:p>
        </w:tc>
        <w:tc>
          <w:tcPr>
            <w:tcW w:type="dxa" w:w="2880"/>
          </w:tcPr>
          <w:p>
            <w:r/>
            <w:r>
              <w:rPr>
                <w:b w:val="0"/>
                <w:i w:val="0"/>
              </w:rPr>
              <w:t>0.001311</w:t>
            </w:r>
          </w:p>
        </w:tc>
      </w:tr>
      <w:tr>
        <w:tc>
          <w:tcPr>
            <w:tcW w:type="dxa" w:w="2880"/>
          </w:tcPr>
          <w:p>
            <w:r/>
            <w:r>
              <w:rPr>
                <w:rFonts w:ascii="Consolas" w:hAnsi="Consolas"/>
                <w:b w:val="0"/>
                <w:i w:val="0"/>
                <w:sz w:val="20"/>
              </w:rPr>
              <w:t>gaze_y</w:t>
            </w:r>
          </w:p>
        </w:tc>
        <w:tc>
          <w:tcPr>
            <w:tcW w:type="dxa" w:w="2880"/>
          </w:tcPr>
          <w:p>
            <w:r/>
            <w:r>
              <w:rPr>
                <w:b w:val="0"/>
                <w:i w:val="0"/>
              </w:rPr>
              <w:t>0.000617</w:t>
            </w:r>
          </w:p>
        </w:tc>
        <w:tc>
          <w:tcPr>
            <w:tcW w:type="dxa" w:w="2880"/>
          </w:tcPr>
          <w:p>
            <w:r/>
            <w:r>
              <w:rPr>
                <w:b w:val="0"/>
                <w:i w:val="0"/>
              </w:rPr>
              <w:t>0.003506</w:t>
            </w:r>
          </w:p>
        </w:tc>
      </w:tr>
      <w:tr>
        <w:tc>
          <w:tcPr>
            <w:tcW w:type="dxa" w:w="2880"/>
          </w:tcPr>
          <w:p>
            <w:r/>
            <w:r>
              <w:rPr>
                <w:rFonts w:ascii="Consolas" w:hAnsi="Consolas"/>
                <w:b w:val="0"/>
                <w:i w:val="0"/>
                <w:sz w:val="20"/>
              </w:rPr>
              <w:t>face_area</w:t>
            </w:r>
          </w:p>
        </w:tc>
        <w:tc>
          <w:tcPr>
            <w:tcW w:type="dxa" w:w="2880"/>
          </w:tcPr>
          <w:p>
            <w:r/>
            <w:r>
              <w:rPr>
                <w:b w:val="0"/>
                <w:i w:val="0"/>
              </w:rPr>
              <w:t>0.000008</w:t>
            </w:r>
          </w:p>
        </w:tc>
        <w:tc>
          <w:tcPr>
            <w:tcW w:type="dxa" w:w="2880"/>
          </w:tcPr>
          <w:p>
            <w:r/>
            <w:r>
              <w:rPr>
                <w:b w:val="0"/>
                <w:i w:val="0"/>
              </w:rPr>
              <w:t>0.000032</w:t>
            </w:r>
          </w:p>
        </w:tc>
      </w:tr>
      <w:tr>
        <w:tc>
          <w:tcPr>
            <w:tcW w:type="dxa" w:w="2880"/>
          </w:tcPr>
          <w:p>
            <w:r/>
            <w:r>
              <w:rPr>
                <w:rFonts w:ascii="Consolas" w:hAnsi="Consolas"/>
                <w:b w:val="0"/>
                <w:i w:val="0"/>
                <w:sz w:val="20"/>
              </w:rPr>
              <w:t>face_present</w:t>
            </w:r>
          </w:p>
        </w:tc>
        <w:tc>
          <w:tcPr>
            <w:tcW w:type="dxa" w:w="2880"/>
          </w:tcPr>
          <w:p>
            <w:r/>
            <w:r>
              <w:rPr>
                <w:b w:val="0"/>
                <w:i w:val="0"/>
              </w:rPr>
              <w:t>0.000000</w:t>
            </w:r>
          </w:p>
        </w:tc>
        <w:tc>
          <w:tcPr>
            <w:tcW w:type="dxa" w:w="2880"/>
          </w:tcPr>
          <w:p>
            <w:r/>
            <w:r>
              <w:rPr>
                <w:b w:val="0"/>
                <w:i w:val="0"/>
              </w:rPr>
              <w:t>0.000000</w:t>
            </w:r>
          </w:p>
        </w:tc>
      </w:tr>
    </w:tbl>
    <w:p/>
    <w:p>
      <w:pPr>
        <w:pStyle w:val="Heading3"/>
      </w:pPr>
      <w:r>
        <w:t>4.1.3 Evaluation and Discussion</w:t>
      </w:r>
    </w:p>
    <w:p>
      <w:pPr>
        <w:spacing w:after="160"/>
      </w:pPr>
      <w:r>
        <w:rPr>
          <w:b w:val="0"/>
          <w:i w:val="0"/>
        </w:rP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b w:val="0"/>
          <w:i w:val="0"/>
          <w:sz w:val="20"/>
        </w:rPr>
        <w:t>num_faces=1</w:t>
      </w:r>
      <w:r>
        <w:rPr>
          <w:b w:val="0"/>
          <w:i w:val="0"/>
        </w:rPr>
        <w:t xml:space="preserve"> (</w:t>
      </w:r>
      <w:r>
        <w:rPr>
          <w:rFonts w:ascii="Consolas" w:hAnsi="Consolas"/>
          <w:b w:val="0"/>
          <w:i w:val="0"/>
          <w:sz w:val="20"/>
        </w:rPr>
        <w:t>ml/src/extract.py</w:t>
      </w:r>
      <w:r>
        <w:rPr>
          <w:b w:val="0"/>
          <w:i w:val="0"/>
        </w:rP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b w:val="0"/>
          <w:i/>
        </w:rPr>
        <w:t>actual deployed system</w:t>
      </w:r>
      <w:r>
        <w:rPr>
          <w:b w:val="0"/>
          <w:i w:val="0"/>
        </w:rP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rPr>
          <w:b w:val="0"/>
          <w:i w:val="0"/>
        </w:rPr>
        <w:t xml:space="preserve">The Amendment 4 brow episode adds the corrective second half of that lesson, told against this project's own earlier judgement: a tolerance wide enough to absorb legitimate runtime noise is also wide enough to hide a modest </w:t>
      </w:r>
      <w:r>
        <w:rPr>
          <w:b w:val="0"/>
          <w:i/>
        </w:rPr>
        <w:t>systematic</w:t>
      </w:r>
      <w:r>
        <w:rPr>
          <w:b w:val="0"/>
          <w:i w:val="0"/>
        </w:rP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rPr>
          <w:b w:val="0"/>
          <w:i w:val="0"/>
        </w:rPr>
        <w:t xml:space="preserve">Each 30×13 window from all three splits is reduced to a 65-dimensional vector (mean/std/min/max/range per feature, Section 3.2.5) and used to train a </w:t>
      </w:r>
      <w:r>
        <w:rPr>
          <w:rFonts w:ascii="Consolas" w:hAnsi="Consolas"/>
          <w:b w:val="0"/>
          <w:i w:val="0"/>
          <w:sz w:val="20"/>
        </w:rPr>
        <w:t>class_weight="balanced"</w:t>
      </w:r>
      <w:r>
        <w:rPr>
          <w:b w:val="0"/>
          <w:i w:val="0"/>
        </w:rP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TableCaption"/>
      </w:pPr>
      <w:r>
        <w:rPr>
          <w:b w:val="0"/>
          <w:i w:val="0"/>
        </w:rPr>
        <w:t xml:space="preserve">Table 4.2 — Classical baselines on both held-out splits (source: </w:t>
      </w:r>
      <w:r>
        <w:rPr>
          <w:rFonts w:ascii="Consolas" w:hAnsi="Consolas"/>
          <w:b w:val="0"/>
          <w:i w:val="0"/>
          <w:sz w:val="20"/>
        </w:rPr>
        <w:t>docs/results/baselines.csv</w:t>
      </w:r>
      <w:r>
        <w:rPr>
          <w:b w:val="0"/>
          <w:i w:val="0"/>
        </w:rP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Model</w:t>
            </w:r>
          </w:p>
        </w:tc>
        <w:tc>
          <w:tcPr>
            <w:tcW w:type="dxa" w:w="2160"/>
            <w:shd w:val="clear" w:color="auto" w:fill="D9E2F3"/>
          </w:tcPr>
          <w:p>
            <w:r>
              <w:rPr>
                <w:b/>
              </w:rPr>
            </w:r>
            <w:r>
              <w:rPr>
                <w:b/>
                <w:i w:val="0"/>
              </w:rPr>
              <w:t>Macro-F1</w:t>
            </w:r>
          </w:p>
        </w:tc>
        <w:tc>
          <w:tcPr>
            <w:tcW w:type="dxa" w:w="2160"/>
            <w:shd w:val="clear" w:color="auto" w:fill="D9E2F3"/>
          </w:tcPr>
          <w:p>
            <w:r>
              <w:rPr>
                <w:b/>
              </w:rPr>
            </w:r>
            <w:r>
              <w:rPr>
                <w:b/>
                <w:i w:val="0"/>
              </w:rPr>
              <w:t>Accuracy</w:t>
            </w:r>
          </w:p>
        </w:tc>
      </w:tr>
      <w:tr>
        <w:tc>
          <w:tcPr>
            <w:tcW w:type="dxa" w:w="2160"/>
          </w:tcPr>
          <w:p>
            <w:r/>
            <w:r>
              <w:rPr>
                <w:b w:val="0"/>
                <w:i w:val="0"/>
              </w:rPr>
              <w:t>Validation</w:t>
            </w:r>
          </w:p>
        </w:tc>
        <w:tc>
          <w:tcPr>
            <w:tcW w:type="dxa" w:w="2160"/>
          </w:tcPr>
          <w:p>
            <w:r/>
            <w:r>
              <w:rPr>
                <w:b w:val="0"/>
                <w:i w:val="0"/>
              </w:rPr>
              <w:t>Majority-class</w:t>
            </w:r>
          </w:p>
        </w:tc>
        <w:tc>
          <w:tcPr>
            <w:tcW w:type="dxa" w:w="2160"/>
          </w:tcPr>
          <w:p>
            <w:r/>
            <w:r>
              <w:rPr>
                <w:b w:val="0"/>
                <w:i w:val="0"/>
              </w:rPr>
              <w:t>0.1813</w:t>
            </w:r>
          </w:p>
        </w:tc>
        <w:tc>
          <w:tcPr>
            <w:tcW w:type="dxa" w:w="2160"/>
          </w:tcPr>
          <w:p>
            <w:r/>
            <w:r>
              <w:rPr>
                <w:b w:val="0"/>
                <w:i w:val="0"/>
              </w:rPr>
              <w:t>0.5689</w:t>
            </w:r>
          </w:p>
        </w:tc>
      </w:tr>
      <w:tr>
        <w:tc>
          <w:tcPr>
            <w:tcW w:type="dxa" w:w="2160"/>
          </w:tcPr>
          <w:p>
            <w:r/>
            <w:r>
              <w:rPr>
                <w:b w:val="0"/>
                <w:i w:val="0"/>
              </w:rPr>
              <w:t>Validation</w:t>
            </w:r>
          </w:p>
        </w:tc>
        <w:tc>
          <w:tcPr>
            <w:tcW w:type="dxa" w:w="2160"/>
          </w:tcPr>
          <w:p>
            <w:r/>
            <w:r>
              <w:rPr>
                <w:b w:val="0"/>
                <w:i w:val="0"/>
              </w:rPr>
              <w:t>Logistic regression</w:t>
            </w:r>
          </w:p>
        </w:tc>
        <w:tc>
          <w:tcPr>
            <w:tcW w:type="dxa" w:w="2160"/>
          </w:tcPr>
          <w:p>
            <w:r/>
            <w:r>
              <w:rPr>
                <w:b w:val="0"/>
                <w:i w:val="0"/>
              </w:rPr>
              <w:t>0.2420</w:t>
            </w:r>
          </w:p>
        </w:tc>
        <w:tc>
          <w:tcPr>
            <w:tcW w:type="dxa" w:w="2160"/>
          </w:tcPr>
          <w:p>
            <w:r/>
            <w:r>
              <w:rPr>
                <w:b w:val="0"/>
                <w:i w:val="0"/>
              </w:rPr>
              <w:t>0.3109</w:t>
            </w:r>
          </w:p>
        </w:tc>
      </w:tr>
      <w:tr>
        <w:tc>
          <w:tcPr>
            <w:tcW w:type="dxa" w:w="2160"/>
          </w:tcPr>
          <w:p>
            <w:r/>
            <w:r>
              <w:rPr>
                <w:b w:val="0"/>
                <w:i w:val="0"/>
              </w:rPr>
              <w:t>Validation</w:t>
            </w:r>
          </w:p>
        </w:tc>
        <w:tc>
          <w:tcPr>
            <w:tcW w:type="dxa" w:w="2160"/>
          </w:tcPr>
          <w:p>
            <w:r/>
            <w:r>
              <w:rPr>
                <w:b w:val="0"/>
                <w:i w:val="0"/>
              </w:rPr>
              <w:t>Random forest</w:t>
            </w:r>
          </w:p>
        </w:tc>
        <w:tc>
          <w:tcPr>
            <w:tcW w:type="dxa" w:w="2160"/>
          </w:tcPr>
          <w:p>
            <w:r/>
            <w:r>
              <w:rPr>
                <w:b w:val="0"/>
                <w:i w:val="0"/>
              </w:rPr>
              <w:t>0.2669</w:t>
            </w:r>
          </w:p>
        </w:tc>
        <w:tc>
          <w:tcPr>
            <w:tcW w:type="dxa" w:w="2160"/>
          </w:tcPr>
          <w:p>
            <w:r/>
            <w:r>
              <w:rPr>
                <w:b w:val="0"/>
                <w:i w:val="0"/>
              </w:rPr>
              <w:t>0.5263</w:t>
            </w:r>
          </w:p>
        </w:tc>
      </w:tr>
      <w:tr>
        <w:tc>
          <w:tcPr>
            <w:tcW w:type="dxa" w:w="2160"/>
          </w:tcPr>
          <w:p>
            <w:r/>
            <w:r>
              <w:rPr>
                <w:b w:val="0"/>
                <w:i w:val="0"/>
              </w:rPr>
              <w:t>Validation</w:t>
            </w:r>
          </w:p>
        </w:tc>
        <w:tc>
          <w:tcPr>
            <w:tcW w:type="dxa" w:w="2160"/>
          </w:tcPr>
          <w:p>
            <w:r/>
            <w:r>
              <w:rPr>
                <w:b w:val="0"/>
                <w:i w:val="0"/>
              </w:rPr>
              <w:t>Gradient boosting (Exp. 7)</w:t>
            </w:r>
          </w:p>
        </w:tc>
        <w:tc>
          <w:tcPr>
            <w:tcW w:type="dxa" w:w="2160"/>
          </w:tcPr>
          <w:p>
            <w:r/>
            <w:r>
              <w:rPr>
                <w:b w:val="0"/>
                <w:i w:val="0"/>
              </w:rPr>
              <w:t>0.2907</w:t>
            </w:r>
          </w:p>
        </w:tc>
        <w:tc>
          <w:tcPr>
            <w:tcW w:type="dxa" w:w="2160"/>
          </w:tcPr>
          <w:p>
            <w:r/>
            <w:r>
              <w:rPr>
                <w:b w:val="0"/>
                <w:i w:val="0"/>
              </w:rPr>
              <w:t>0.5070</w:t>
            </w:r>
          </w:p>
        </w:tc>
      </w:tr>
      <w:tr>
        <w:tc>
          <w:tcPr>
            <w:tcW w:type="dxa" w:w="2160"/>
          </w:tcPr>
          <w:p>
            <w:r/>
            <w:r>
              <w:rPr>
                <w:b w:val="0"/>
                <w:i w:val="0"/>
              </w:rPr>
              <w:t>Test</w:t>
            </w:r>
          </w:p>
        </w:tc>
        <w:tc>
          <w:tcPr>
            <w:tcW w:type="dxa" w:w="2160"/>
          </w:tcPr>
          <w:p>
            <w:r/>
            <w:r>
              <w:rPr>
                <w:b w:val="0"/>
                <w:i w:val="0"/>
              </w:rPr>
              <w:t>Majority-class</w:t>
            </w:r>
          </w:p>
        </w:tc>
        <w:tc>
          <w:tcPr>
            <w:tcW w:type="dxa" w:w="2160"/>
          </w:tcPr>
          <w:p>
            <w:r/>
            <w:r>
              <w:rPr>
                <w:b w:val="0"/>
                <w:i w:val="0"/>
              </w:rPr>
              <w:t>0.1655</w:t>
            </w:r>
          </w:p>
        </w:tc>
        <w:tc>
          <w:tcPr>
            <w:tcW w:type="dxa" w:w="2160"/>
          </w:tcPr>
          <w:p>
            <w:r/>
            <w:r>
              <w:rPr>
                <w:b w:val="0"/>
                <w:i w:val="0"/>
              </w:rPr>
              <w:t>0.4948</w:t>
            </w:r>
          </w:p>
        </w:tc>
      </w:tr>
      <w:tr>
        <w:tc>
          <w:tcPr>
            <w:tcW w:type="dxa" w:w="2160"/>
          </w:tcPr>
          <w:p>
            <w:r/>
            <w:r>
              <w:rPr>
                <w:b w:val="0"/>
                <w:i w:val="0"/>
              </w:rPr>
              <w:t>Test</w:t>
            </w:r>
          </w:p>
        </w:tc>
        <w:tc>
          <w:tcPr>
            <w:tcW w:type="dxa" w:w="2160"/>
          </w:tcPr>
          <w:p>
            <w:r/>
            <w:r>
              <w:rPr>
                <w:b w:val="0"/>
                <w:i w:val="0"/>
              </w:rPr>
              <w:t>Logistic regression</w:t>
            </w:r>
          </w:p>
        </w:tc>
        <w:tc>
          <w:tcPr>
            <w:tcW w:type="dxa" w:w="2160"/>
          </w:tcPr>
          <w:p>
            <w:r/>
            <w:r>
              <w:rPr>
                <w:b w:val="0"/>
                <w:i w:val="0"/>
              </w:rPr>
              <w:t>0.2479</w:t>
            </w:r>
          </w:p>
        </w:tc>
        <w:tc>
          <w:tcPr>
            <w:tcW w:type="dxa" w:w="2160"/>
          </w:tcPr>
          <w:p>
            <w:r/>
            <w:r>
              <w:rPr>
                <w:b w:val="0"/>
                <w:i w:val="0"/>
              </w:rPr>
              <w:t>0.3540</w:t>
            </w:r>
          </w:p>
        </w:tc>
      </w:tr>
      <w:tr>
        <w:tc>
          <w:tcPr>
            <w:tcW w:type="dxa" w:w="2160"/>
          </w:tcPr>
          <w:p>
            <w:r/>
            <w:r>
              <w:rPr>
                <w:b w:val="0"/>
                <w:i w:val="0"/>
              </w:rPr>
              <w:t>Test</w:t>
            </w:r>
          </w:p>
        </w:tc>
        <w:tc>
          <w:tcPr>
            <w:tcW w:type="dxa" w:w="2160"/>
          </w:tcPr>
          <w:p>
            <w:r/>
            <w:r>
              <w:rPr>
                <w:b w:val="0"/>
                <w:i w:val="0"/>
              </w:rPr>
              <w:t>Random forest</w:t>
            </w:r>
          </w:p>
        </w:tc>
        <w:tc>
          <w:tcPr>
            <w:tcW w:type="dxa" w:w="2160"/>
          </w:tcPr>
          <w:p>
            <w:r/>
            <w:r>
              <w:rPr>
                <w:b w:val="0"/>
                <w:i w:val="0"/>
              </w:rPr>
              <w:t>0.2643</w:t>
            </w:r>
          </w:p>
        </w:tc>
        <w:tc>
          <w:tcPr>
            <w:tcW w:type="dxa" w:w="2160"/>
          </w:tcPr>
          <w:p>
            <w:r/>
            <w:r>
              <w:rPr>
                <w:b w:val="0"/>
                <w:i w:val="0"/>
              </w:rPr>
              <w:t>0.5054</w:t>
            </w:r>
          </w:p>
        </w:tc>
      </w:tr>
      <w:tr>
        <w:tc>
          <w:tcPr>
            <w:tcW w:type="dxa" w:w="2160"/>
          </w:tcPr>
          <w:p>
            <w:r/>
            <w:r>
              <w:rPr>
                <w:b w:val="0"/>
                <w:i w:val="0"/>
              </w:rPr>
              <w:t>Test</w:t>
            </w:r>
          </w:p>
        </w:tc>
        <w:tc>
          <w:tcPr>
            <w:tcW w:type="dxa" w:w="2160"/>
          </w:tcPr>
          <w:p>
            <w:r/>
            <w:r>
              <w:rPr>
                <w:b w:val="0"/>
                <w:i w:val="0"/>
              </w:rPr>
              <w:t>Gradient boosting (Exp. 7)</w:t>
            </w:r>
          </w:p>
        </w:tc>
        <w:tc>
          <w:tcPr>
            <w:tcW w:type="dxa" w:w="2160"/>
          </w:tcPr>
          <w:p>
            <w:r/>
            <w:r>
              <w:rPr>
                <w:b w:val="0"/>
                <w:i w:val="0"/>
              </w:rPr>
              <w:t>0.2910</w:t>
            </w:r>
          </w:p>
        </w:tc>
        <w:tc>
          <w:tcPr>
            <w:tcW w:type="dxa" w:w="2160"/>
          </w:tcPr>
          <w:p>
            <w:r/>
            <w:r>
              <w:rPr>
                <w:b w:val="0"/>
                <w:i w:val="0"/>
              </w:rPr>
              <w:t>0.4976</w:t>
            </w:r>
          </w:p>
        </w:tc>
      </w:tr>
    </w:tbl>
    <w:p/>
    <w:p>
      <w:pPr>
        <w:spacing w:after="160"/>
      </w:pPr>
      <w:r>
        <w:rPr>
          <w:b w:val="0"/>
          <w:i w:val="0"/>
        </w:rP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rPr>
          <w:b w:val="0"/>
          <w:i w:val="0"/>
        </w:rP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b w:val="0"/>
          <w:i/>
        </w:rPr>
        <w:t>accuracy</w:t>
      </w:r>
      <w:r>
        <w:rPr>
          <w:b w:val="0"/>
          <w:i w:val="0"/>
        </w:rP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b w:val="0"/>
          <w:i w:val="0"/>
          <w:sz w:val="20"/>
        </w:rPr>
        <w:t>EngagementTCN</w:t>
      </w:r>
      <w:r>
        <w:rPr>
          <w:b w:val="0"/>
          <w:i w:val="0"/>
        </w:rPr>
        <w:t xml:space="preserve"> (Section 3.2.6) is trained per the regime in Section 3.2.7. Six training configurations were run, varying the loss formulation (weighted cross-entropy versus focal loss; Lin </w:t>
      </w:r>
      <w:r>
        <w:rPr>
          <w:b w:val="0"/>
          <w:i/>
        </w:rPr>
        <w:t>et al.</w:t>
      </w:r>
      <w:r>
        <w:rPr>
          <w:b w:val="0"/>
          <w:i w:val="0"/>
        </w:rPr>
        <w:t>, 2017),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rPr>
          <w:b w:val="0"/>
          <w:i w:val="0"/>
        </w:rPr>
        <w:t xml:space="preserve">The winning configuration — full inverse-frequency weighted cross-entropy (weight exponent 1.0), learning rate 1×10⁻³ — reached </w:t>
      </w:r>
      <w:r>
        <w:rPr>
          <w:b/>
          <w:i w:val="0"/>
        </w:rPr>
        <w:t>validation macro-F1 0.3061</w:t>
      </w:r>
      <w:r>
        <w:rPr>
          <w:b w:val="0"/>
          <w:i w:val="0"/>
        </w:rP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rPr>
          <w:b w:val="0"/>
          <w:i w:val="0"/>
        </w:rPr>
        <w:t>Final test-set evaluation (run once, after freeze):</w:t>
      </w:r>
    </w:p>
    <w:p>
      <w:pPr>
        <w:pStyle w:val="TableCaption"/>
      </w:pPr>
      <w:r>
        <w:rPr>
          <w:b w:val="0"/>
          <w:i w:val="0"/>
        </w:rPr>
        <w:t xml:space="preserve">Table 4.3 — Test-split headline metrics, fp32 against the shipped int8 model (source: </w:t>
      </w:r>
      <w:r>
        <w:rPr>
          <w:rFonts w:ascii="Consolas" w:hAnsi="Consolas"/>
          <w:b w:val="0"/>
          <w:i w:val="0"/>
          <w:sz w:val="20"/>
        </w:rPr>
        <w:t>docs/results/quantization_test.csv</w:t>
      </w:r>
      <w:r>
        <w:rPr>
          <w:b w:val="0"/>
          <w:i w:val="0"/>
        </w:rPr>
        <w:t xml:space="preserv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Metric</w:t>
            </w:r>
          </w:p>
        </w:tc>
        <w:tc>
          <w:tcPr>
            <w:tcW w:type="dxa" w:w="2880"/>
            <w:shd w:val="clear" w:color="auto" w:fill="D9E2F3"/>
          </w:tcPr>
          <w:p>
            <w:r>
              <w:rPr>
                <w:b/>
              </w:rPr>
            </w:r>
            <w:r>
              <w:rPr>
                <w:b/>
                <w:i w:val="0"/>
              </w:rPr>
              <w:t>fp32</w:t>
            </w:r>
          </w:p>
        </w:tc>
        <w:tc>
          <w:tcPr>
            <w:tcW w:type="dxa" w:w="2880"/>
            <w:shd w:val="clear" w:color="auto" w:fill="D9E2F3"/>
          </w:tcPr>
          <w:p>
            <w:r>
              <w:rPr>
                <w:b/>
              </w:rPr>
            </w:r>
            <w:r>
              <w:rPr>
                <w:b/>
                <w:i w:val="0"/>
              </w:rPr>
              <w:t>int8 (shipped)</w:t>
            </w:r>
          </w:p>
        </w:tc>
      </w:tr>
      <w:tr>
        <w:tc>
          <w:tcPr>
            <w:tcW w:type="dxa" w:w="2880"/>
          </w:tcPr>
          <w:p>
            <w:r/>
            <w:r>
              <w:rPr>
                <w:b w:val="0"/>
                <w:i w:val="0"/>
              </w:rPr>
              <w:t>Test macro-F1</w:t>
            </w:r>
          </w:p>
        </w:tc>
        <w:tc>
          <w:tcPr>
            <w:tcW w:type="dxa" w:w="2880"/>
          </w:tcPr>
          <w:p>
            <w:r/>
            <w:r>
              <w:rPr>
                <w:b w:val="0"/>
                <w:i w:val="0"/>
              </w:rPr>
              <w:t>0.2475</w:t>
            </w:r>
          </w:p>
        </w:tc>
        <w:tc>
          <w:tcPr>
            <w:tcW w:type="dxa" w:w="2880"/>
          </w:tcPr>
          <w:p>
            <w:r/>
            <w:r>
              <w:rPr>
                <w:b w:val="0"/>
                <w:i w:val="0"/>
              </w:rPr>
              <w:t>0.2460</w:t>
            </w:r>
          </w:p>
        </w:tc>
      </w:tr>
      <w:tr>
        <w:tc>
          <w:tcPr>
            <w:tcW w:type="dxa" w:w="2880"/>
          </w:tcPr>
          <w:p>
            <w:r/>
            <w:r>
              <w:rPr>
                <w:b w:val="0"/>
                <w:i w:val="0"/>
              </w:rPr>
              <w:t>Model size</w:t>
            </w:r>
          </w:p>
        </w:tc>
        <w:tc>
          <w:tcPr>
            <w:tcW w:type="dxa" w:w="2880"/>
          </w:tcPr>
          <w:p>
            <w:r/>
            <w:r>
              <w:rPr>
                <w:b w:val="0"/>
                <w:i w:val="0"/>
              </w:rPr>
              <w:t>163 KB (167,243 B)</w:t>
            </w:r>
          </w:p>
        </w:tc>
        <w:tc>
          <w:tcPr>
            <w:tcW w:type="dxa" w:w="2880"/>
          </w:tcPr>
          <w:p>
            <w:r/>
            <w:r>
              <w:rPr>
                <w:b w:val="0"/>
                <w:i w:val="0"/>
              </w:rPr>
              <w:t>60 KB (61,650 B)</w:t>
            </w:r>
          </w:p>
        </w:tc>
      </w:tr>
    </w:tbl>
    <w:p/>
    <w:p>
      <w:pPr>
        <w:spacing w:after="160"/>
      </w:pPr>
      <w:r>
        <w:rPr>
          <w:b/>
          <w:i w:val="0"/>
        </w:rPr>
        <w:t>Checkpoint provenance, stated explicitly</w:t>
      </w:r>
      <w:r>
        <w:rPr>
          <w:b w:val="0"/>
          <w:i w:val="0"/>
        </w:rPr>
        <w:t xml:space="preserve">: all Test-split artefacts in this section (Table 4.4, Figures 4.2–4.3, </w:t>
      </w:r>
      <w:r>
        <w:rPr>
          <w:rFonts w:ascii="Consolas" w:hAnsi="Consolas"/>
          <w:b w:val="0"/>
          <w:i w:val="0"/>
          <w:sz w:val="20"/>
        </w:rPr>
        <w:t>metrics_test.csv</w:t>
      </w:r>
      <w:r>
        <w:rPr>
          <w:b w:val="0"/>
          <w:i w:val="0"/>
        </w:rPr>
        <w:t xml:space="preserve">) come from the checkpoint frozen when the test set was consumed on 2026-08-02. A later, small retraining of the </w:t>
      </w:r>
      <w:r>
        <w:rPr>
          <w:b w:val="0"/>
          <w:i/>
        </w:rPr>
        <w:t>states</w:t>
      </w:r>
      <w:r>
        <w:rPr>
          <w:b w:val="0"/>
          <w:i w:val="0"/>
        </w:rP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b w:val="0"/>
          <w:i/>
        </w:rPr>
        <w:t>not</w:t>
      </w:r>
      <w:r>
        <w:rPr>
          <w:b w:val="0"/>
          <w:i w:val="0"/>
        </w:rP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TableCaption"/>
      </w:pPr>
      <w:r>
        <w:rPr>
          <w:b w:val="0"/>
          <w:i w:val="0"/>
        </w:rPr>
        <w:t xml:space="preserve">Table 4.4 — Per-class Test-split metrics, fp32 (source: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Class</w:t>
            </w:r>
          </w:p>
        </w:tc>
        <w:tc>
          <w:tcPr>
            <w:tcW w:type="dxa" w:w="1728"/>
            <w:shd w:val="clear" w:color="auto" w:fill="D9E2F3"/>
          </w:tcPr>
          <w:p>
            <w:r>
              <w:rPr>
                <w:b/>
              </w:rPr>
            </w:r>
            <w:r>
              <w:rPr>
                <w:b/>
                <w:i w:val="0"/>
              </w:rPr>
              <w:t>Precision</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F1</w:t>
            </w:r>
          </w:p>
        </w:tc>
        <w:tc>
          <w:tcPr>
            <w:tcW w:type="dxa" w:w="1728"/>
            <w:shd w:val="clear" w:color="auto" w:fill="D9E2F3"/>
          </w:tcPr>
          <w:p>
            <w:r>
              <w:rPr>
                <w:b/>
              </w:rPr>
            </w:r>
            <w:r>
              <w:rPr>
                <w:b/>
                <w:i w:val="0"/>
              </w:rPr>
              <w:t>Support</w:t>
            </w:r>
          </w:p>
        </w:tc>
      </w:tr>
      <w:tr>
        <w:tc>
          <w:tcPr>
            <w:tcW w:type="dxa" w:w="1728"/>
          </w:tcPr>
          <w:p>
            <w:r/>
            <w:r>
              <w:rPr>
                <w:b w:val="0"/>
                <w:i w:val="0"/>
              </w:rPr>
              <w:t>very low (0)</w:t>
            </w:r>
          </w:p>
        </w:tc>
        <w:tc>
          <w:tcPr>
            <w:tcW w:type="dxa" w:w="1728"/>
          </w:tcPr>
          <w:p>
            <w:r/>
            <w:r>
              <w:rPr>
                <w:b w:val="0"/>
                <w:i w:val="0"/>
              </w:rPr>
              <w:t>0.000</w:t>
            </w:r>
          </w:p>
        </w:tc>
        <w:tc>
          <w:tcPr>
            <w:tcW w:type="dxa" w:w="1728"/>
          </w:tcPr>
          <w:p>
            <w:r/>
            <w:r>
              <w:rPr>
                <w:b w:val="0"/>
                <w:i w:val="0"/>
              </w:rPr>
              <w:t>0.000</w:t>
            </w:r>
          </w:p>
        </w:tc>
        <w:tc>
          <w:tcPr>
            <w:tcW w:type="dxa" w:w="1728"/>
          </w:tcPr>
          <w:p>
            <w:r/>
            <w:r>
              <w:rPr>
                <w:b w:val="0"/>
                <w:i w:val="0"/>
              </w:rPr>
              <w:t>0.000</w:t>
            </w:r>
          </w:p>
        </w:tc>
        <w:tc>
          <w:tcPr>
            <w:tcW w:type="dxa" w:w="1728"/>
          </w:tcPr>
          <w:p>
            <w:r/>
            <w:r>
              <w:rPr>
                <w:b w:val="0"/>
                <w:i w:val="0"/>
              </w:rPr>
              <w:t>32</w:t>
            </w:r>
          </w:p>
        </w:tc>
      </w:tr>
      <w:tr>
        <w:tc>
          <w:tcPr>
            <w:tcW w:type="dxa" w:w="1728"/>
          </w:tcPr>
          <w:p>
            <w:r/>
            <w:r>
              <w:rPr>
                <w:b w:val="0"/>
                <w:i w:val="0"/>
              </w:rPr>
              <w:t>low (1)</w:t>
            </w:r>
          </w:p>
        </w:tc>
        <w:tc>
          <w:tcPr>
            <w:tcW w:type="dxa" w:w="1728"/>
          </w:tcPr>
          <w:p>
            <w:r/>
            <w:r>
              <w:rPr>
                <w:b w:val="0"/>
                <w:i w:val="0"/>
              </w:rPr>
              <w:t>0.086</w:t>
            </w:r>
          </w:p>
        </w:tc>
        <w:tc>
          <w:tcPr>
            <w:tcW w:type="dxa" w:w="1728"/>
          </w:tcPr>
          <w:p>
            <w:r/>
            <w:r>
              <w:rPr>
                <w:b w:val="0"/>
                <w:i w:val="0"/>
              </w:rPr>
              <w:t>0.373</w:t>
            </w:r>
          </w:p>
        </w:tc>
        <w:tc>
          <w:tcPr>
            <w:tcW w:type="dxa" w:w="1728"/>
          </w:tcPr>
          <w:p>
            <w:r/>
            <w:r>
              <w:rPr>
                <w:b w:val="0"/>
                <w:i w:val="0"/>
              </w:rPr>
              <w:t>0.140</w:t>
            </w:r>
          </w:p>
        </w:tc>
        <w:tc>
          <w:tcPr>
            <w:tcW w:type="dxa" w:w="1728"/>
          </w:tcPr>
          <w:p>
            <w:r/>
            <w:r>
              <w:rPr>
                <w:b w:val="0"/>
                <w:i w:val="0"/>
              </w:rPr>
              <w:t>668</w:t>
            </w:r>
          </w:p>
        </w:tc>
      </w:tr>
      <w:tr>
        <w:tc>
          <w:tcPr>
            <w:tcW w:type="dxa" w:w="1728"/>
          </w:tcPr>
          <w:p>
            <w:r/>
            <w:r>
              <w:rPr>
                <w:b w:val="0"/>
                <w:i w:val="0"/>
              </w:rPr>
              <w:t>engaged (2)</w:t>
            </w:r>
          </w:p>
        </w:tc>
        <w:tc>
          <w:tcPr>
            <w:tcW w:type="dxa" w:w="1728"/>
          </w:tcPr>
          <w:p>
            <w:r/>
            <w:r>
              <w:rPr>
                <w:b w:val="0"/>
                <w:i w:val="0"/>
              </w:rPr>
              <w:t>0.502</w:t>
            </w:r>
          </w:p>
        </w:tc>
        <w:tc>
          <w:tcPr>
            <w:tcW w:type="dxa" w:w="1728"/>
          </w:tcPr>
          <w:p>
            <w:r/>
            <w:r>
              <w:rPr>
                <w:b w:val="0"/>
                <w:i w:val="0"/>
              </w:rPr>
              <w:t>0.375</w:t>
            </w:r>
          </w:p>
        </w:tc>
        <w:tc>
          <w:tcPr>
            <w:tcW w:type="dxa" w:w="1728"/>
          </w:tcPr>
          <w:p>
            <w:r/>
            <w:r>
              <w:rPr>
                <w:b w:val="0"/>
                <w:i w:val="0"/>
              </w:rPr>
              <w:t>0.429</w:t>
            </w:r>
          </w:p>
        </w:tc>
        <w:tc>
          <w:tcPr>
            <w:tcW w:type="dxa" w:w="1728"/>
          </w:tcPr>
          <w:p>
            <w:r/>
            <w:r>
              <w:rPr>
                <w:b w:val="0"/>
                <w:i w:val="0"/>
              </w:rPr>
              <w:t>7,046</w:t>
            </w:r>
          </w:p>
        </w:tc>
      </w:tr>
      <w:tr>
        <w:tc>
          <w:tcPr>
            <w:tcW w:type="dxa" w:w="1728"/>
          </w:tcPr>
          <w:p>
            <w:r/>
            <w:r>
              <w:rPr>
                <w:b w:val="0"/>
                <w:i w:val="0"/>
              </w:rPr>
              <w:t>very engaged (3)</w:t>
            </w:r>
          </w:p>
        </w:tc>
        <w:tc>
          <w:tcPr>
            <w:tcW w:type="dxa" w:w="1728"/>
          </w:tcPr>
          <w:p>
            <w:r/>
            <w:r>
              <w:rPr>
                <w:b w:val="0"/>
                <w:i w:val="0"/>
              </w:rPr>
              <w:t>0.500</w:t>
            </w:r>
          </w:p>
        </w:tc>
        <w:tc>
          <w:tcPr>
            <w:tcW w:type="dxa" w:w="1728"/>
          </w:tcPr>
          <w:p>
            <w:r/>
            <w:r>
              <w:rPr>
                <w:b w:val="0"/>
                <w:i w:val="0"/>
              </w:rPr>
              <w:t>0.363</w:t>
            </w:r>
          </w:p>
        </w:tc>
        <w:tc>
          <w:tcPr>
            <w:tcW w:type="dxa" w:w="1728"/>
          </w:tcPr>
          <w:p>
            <w:r/>
            <w:r>
              <w:rPr>
                <w:b w:val="0"/>
                <w:i w:val="0"/>
              </w:rPr>
              <w:t>0.420</w:t>
            </w:r>
          </w:p>
        </w:tc>
        <w:tc>
          <w:tcPr>
            <w:tcW w:type="dxa" w:w="1728"/>
          </w:tcPr>
          <w:p>
            <w:r/>
            <w:r>
              <w:rPr>
                <w:b w:val="0"/>
                <w:i w:val="0"/>
              </w:rPr>
              <w:t>6,495</w:t>
            </w:r>
          </w:p>
        </w:tc>
      </w:tr>
      <w:tr>
        <w:tc>
          <w:tcPr>
            <w:tcW w:type="dxa" w:w="1728"/>
          </w:tcPr>
          <w:p>
            <w:r/>
            <w:r>
              <w:rPr>
                <w:b/>
                <w:i w:val="0"/>
              </w:rPr>
              <w:t>macro</w:t>
            </w:r>
          </w:p>
        </w:tc>
        <w:tc>
          <w:tcPr>
            <w:tcW w:type="dxa" w:w="1728"/>
          </w:tcPr>
          <w:p>
            <w:r/>
            <w:r>
              <w:rPr>
                <w:b w:val="0"/>
                <w:i w:val="0"/>
              </w:rPr>
              <w:t>—</w:t>
            </w:r>
          </w:p>
        </w:tc>
        <w:tc>
          <w:tcPr>
            <w:tcW w:type="dxa" w:w="1728"/>
          </w:tcPr>
          <w:p>
            <w:r/>
            <w:r>
              <w:rPr>
                <w:b w:val="0"/>
                <w:i w:val="0"/>
              </w:rPr>
              <w:t>—</w:t>
            </w:r>
          </w:p>
        </w:tc>
        <w:tc>
          <w:tcPr>
            <w:tcW w:type="dxa" w:w="1728"/>
          </w:tcPr>
          <w:p>
            <w:r/>
            <w:r>
              <w:rPr>
                <w:b/>
                <w:i w:val="0"/>
              </w:rPr>
              <w:t>0.2475</w:t>
            </w:r>
          </w:p>
        </w:tc>
        <w:tc>
          <w:tcPr>
            <w:tcW w:type="dxa" w:w="1728"/>
          </w:tcPr>
          <w:p>
            <w:r/>
            <w:r>
              <w:rPr>
                <w:b w:val="0"/>
                <w:i w:val="0"/>
              </w:rPr>
              <w:t>14,241</w:t>
            </w:r>
          </w:p>
        </w:tc>
      </w:tr>
      <w:tr>
        <w:tc>
          <w:tcPr>
            <w:tcW w:type="dxa" w:w="1728"/>
          </w:tcPr>
          <w:p>
            <w:r/>
            <w:r>
              <w:rPr>
                <w:b w:val="0"/>
                <w:i w:val="0"/>
              </w:rPr>
              <w:t>weighted</w:t>
            </w:r>
          </w:p>
        </w:tc>
        <w:tc>
          <w:tcPr>
            <w:tcW w:type="dxa" w:w="1728"/>
          </w:tcPr>
          <w:p>
            <w:r/>
            <w:r>
              <w:rPr>
                <w:b w:val="0"/>
                <w:i w:val="0"/>
              </w:rPr>
              <w:t>—</w:t>
            </w:r>
          </w:p>
        </w:tc>
        <w:tc>
          <w:tcPr>
            <w:tcW w:type="dxa" w:w="1728"/>
          </w:tcPr>
          <w:p>
            <w:r/>
            <w:r>
              <w:rPr>
                <w:b w:val="0"/>
                <w:i w:val="0"/>
              </w:rPr>
              <w:t>—</w:t>
            </w:r>
          </w:p>
        </w:tc>
        <w:tc>
          <w:tcPr>
            <w:tcW w:type="dxa" w:w="1728"/>
          </w:tcPr>
          <w:p>
            <w:r/>
            <w:r>
              <w:rPr>
                <w:b w:val="0"/>
                <w:i w:val="0"/>
              </w:rPr>
              <w:t>0.4108</w:t>
            </w:r>
          </w:p>
        </w:tc>
        <w:tc>
          <w:tcPr>
            <w:tcW w:type="dxa" w:w="1728"/>
          </w:tcPr>
          <w:p>
            <w:r/>
            <w:r>
              <w:rPr>
                <w:b w:val="0"/>
                <w:i w:val="0"/>
              </w:rPr>
              <w:t>14,241</w:t>
            </w:r>
          </w:p>
        </w:tc>
      </w:tr>
      <w:tr>
        <w:tc>
          <w:tcPr>
            <w:tcW w:type="dxa" w:w="1728"/>
          </w:tcPr>
          <w:p>
            <w:r/>
            <w:r>
              <w:rPr>
                <w:b w:val="0"/>
                <w:i w:val="0"/>
              </w:rPr>
              <w:t>accuracy</w:t>
            </w:r>
          </w:p>
        </w:tc>
        <w:tc>
          <w:tcPr>
            <w:tcW w:type="dxa" w:w="1728"/>
          </w:tcPr>
          <w:p>
            <w:r/>
            <w:r>
              <w:rPr>
                <w:b w:val="0"/>
                <w:i w:val="0"/>
              </w:rPr>
              <w:t>—</w:t>
            </w:r>
          </w:p>
        </w:tc>
        <w:tc>
          <w:tcPr>
            <w:tcW w:type="dxa" w:w="1728"/>
          </w:tcPr>
          <w:p>
            <w:r/>
            <w:r>
              <w:rPr>
                <w:b w:val="0"/>
                <w:i w:val="0"/>
              </w:rPr>
              <w:t>—</w:t>
            </w:r>
          </w:p>
        </w:tc>
        <w:tc>
          <w:tcPr>
            <w:tcW w:type="dxa" w:w="1728"/>
          </w:tcPr>
          <w:p>
            <w:r/>
            <w:r>
              <w:rPr>
                <w:b w:val="0"/>
                <w:i w:val="0"/>
              </w:rPr>
              <w:t>0.3686</w:t>
            </w:r>
          </w:p>
        </w:tc>
        <w:tc>
          <w:tcPr>
            <w:tcW w:type="dxa" w:w="1728"/>
          </w:tcPr>
          <w:p>
            <w:r/>
            <w:r>
              <w:rPr>
                <w:b w:val="0"/>
                <w:i w:val="0"/>
              </w:rP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rPr>
          <w:b w:val="0"/>
          <w:i w:val="0"/>
        </w:rPr>
        <w:t xml:space="preserve">Figure 4.3 contains two curves that demand direct interpretation rather than a caption: class 0's AUC of 0.433 is </w:t>
      </w:r>
      <w:r>
        <w:rPr>
          <w:b w:val="0"/>
          <w:i/>
        </w:rPr>
        <w:t>below</w:t>
      </w:r>
      <w:r>
        <w:rPr>
          <w:b w:val="0"/>
          <w:i w:val="0"/>
        </w:rP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rPr>
          <w:b w:val="0"/>
          <w:i w:val="0"/>
        </w:rP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rPr>
          <w:b w:val="0"/>
          <w:i w:val="0"/>
        </w:rPr>
        <w:t xml:space="preserve">The </w:t>
      </w:r>
      <w:r>
        <w:rPr>
          <w:b/>
          <w:i w:val="0"/>
        </w:rPr>
        <w:t>export parity check</w:t>
      </w:r>
      <w:r>
        <w:rPr>
          <w:b w:val="0"/>
          <w:i w:val="0"/>
        </w:rPr>
        <w:t xml:space="preserve"> (Section 3.2.8) passed at a maximum absolute difference of well under the 1×10⁻⁵ threshold across 100 random inputs (PyTorch vs. exported ONNX), and the </w:t>
      </w:r>
      <w:r>
        <w:rPr>
          <w:b/>
          <w:i w:val="0"/>
        </w:rPr>
        <w:t>static QDQ int8 quantization</w:t>
      </w:r>
      <w:r>
        <w:rPr>
          <w:b w:val="0"/>
          <w:i w:val="0"/>
        </w:rPr>
        <w:t xml:space="preserve"> cost 0.0015 macro-F1 on Test (0.2475 → 0.2460; </w:t>
      </w:r>
      <w:r>
        <w:rPr>
          <w:rFonts w:ascii="Consolas" w:hAnsi="Consolas"/>
          <w:b w:val="0"/>
          <w:i w:val="0"/>
          <w:sz w:val="20"/>
        </w:rPr>
        <w:t>docs/results/quantization_test.csv</w:t>
      </w:r>
      <w:r>
        <w:rPr>
          <w:b w:val="0"/>
          <w:i w:val="0"/>
        </w:rPr>
        <w:t xml:space="preserve">) for a 2.7× size reduction — the browser-execution smoke test (Section 2.5.2) confirmed the quantized graph loads and runs correctly inside </w:t>
      </w:r>
      <w:r>
        <w:rPr>
          <w:rFonts w:ascii="Consolas" w:hAnsi="Consolas"/>
          <w:b w:val="0"/>
          <w:i w:val="0"/>
          <w:sz w:val="20"/>
        </w:rPr>
        <w:t>onnxruntime-web</w:t>
      </w:r>
      <w:r>
        <w:rPr>
          <w:b w:val="0"/>
          <w:i w:val="0"/>
        </w:rPr>
        <w:t>'s WASM backend, with a measured in-browser inference p50 latency of 0.475 ms (Experiment 5).</w:t>
      </w:r>
    </w:p>
    <w:p>
      <w:pPr>
        <w:spacing w:after="160"/>
      </w:pPr>
      <w:r>
        <w:rPr>
          <w:b/>
          <w:i w:val="0"/>
        </w:rPr>
        <w:t>The secondary states head</w:t>
      </w:r>
      <w:r>
        <w:rPr>
          <w:b w:val="0"/>
          <w:i w:val="0"/>
        </w:rP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b w:val="0"/>
          <w:i w:val="0"/>
          <w:sz w:val="20"/>
        </w:rPr>
        <w:t>docs/results/metrics_states_validation.csv</w:t>
      </w:r>
      <w:r>
        <w:rPr>
          <w:b w:val="0"/>
          <w:i w:val="0"/>
        </w:rPr>
        <w:t>):</w:t>
      </w:r>
    </w:p>
    <w:p>
      <w:pPr>
        <w:pStyle w:val="TableCaption"/>
      </w:pPr>
      <w:r>
        <w:rPr>
          <w:b w:val="0"/>
          <w:i w:val="0"/>
        </w:rPr>
        <w:t xml:space="preserve">Table 4.5 — Secondary states head, per-state screening performance on the Validation split, after the head's dedicated retraining with per-channel positive-class weighting (source: </w:t>
      </w:r>
      <w:r>
        <w:rPr>
          <w:rFonts w:ascii="Consolas" w:hAnsi="Consolas"/>
          <w:b w:val="0"/>
          <w:i w:val="0"/>
          <w:sz w:val="20"/>
        </w:rPr>
        <w:t>docs/results/metrics_states_validation.csv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State</w:t>
            </w:r>
          </w:p>
        </w:tc>
        <w:tc>
          <w:tcPr>
            <w:tcW w:type="dxa" w:w="1728"/>
            <w:shd w:val="clear" w:color="auto" w:fill="D9E2F3"/>
          </w:tcPr>
          <w:p>
            <w:r>
              <w:rPr>
                <w:b/>
              </w:rPr>
            </w:r>
            <w:r>
              <w:rPr>
                <w:b/>
                <w:i w:val="0"/>
              </w:rPr>
              <w:t>Prevalence</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ROC-AUC</w:t>
            </w:r>
          </w:p>
        </w:tc>
        <w:tc>
          <w:tcPr>
            <w:tcW w:type="dxa" w:w="1728"/>
            <w:shd w:val="clear" w:color="auto" w:fill="D9E2F3"/>
          </w:tcPr>
          <w:p>
            <w:r>
              <w:rPr>
                <w:b/>
              </w:rPr>
            </w:r>
            <w:r>
              <w:rPr>
                <w:b/>
                <w:i w:val="0"/>
              </w:rPr>
              <w:t>Average precision</w:t>
            </w:r>
          </w:p>
        </w:tc>
      </w:tr>
      <w:tr>
        <w:tc>
          <w:tcPr>
            <w:tcW w:type="dxa" w:w="1728"/>
          </w:tcPr>
          <w:p>
            <w:r/>
            <w:r>
              <w:rPr>
                <w:b w:val="0"/>
                <w:i w:val="0"/>
              </w:rPr>
              <w:t>boredom</w:t>
            </w:r>
          </w:p>
        </w:tc>
        <w:tc>
          <w:tcPr>
            <w:tcW w:type="dxa" w:w="1728"/>
          </w:tcPr>
          <w:p>
            <w:r/>
            <w:r>
              <w:rPr>
                <w:b w:val="0"/>
                <w:i w:val="0"/>
              </w:rPr>
              <w:t>0.425</w:t>
            </w:r>
          </w:p>
        </w:tc>
        <w:tc>
          <w:tcPr>
            <w:tcW w:type="dxa" w:w="1728"/>
          </w:tcPr>
          <w:p>
            <w:r/>
            <w:r>
              <w:rPr>
                <w:b w:val="0"/>
                <w:i w:val="0"/>
              </w:rPr>
              <w:t>0.733</w:t>
            </w:r>
          </w:p>
        </w:tc>
        <w:tc>
          <w:tcPr>
            <w:tcW w:type="dxa" w:w="1728"/>
          </w:tcPr>
          <w:p>
            <w:r/>
            <w:r>
              <w:rPr>
                <w:b w:val="0"/>
                <w:i w:val="0"/>
              </w:rPr>
              <w:t>0.644</w:t>
            </w:r>
          </w:p>
        </w:tc>
        <w:tc>
          <w:tcPr>
            <w:tcW w:type="dxa" w:w="1728"/>
          </w:tcPr>
          <w:p>
            <w:r/>
            <w:r>
              <w:rPr>
                <w:b w:val="0"/>
                <w:i w:val="0"/>
              </w:rPr>
              <w:t>0.546</w:t>
            </w:r>
          </w:p>
        </w:tc>
      </w:tr>
      <w:tr>
        <w:tc>
          <w:tcPr>
            <w:tcW w:type="dxa" w:w="1728"/>
          </w:tcPr>
          <w:p>
            <w:r/>
            <w:r>
              <w:rPr>
                <w:b w:val="0"/>
                <w:i w:val="0"/>
              </w:rPr>
              <w:t>engagement</w:t>
            </w:r>
          </w:p>
        </w:tc>
        <w:tc>
          <w:tcPr>
            <w:tcW w:type="dxa" w:w="1728"/>
          </w:tcPr>
          <w:p>
            <w:r/>
            <w:r>
              <w:rPr>
                <w:b w:val="0"/>
                <w:i w:val="0"/>
              </w:rPr>
              <w:t>0.884</w:t>
            </w:r>
          </w:p>
        </w:tc>
        <w:tc>
          <w:tcPr>
            <w:tcW w:type="dxa" w:w="1728"/>
          </w:tcPr>
          <w:p>
            <w:r/>
            <w:r>
              <w:rPr>
                <w:b w:val="0"/>
                <w:i w:val="0"/>
              </w:rPr>
              <w:t>0.712</w:t>
            </w:r>
          </w:p>
        </w:tc>
        <w:tc>
          <w:tcPr>
            <w:tcW w:type="dxa" w:w="1728"/>
          </w:tcPr>
          <w:p>
            <w:r/>
            <w:r>
              <w:rPr>
                <w:b w:val="0"/>
                <w:i w:val="0"/>
              </w:rPr>
              <w:t>0.632</w:t>
            </w:r>
          </w:p>
        </w:tc>
        <w:tc>
          <w:tcPr>
            <w:tcW w:type="dxa" w:w="1728"/>
          </w:tcPr>
          <w:p>
            <w:r/>
            <w:r>
              <w:rPr>
                <w:b w:val="0"/>
                <w:i w:val="0"/>
              </w:rPr>
              <w:t>0.918</w:t>
            </w:r>
          </w:p>
        </w:tc>
      </w:tr>
      <w:tr>
        <w:tc>
          <w:tcPr>
            <w:tcW w:type="dxa" w:w="1728"/>
          </w:tcPr>
          <w:p>
            <w:r/>
            <w:r>
              <w:rPr>
                <w:b w:val="0"/>
                <w:i w:val="0"/>
              </w:rPr>
              <w:t>confusion</w:t>
            </w:r>
          </w:p>
        </w:tc>
        <w:tc>
          <w:tcPr>
            <w:tcW w:type="dxa" w:w="1728"/>
          </w:tcPr>
          <w:p>
            <w:r/>
            <w:r>
              <w:rPr>
                <w:b w:val="0"/>
                <w:i w:val="0"/>
              </w:rPr>
              <w:t>0.116</w:t>
            </w:r>
          </w:p>
        </w:tc>
        <w:tc>
          <w:tcPr>
            <w:tcW w:type="dxa" w:w="1728"/>
          </w:tcPr>
          <w:p>
            <w:r/>
            <w:r>
              <w:rPr>
                <w:b w:val="0"/>
                <w:i w:val="0"/>
              </w:rPr>
              <w:t>0.541</w:t>
            </w:r>
          </w:p>
        </w:tc>
        <w:tc>
          <w:tcPr>
            <w:tcW w:type="dxa" w:w="1728"/>
          </w:tcPr>
          <w:p>
            <w:r/>
            <w:r>
              <w:rPr>
                <w:b w:val="0"/>
                <w:i w:val="0"/>
              </w:rPr>
              <w:t>0.575</w:t>
            </w:r>
          </w:p>
        </w:tc>
        <w:tc>
          <w:tcPr>
            <w:tcW w:type="dxa" w:w="1728"/>
          </w:tcPr>
          <w:p>
            <w:r/>
            <w:r>
              <w:rPr>
                <w:b w:val="0"/>
                <w:i w:val="0"/>
              </w:rPr>
              <w:t>0.143</w:t>
            </w:r>
          </w:p>
        </w:tc>
      </w:tr>
      <w:tr>
        <w:tc>
          <w:tcPr>
            <w:tcW w:type="dxa" w:w="1728"/>
          </w:tcPr>
          <w:p>
            <w:r/>
            <w:r>
              <w:rPr>
                <w:b w:val="0"/>
                <w:i w:val="0"/>
              </w:rPr>
              <w:t>frustration</w:t>
            </w:r>
          </w:p>
        </w:tc>
        <w:tc>
          <w:tcPr>
            <w:tcW w:type="dxa" w:w="1728"/>
          </w:tcPr>
          <w:p>
            <w:r/>
            <w:r>
              <w:rPr>
                <w:b w:val="0"/>
                <w:i w:val="0"/>
              </w:rPr>
              <w:t>0.070</w:t>
            </w:r>
          </w:p>
        </w:tc>
        <w:tc>
          <w:tcPr>
            <w:tcW w:type="dxa" w:w="1728"/>
          </w:tcPr>
          <w:p>
            <w:r/>
            <w:r>
              <w:rPr>
                <w:b w:val="0"/>
                <w:i w:val="0"/>
              </w:rPr>
              <w:t>0.481</w:t>
            </w:r>
          </w:p>
        </w:tc>
        <w:tc>
          <w:tcPr>
            <w:tcW w:type="dxa" w:w="1728"/>
          </w:tcPr>
          <w:p>
            <w:r/>
            <w:r>
              <w:rPr>
                <w:b w:val="0"/>
                <w:i w:val="0"/>
              </w:rPr>
              <w:t>0.561</w:t>
            </w:r>
          </w:p>
        </w:tc>
        <w:tc>
          <w:tcPr>
            <w:tcW w:type="dxa" w:w="1728"/>
          </w:tcPr>
          <w:p>
            <w:r/>
            <w:r>
              <w:rPr>
                <w:b w:val="0"/>
                <w:i w:val="0"/>
              </w:rPr>
              <w:t>0.081</w:t>
            </w:r>
          </w:p>
        </w:tc>
      </w:tr>
    </w:tbl>
    <w:p/>
    <w:p>
      <w:pPr>
        <w:spacing w:after="160"/>
      </w:pPr>
      <w:r>
        <w:rPr>
          <w:b w:val="0"/>
          <w:i w:val="0"/>
        </w:rP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rPr>
          <w:b w:val="0"/>
          <w:i w:val="0"/>
        </w:rP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b w:val="0"/>
          <w:i/>
        </w:rPr>
        <w:t>not</w:t>
      </w:r>
      <w:r>
        <w:rPr>
          <w:b w:val="0"/>
          <w:i w:val="0"/>
        </w:rPr>
        <w:t xml:space="preserve"> statistically significant (p=0.19), while on Test the same gradient-boosting baseline </w:t>
      </w:r>
      <w:r>
        <w:rPr>
          <w:b w:val="0"/>
          <w:i/>
        </w:rPr>
        <w:t>significantly outperforms</w:t>
      </w:r>
      <w:r>
        <w:rPr>
          <w:b w:val="0"/>
          <w:i w:val="0"/>
        </w:rP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rPr>
          <w:b w:val="0"/>
          <w:i w:val="0"/>
        </w:rPr>
        <w:t xml:space="preserve">The </w:t>
      </w:r>
      <w:r>
        <w:rPr>
          <w:b/>
          <w:i w:val="0"/>
        </w:rPr>
        <w:t>class-0 result (F1 = 0.000 on Test) is the honest limitation this report states plainly rather than minimises</w:t>
      </w:r>
      <w:r>
        <w:rPr>
          <w:b w:val="0"/>
          <w:i w:val="0"/>
        </w:rPr>
        <w:t xml:space="preserve">, consistent with the position taken in Section 1.5 and Section 2.4.2: with only 4 clips (32 windows) of "very low engagement" in the entire test split, a single model getting zero of them right is not strong evidence the model has </w:t>
      </w:r>
      <w:r>
        <w:rPr>
          <w:b w:val="0"/>
          <w:i/>
        </w:rPr>
        <w:t>no</w:t>
      </w:r>
      <w:r>
        <w:rPr>
          <w:b w:val="0"/>
          <w:i w:val="0"/>
        </w:rP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rPr>
          <w:b w:val="0"/>
          <w:i w:val="0"/>
        </w:rPr>
        <w:t xml:space="preserve">Set against the closest directly comparable prior work — Abedi and Khan's (2021) ResNet+TCN hybrid, 63.9% </w:t>
      </w:r>
      <w:r>
        <w:rPr>
          <w:b w:val="0"/>
          <w:i/>
        </w:rPr>
        <w:t>accuracy</w:t>
      </w:r>
      <w:r>
        <w:rPr>
          <w:b w:val="0"/>
          <w:i w:val="0"/>
        </w:rP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rPr>
          <w:b w:val="0"/>
          <w:i w:val="0"/>
        </w:rPr>
        <w:t>Rather than asserting the "no data leaves the device" claim, three independent forms of evidence were collected: (a) a source-level audit of every network-capable browser API (</w:t>
      </w:r>
      <w:r>
        <w:rPr>
          <w:rFonts w:ascii="Consolas" w:hAnsi="Consolas"/>
          <w:b w:val="0"/>
          <w:i w:val="0"/>
          <w:sz w:val="20"/>
        </w:rPr>
        <w:t>fetch</w:t>
      </w:r>
      <w:r>
        <w:rPr>
          <w:b w:val="0"/>
          <w:i w:val="0"/>
        </w:rPr>
        <w:t xml:space="preserve">, </w:t>
      </w:r>
      <w:r>
        <w:rPr>
          <w:rFonts w:ascii="Consolas" w:hAnsi="Consolas"/>
          <w:b w:val="0"/>
          <w:i w:val="0"/>
          <w:sz w:val="20"/>
        </w:rPr>
        <w:t>XMLHttpRequest</w:t>
      </w:r>
      <w:r>
        <w:rPr>
          <w:b w:val="0"/>
          <w:i w:val="0"/>
        </w:rPr>
        <w:t xml:space="preserve">, </w:t>
      </w:r>
      <w:r>
        <w:rPr>
          <w:rFonts w:ascii="Consolas" w:hAnsi="Consolas"/>
          <w:b w:val="0"/>
          <w:i w:val="0"/>
          <w:sz w:val="20"/>
        </w:rPr>
        <w:t>WebSocket</w:t>
      </w:r>
      <w:r>
        <w:rPr>
          <w:b w:val="0"/>
          <w:i w:val="0"/>
        </w:rPr>
        <w:t xml:space="preserve">, </w:t>
      </w:r>
      <w:r>
        <w:rPr>
          <w:rFonts w:ascii="Consolas" w:hAnsi="Consolas"/>
          <w:b w:val="0"/>
          <w:i w:val="0"/>
          <w:sz w:val="20"/>
        </w:rPr>
        <w:t>EventSource</w:t>
      </w:r>
      <w:r>
        <w:rPr>
          <w:b w:val="0"/>
          <w:i w:val="0"/>
        </w:rPr>
        <w:t xml:space="preserve">, </w:t>
      </w:r>
      <w:r>
        <w:rPr>
          <w:rFonts w:ascii="Consolas" w:hAnsi="Consolas"/>
          <w:b w:val="0"/>
          <w:i w:val="0"/>
          <w:sz w:val="20"/>
        </w:rPr>
        <w:t>sendBeacon</w:t>
      </w:r>
      <w:r>
        <w:rPr>
          <w:b w:val="0"/>
          <w:i w:val="0"/>
        </w:rP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rPr>
          <w:b w:val="0"/>
          <w:i w:val="0"/>
        </w:rPr>
        <w:t xml:space="preserve">The source audit found exactly two network-capable calls in the entire application, both </w:t>
      </w:r>
      <w:r>
        <w:rPr>
          <w:rFonts w:ascii="Consolas" w:hAnsi="Consolas"/>
          <w:b w:val="0"/>
          <w:i w:val="0"/>
          <w:sz w:val="20"/>
        </w:rPr>
        <w:t>fetch</w:t>
      </w:r>
      <w:r>
        <w:rPr>
          <w:b w:val="0"/>
          <w:i w:val="0"/>
        </w:rP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b w:val="0"/>
          <w:i w:val="0"/>
          <w:sz w:val="20"/>
        </w:rPr>
        <w:t>POST</w:t>
      </w:r>
      <w:r>
        <w:rPr>
          <w:b w:val="0"/>
          <w:i w:val="0"/>
        </w:rPr>
        <w:t xml:space="preserve"> to </w:t>
      </w:r>
      <w:r>
        <w:rPr>
          <w:rFonts w:ascii="Consolas" w:hAnsi="Consolas"/>
          <w:b w:val="0"/>
          <w:i w:val="0"/>
          <w:sz w:val="20"/>
        </w:rPr>
        <w:t>odml.pa.googleapis.com</w:t>
      </w:r>
      <w:r>
        <w:rPr>
          <w:b w:val="0"/>
          <w:i w:val="0"/>
        </w:rPr>
        <w:t xml:space="preserve">, firing on a 60-second interval, originating from inside the third-party </w:t>
      </w:r>
      <w:r>
        <w:rPr>
          <w:rFonts w:ascii="Consolas" w:hAnsi="Consolas"/>
          <w:b w:val="0"/>
          <w:i w:val="0"/>
          <w:sz w:val="20"/>
        </w:rPr>
        <w:t>@mediapipe/tasks-vision</w:t>
      </w:r>
      <w:r>
        <w:rPr>
          <w:b w:val="0"/>
          <w:i w:val="0"/>
        </w:rPr>
        <w:t xml:space="preserve"> package itself — undocumented, containing only a library version string and a handful of small integers (not frame or landmark data), and with no public opt-out exposed by that library's configuration surface.</w:t>
      </w:r>
    </w:p>
    <w:p>
      <w:pPr>
        <w:spacing w:after="160"/>
      </w:pPr>
      <w:r>
        <w:rPr>
          <w:b w:val="0"/>
          <w:i w:val="0"/>
        </w:rPr>
        <w:t xml:space="preserve">A </w:t>
      </w:r>
      <w:r>
        <w:rPr>
          <w:rFonts w:ascii="Consolas" w:hAnsi="Consolas"/>
          <w:b w:val="0"/>
          <w:i w:val="0"/>
          <w:sz w:val="20"/>
        </w:rPr>
        <w:t>Content-Security-Policy: connect-src 'self'</w:t>
      </w:r>
      <w:r>
        <w:rPr>
          <w:b w:val="0"/>
          <w:i w:val="0"/>
        </w:rPr>
        <w:t xml:space="preserve"> header was added (</w:t>
      </w:r>
      <w:r>
        <w:rPr>
          <w:rFonts w:ascii="Consolas" w:hAnsi="Consolas"/>
          <w:b w:val="0"/>
          <w:i w:val="0"/>
          <w:sz w:val="20"/>
        </w:rPr>
        <w:t>next.config.mjs</w:t>
      </w:r>
      <w:r>
        <w:rPr>
          <w:b w:val="0"/>
          <w:i w:val="0"/>
        </w:rPr>
        <w:t xml:space="preserve">) and the 65-second recording repeated: zero requests reached </w:t>
      </w:r>
      <w:r>
        <w:rPr>
          <w:rFonts w:ascii="Consolas" w:hAnsi="Consolas"/>
          <w:b w:val="0"/>
          <w:i w:val="0"/>
          <w:sz w:val="20"/>
        </w:rPr>
        <w:t>googleapis.com</w:t>
      </w:r>
      <w:r>
        <w:rPr>
          <w:b w:val="0"/>
          <w:i w:val="0"/>
        </w:rP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rPr>
          <w:b w:val="0"/>
          <w:i w:val="0"/>
        </w:rP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i w:val="0"/>
        </w:rPr>
        <w:t>not</w:t>
      </w:r>
      <w:r>
        <w:rPr>
          <w:b w:val="0"/>
          <w:i w:val="0"/>
        </w:rP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rPr>
          <w:b w:val="0"/>
          <w:i w:val="0"/>
        </w:rPr>
        <w:t xml:space="preserve">Two later corrections strengthen this experiment's claim, and both are stated as corrections. </w:t>
      </w:r>
      <w:r>
        <w:rPr>
          <w:b/>
          <w:i w:val="0"/>
        </w:rPr>
        <w:t>(a) Policy scope.</w:t>
      </w:r>
      <w:r>
        <w:rPr>
          <w:b w:val="0"/>
          <w:i w:val="0"/>
        </w:rPr>
        <w:t xml:space="preserve"> </w:t>
      </w:r>
      <w:r>
        <w:rPr>
          <w:rFonts w:ascii="Consolas" w:hAnsi="Consolas"/>
          <w:b w:val="0"/>
          <w:i w:val="0"/>
          <w:sz w:val="20"/>
        </w:rPr>
        <w:t>connect-src 'self'</w:t>
      </w:r>
      <w:r>
        <w:rPr>
          <w:b w:val="0"/>
          <w:i w:val="0"/>
        </w:rPr>
        <w:t xml:space="preserve"> governs the fetch-family APIs only — not </w:t>
      </w:r>
      <w:r>
        <w:rPr>
          <w:rFonts w:ascii="Consolas" w:hAnsi="Consolas"/>
          <w:b w:val="0"/>
          <w:i w:val="0"/>
          <w:sz w:val="20"/>
        </w:rPr>
        <w:t>&lt;img&gt;</w:t>
      </w:r>
      <w:r>
        <w:rPr>
          <w:b w:val="0"/>
          <w:i w:val="0"/>
        </w:rPr>
        <w:t xml:space="preserve"> pixels, injected </w:t>
      </w:r>
      <w:r>
        <w:rPr>
          <w:rFonts w:ascii="Consolas" w:hAnsi="Consolas"/>
          <w:b w:val="0"/>
          <w:i w:val="0"/>
          <w:sz w:val="20"/>
        </w:rPr>
        <w:t>&lt;script&gt;</w:t>
      </w:r>
      <w:r>
        <w:rPr>
          <w:b w:val="0"/>
          <w:i w:val="0"/>
        </w:rPr>
        <w:t>/</w:t>
      </w:r>
      <w:r>
        <w:rPr>
          <w:rFonts w:ascii="Consolas" w:hAnsi="Consolas"/>
          <w:b w:val="0"/>
          <w:i w:val="0"/>
          <w:sz w:val="20"/>
        </w:rPr>
        <w:t>&lt;iframe&gt;</w:t>
      </w:r>
      <w:r>
        <w:rPr>
          <w:b w:val="0"/>
          <w:i w:val="0"/>
        </w:rPr>
        <w:t xml:space="preserve"> loads, form posts, or WebRTC — so the earlier phrasing that "no code path can reach any host" overstated one directive's reach. The shipped policy is now a full lockdown (</w:t>
      </w:r>
      <w:r>
        <w:rPr>
          <w:rFonts w:ascii="Consolas" w:hAnsi="Consolas"/>
          <w:b w:val="0"/>
          <w:i w:val="0"/>
          <w:sz w:val="20"/>
        </w:rPr>
        <w:t>default-src 'self'</w:t>
      </w:r>
      <w:r>
        <w:rPr>
          <w:b w:val="0"/>
          <w:i w:val="0"/>
        </w:rPr>
        <w:t xml:space="preserve">, </w:t>
      </w:r>
      <w:r>
        <w:rPr>
          <w:rFonts w:ascii="Consolas" w:hAnsi="Consolas"/>
          <w:b w:val="0"/>
          <w:i w:val="0"/>
          <w:sz w:val="20"/>
        </w:rPr>
        <w:t>object-src 'none'</w:t>
      </w:r>
      <w:r>
        <w:rPr>
          <w:b w:val="0"/>
          <w:i w:val="0"/>
        </w:rPr>
        <w:t xml:space="preserve">, </w:t>
      </w:r>
      <w:r>
        <w:rPr>
          <w:rFonts w:ascii="Consolas" w:hAnsi="Consolas"/>
          <w:b w:val="0"/>
          <w:i w:val="0"/>
          <w:sz w:val="20"/>
        </w:rPr>
        <w:t>frame-ancestors 'none'</w:t>
      </w:r>
      <w:r>
        <w:rPr>
          <w:b w:val="0"/>
          <w:i w:val="0"/>
        </w:rPr>
        <w:t xml:space="preserve">, </w:t>
      </w:r>
      <w:r>
        <w:rPr>
          <w:rFonts w:ascii="Consolas" w:hAnsi="Consolas"/>
          <w:b w:val="0"/>
          <w:i w:val="0"/>
          <w:sz w:val="20"/>
        </w:rPr>
        <w:t>base-uri</w:t>
      </w:r>
      <w:r>
        <w:rPr>
          <w:b w:val="0"/>
          <w:i w:val="0"/>
        </w:rPr>
        <w:t>/</w:t>
      </w:r>
      <w:r>
        <w:rPr>
          <w:rFonts w:ascii="Consolas" w:hAnsi="Consolas"/>
          <w:b w:val="0"/>
          <w:i w:val="0"/>
          <w:sz w:val="20"/>
        </w:rPr>
        <w:t>form-action 'self'</w:t>
      </w:r>
      <w:r>
        <w:rPr>
          <w:b w:val="0"/>
          <w:i w:val="0"/>
        </w:rPr>
        <w:t xml:space="preserve">, plus </w:t>
      </w:r>
      <w:r>
        <w:rPr>
          <w:rFonts w:ascii="Consolas" w:hAnsi="Consolas"/>
          <w:b w:val="0"/>
          <w:i w:val="0"/>
          <w:sz w:val="20"/>
        </w:rPr>
        <w:t>Permissions-Policy: camera=(self), microphone=(), geolocation=()</w:t>
      </w:r>
      <w:r>
        <w:rPr>
          <w:b w:val="0"/>
          <w:i w:val="0"/>
        </w:rPr>
        <w:t xml:space="preserve">, </w:t>
      </w:r>
      <w:r>
        <w:rPr>
          <w:rFonts w:ascii="Consolas" w:hAnsi="Consolas"/>
          <w:b w:val="0"/>
          <w:i w:val="0"/>
          <w:sz w:val="20"/>
        </w:rPr>
        <w:t>Referrer-Policy: no-referrer</w:t>
      </w:r>
      <w:r>
        <w:rPr>
          <w:b w:val="0"/>
          <w:i w:val="0"/>
        </w:rPr>
        <w:t xml:space="preserve">) that closes those routes. </w:t>
      </w:r>
      <w:r>
        <w:rPr>
          <w:b/>
          <w:i w:val="0"/>
        </w:rPr>
        <w:t>(b) Evidence currency and reproducibility.</w:t>
      </w:r>
      <w:r>
        <w:rPr>
          <w:b w:val="0"/>
          <w:i w:val="0"/>
        </w:rPr>
        <w:t xml:space="preserve"> The original trace predated a later UI rewrite and ran against the development server; the verification is now a committed script (</w:t>
      </w:r>
      <w:r>
        <w:rPr>
          <w:rFonts w:ascii="Consolas" w:hAnsi="Consolas"/>
          <w:b w:val="0"/>
          <w:i w:val="0"/>
          <w:sz w:val="20"/>
        </w:rPr>
        <w:t>ml/scripts/privacy_trace.py</w:t>
      </w:r>
      <w:r>
        <w:rPr>
          <w:b w:val="0"/>
          <w:i w:val="0"/>
        </w:rPr>
        <w:t xml:space="preserve">) and was re-run on 2026-08-29 against the </w:t>
      </w:r>
      <w:r>
        <w:rPr>
          <w:b w:val="0"/>
          <w:i/>
        </w:rPr>
        <w:t>production</w:t>
      </w:r>
      <w:r>
        <w:rPr>
          <w:b w:val="0"/>
          <w:i w:val="0"/>
        </w:rP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b w:val="0"/>
          <w:i w:val="0"/>
          <w:sz w:val="20"/>
        </w:rPr>
        <w:t>docs/results/privacy_trace.json</w:t>
      </w:r>
      <w:r>
        <w:rPr>
          <w:b w:val="0"/>
          <w:i w:val="0"/>
        </w:rP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rPr>
          <w:b w:val="0"/>
          <w:i w:val="0"/>
        </w:rPr>
        <w:t>The shipped application includes a self-contained benchmark (</w:t>
      </w:r>
      <w:r>
        <w:rPr>
          <w:rFonts w:ascii="Consolas" w:hAnsi="Consolas"/>
          <w:b w:val="0"/>
          <w:i w:val="0"/>
          <w:sz w:val="20"/>
        </w:rPr>
        <w:t>lib/benchmark.ts</w:t>
      </w:r>
      <w:r>
        <w:rPr>
          <w:b w:val="0"/>
          <w:i w:val="0"/>
        </w:rPr>
        <w:t xml:space="preserve">): 300 inference cycles against the shipped int8 model, reporting mean/p50/p95/p99 latency, mean throughput, and JS heap delta, together with </w:t>
      </w:r>
      <w:r>
        <w:rPr>
          <w:rFonts w:ascii="Consolas" w:hAnsi="Consolas"/>
          <w:b w:val="0"/>
          <w:i w:val="0"/>
          <w:sz w:val="20"/>
        </w:rPr>
        <w:t>navigator.hardwareConcurrency</w:t>
      </w:r>
      <w:r>
        <w:rPr>
          <w:b w:val="0"/>
          <w:i w:val="0"/>
        </w:rPr>
        <w:t xml:space="preserve"> and </w:t>
      </w:r>
      <w:r>
        <w:rPr>
          <w:rFonts w:ascii="Consolas" w:hAnsi="Consolas"/>
          <w:b w:val="0"/>
          <w:i w:val="0"/>
          <w:sz w:val="20"/>
        </w:rPr>
        <w:t>navigator.deviceMemory</w:t>
      </w:r>
      <w:r>
        <w:rPr>
          <w:b w:val="0"/>
          <w:i w:val="0"/>
        </w:rPr>
        <w:t xml:space="preserve"> as rough hardware-context hints. A Playwright-driven collector (</w:t>
      </w:r>
      <w:r>
        <w:rPr>
          <w:rFonts w:ascii="Consolas" w:hAnsi="Consolas"/>
          <w:b w:val="0"/>
          <w:i w:val="0"/>
          <w:sz w:val="20"/>
        </w:rPr>
        <w:t>ml/scripts/collect_benchmark.py</w:t>
      </w:r>
      <w:r>
        <w:rPr>
          <w:b w:val="0"/>
          <w:i w:val="0"/>
        </w:rPr>
        <w:t>) runs this against a genuine production build (</w:t>
      </w:r>
      <w:r>
        <w:rPr>
          <w:rFonts w:ascii="Consolas" w:hAnsi="Consolas"/>
          <w:b w:val="0"/>
          <w:i w:val="0"/>
          <w:sz w:val="20"/>
        </w:rPr>
        <w:t>npm run build &amp;&amp; npm start</w:t>
      </w:r>
      <w:r>
        <w:rPr>
          <w:b w:val="0"/>
          <w:i w:val="0"/>
        </w:rPr>
        <w:t>) headlessly and archives the labelled result.</w:t>
      </w:r>
    </w:p>
    <w:p>
      <w:pPr>
        <w:pStyle w:val="Heading3"/>
      </w:pPr>
      <w:r>
        <w:t>4.5.2 Results</w:t>
      </w:r>
    </w:p>
    <w:p>
      <w:pPr>
        <w:spacing w:after="160"/>
      </w:pPr>
      <w:r>
        <w:rPr>
          <w:b w:val="0"/>
          <w:i w:val="0"/>
        </w:rPr>
        <w:t xml:space="preserve">On the development machine used throughout this project (13th Gen Intel Core i7-13700H, 16 GB RAM, 20 logical threads): mean inference latency </w:t>
      </w:r>
      <w:r>
        <w:rPr>
          <w:b/>
          <w:i w:val="0"/>
        </w:rPr>
        <w:t>0.567 ms</w:t>
      </w:r>
      <w:r>
        <w:rPr>
          <w:b w:val="0"/>
          <w:i w:val="0"/>
        </w:rPr>
        <w:t xml:space="preserve">, p50 </w:t>
      </w:r>
      <w:r>
        <w:rPr>
          <w:b/>
          <w:i w:val="0"/>
        </w:rPr>
        <w:t>0.475 ms</w:t>
      </w:r>
      <w:r>
        <w:rPr>
          <w:b w:val="0"/>
          <w:i w:val="0"/>
        </w:rPr>
        <w:t xml:space="preserve">, p95 </w:t>
      </w:r>
      <w:r>
        <w:rPr>
          <w:b/>
          <w:i w:val="0"/>
        </w:rPr>
        <w:t>1.165 ms</w:t>
      </w:r>
      <w:r>
        <w:rPr>
          <w:b w:val="0"/>
          <w:i w:val="0"/>
        </w:rPr>
        <w:t xml:space="preserve">, p99 </w:t>
      </w:r>
      <w:r>
        <w:rPr>
          <w:b/>
          <w:i w:val="0"/>
        </w:rPr>
        <w:t>2.115 ms</w:t>
      </w:r>
      <w:r>
        <w:rPr>
          <w:b w:val="0"/>
          <w:i w:val="0"/>
        </w:rPr>
        <w:t>, mean throughput ≈1,762 inferences/second, zero measured JS heap growth over the 300-cycle run, WASM backend confirmed running with 20 threads.</w:t>
      </w:r>
    </w:p>
    <w:p>
      <w:pPr>
        <w:pStyle w:val="TableCaption"/>
      </w:pPr>
      <w:r>
        <w:rPr>
          <w:b w:val="0"/>
          <w:i w:val="0"/>
        </w:rPr>
        <w:t xml:space="preserve">Table 4.6 — In-browser inference benchmark, development machine (source: </w:t>
      </w:r>
      <w:r>
        <w:rPr>
          <w:rFonts w:ascii="Consolas" w:hAnsi="Consolas"/>
          <w:b w:val="0"/>
          <w:i w:val="0"/>
          <w:sz w:val="20"/>
        </w:rPr>
        <w:t>docs/benchmarks/benchmark-dev-i7-13700H-16GB.json</w:t>
      </w:r>
      <w:r>
        <w:rPr>
          <w:b w:val="0"/>
          <w:i w:val="0"/>
        </w:rP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Metric</w:t>
            </w:r>
          </w:p>
        </w:tc>
        <w:tc>
          <w:tcPr>
            <w:tcW w:type="dxa" w:w="4320"/>
            <w:shd w:val="clear" w:color="auto" w:fill="D9E2F3"/>
          </w:tcPr>
          <w:p>
            <w:r>
              <w:rPr>
                <w:b/>
              </w:rPr>
            </w:r>
            <w:r>
              <w:rPr>
                <w:b/>
                <w:i w:val="0"/>
              </w:rPr>
              <w:t>Value</w:t>
            </w:r>
          </w:p>
        </w:tc>
      </w:tr>
      <w:tr>
        <w:tc>
          <w:tcPr>
            <w:tcW w:type="dxa" w:w="4320"/>
          </w:tcPr>
          <w:p>
            <w:r/>
            <w:r>
              <w:rPr>
                <w:b w:val="0"/>
                <w:i w:val="0"/>
              </w:rPr>
              <w:t>Mean latency</w:t>
            </w:r>
          </w:p>
        </w:tc>
        <w:tc>
          <w:tcPr>
            <w:tcW w:type="dxa" w:w="4320"/>
          </w:tcPr>
          <w:p>
            <w:r/>
            <w:r>
              <w:rPr>
                <w:b w:val="0"/>
                <w:i w:val="0"/>
              </w:rPr>
              <w:t>0.567 ms</w:t>
            </w:r>
          </w:p>
        </w:tc>
      </w:tr>
      <w:tr>
        <w:tc>
          <w:tcPr>
            <w:tcW w:type="dxa" w:w="4320"/>
          </w:tcPr>
          <w:p>
            <w:r/>
            <w:r>
              <w:rPr>
                <w:b w:val="0"/>
                <w:i w:val="0"/>
              </w:rPr>
              <w:t>p50 / p95 / p99</w:t>
            </w:r>
          </w:p>
        </w:tc>
        <w:tc>
          <w:tcPr>
            <w:tcW w:type="dxa" w:w="4320"/>
          </w:tcPr>
          <w:p>
            <w:r/>
            <w:r>
              <w:rPr>
                <w:b w:val="0"/>
                <w:i w:val="0"/>
              </w:rPr>
              <w:t>0.475 / 1.165 / 2.115 ms</w:t>
            </w:r>
          </w:p>
        </w:tc>
      </w:tr>
      <w:tr>
        <w:tc>
          <w:tcPr>
            <w:tcW w:type="dxa" w:w="4320"/>
          </w:tcPr>
          <w:p>
            <w:r/>
            <w:r>
              <w:rPr>
                <w:b w:val="0"/>
                <w:i w:val="0"/>
              </w:rPr>
              <w:t>Mean throughput</w:t>
            </w:r>
          </w:p>
        </w:tc>
        <w:tc>
          <w:tcPr>
            <w:tcW w:type="dxa" w:w="4320"/>
          </w:tcPr>
          <w:p>
            <w:r/>
            <w:r>
              <w:rPr>
                <w:b w:val="0"/>
                <w:i w:val="0"/>
              </w:rPr>
              <w:t>≈1,762 inferences/s</w:t>
            </w:r>
          </w:p>
        </w:tc>
      </w:tr>
      <w:tr>
        <w:tc>
          <w:tcPr>
            <w:tcW w:type="dxa" w:w="4320"/>
          </w:tcPr>
          <w:p>
            <w:r/>
            <w:r>
              <w:rPr>
                <w:b w:val="0"/>
                <w:i w:val="0"/>
              </w:rPr>
              <w:t>JS heap delta over 300 cycles</w:t>
            </w:r>
          </w:p>
        </w:tc>
        <w:tc>
          <w:tcPr>
            <w:tcW w:type="dxa" w:w="4320"/>
          </w:tcPr>
          <w:p>
            <w:r/>
            <w:r>
              <w:rPr>
                <w:b w:val="0"/>
                <w:i w:val="0"/>
              </w:rPr>
              <w:t>0 MB</w:t>
            </w:r>
          </w:p>
        </w:tc>
      </w:tr>
      <w:tr>
        <w:tc>
          <w:tcPr>
            <w:tcW w:type="dxa" w:w="4320"/>
          </w:tcPr>
          <w:p>
            <w:r/>
            <w:r>
              <w:rPr>
                <w:b w:val="0"/>
                <w:i w:val="0"/>
              </w:rPr>
              <w:t>Backend / threads</w:t>
            </w:r>
          </w:p>
        </w:tc>
        <w:tc>
          <w:tcPr>
            <w:tcW w:type="dxa" w:w="4320"/>
          </w:tcPr>
          <w:p>
            <w:r/>
            <w:r>
              <w:rPr>
                <w:b w:val="0"/>
                <w:i w:val="0"/>
              </w:rPr>
              <w:t>wasm × 20</w:t>
            </w:r>
          </w:p>
        </w:tc>
      </w:tr>
      <w:tr>
        <w:tc>
          <w:tcPr>
            <w:tcW w:type="dxa" w:w="4320"/>
          </w:tcPr>
          <w:p>
            <w:r/>
            <w:r>
              <w:rPr>
                <w:b w:val="0"/>
                <w:i w:val="0"/>
              </w:rPr>
              <w:t>Hardware</w:t>
            </w:r>
          </w:p>
        </w:tc>
        <w:tc>
          <w:tcPr>
            <w:tcW w:type="dxa" w:w="4320"/>
          </w:tcPr>
          <w:p>
            <w:r/>
            <w:r>
              <w:rPr>
                <w:b w:val="0"/>
                <w:i w:val="0"/>
              </w:rPr>
              <w:t>i7-13700H, 16 GB (</w:t>
            </w:r>
            <w:r>
              <w:rPr>
                <w:rFonts w:ascii="Consolas" w:hAnsi="Consolas"/>
                <w:b w:val="0"/>
                <w:i w:val="0"/>
                <w:sz w:val="20"/>
              </w:rPr>
              <w:t>hardwareConcurrency</w:t>
            </w:r>
            <w:r>
              <w:rPr>
                <w:b w:val="0"/>
                <w:i w:val="0"/>
              </w:rPr>
              <w:t xml:space="preserve"> 20)</w:t>
            </w:r>
          </w:p>
        </w:tc>
      </w:tr>
    </w:tbl>
    <w:p/>
    <w:p>
      <w:pPr>
        <w:spacing w:after="160"/>
      </w:pPr>
      <w:r>
        <w:rPr>
          <w:b w:val="0"/>
          <w:i w:val="0"/>
        </w:rPr>
        <w:t>A companion measurement added later (</w:t>
      </w:r>
      <w:r>
        <w:rPr>
          <w:rFonts w:ascii="Consolas" w:hAnsi="Consolas"/>
          <w:b w:val="0"/>
          <w:i w:val="0"/>
          <w:sz w:val="20"/>
        </w:rPr>
        <w:t>docs/benchmarks/fp32_vs_int8_latency.json</w:t>
      </w:r>
      <w:r>
        <w:rPr>
          <w:b w:val="0"/>
          <w:i w:val="0"/>
        </w:rPr>
        <w:t xml:space="preserve">; Python onnxruntime, CPU, identical 300 real validation windows through both graphs) isolates the quantization effect itself, with a finding worth stating against the usual expectation: at this model's size the int8 graph is ≈9% </w:t>
      </w:r>
      <w:r>
        <w:rPr>
          <w:b w:val="0"/>
          <w:i/>
        </w:rPr>
        <w:t>slower</w:t>
      </w:r>
      <w:r>
        <w:rPr>
          <w:b w:val="0"/>
          <w:i w:val="0"/>
        </w:rP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rPr>
          <w:b w:val="0"/>
          <w:i w:val="0"/>
        </w:rPr>
        <w:t>At a real-world inference cadence of one prediction per 3.0-second window (</w:t>
      </w:r>
      <w:r>
        <w:rPr>
          <w:rFonts w:ascii="Consolas" w:hAnsi="Consolas"/>
          <w:b w:val="0"/>
          <w:i w:val="0"/>
          <w:sz w:val="20"/>
        </w:rPr>
        <w:t>CONTRACT.md</w:t>
      </w:r>
      <w:r>
        <w:rPr>
          <w:b w:val="0"/>
          <w:i w:val="0"/>
        </w:rP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rPr>
          <w:b w:val="0"/>
          <w:i w:val="0"/>
        </w:rPr>
        <w:t xml:space="preserve">Six checks, each exercising the complete live pipeline (not a unit in isolation), all driven via Playwright against a genuinely fresh </w:t>
      </w:r>
      <w:r>
        <w:rPr>
          <w:rFonts w:ascii="Consolas" w:hAnsi="Consolas"/>
          <w:b w:val="0"/>
          <w:i w:val="0"/>
          <w:sz w:val="20"/>
        </w:rPr>
        <w:t>git clone</w:t>
      </w:r>
      <w:r>
        <w:rPr>
          <w:b w:val="0"/>
          <w:i w:val="0"/>
        </w:rP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browsers spanning two rendering engines (Chrome and Edge on Blink, Firefox on Gecko); (iv) no face in frame; (v) two faces simultaneously in frame; (vi) degraded lighting and eyewear glare.</w:t>
      </w:r>
    </w:p>
    <w:p>
      <w:pPr>
        <w:pStyle w:val="Heading3"/>
      </w:pPr>
      <w:r>
        <w:t>4.6.2 Results</w:t>
      </w:r>
    </w:p>
    <w:p>
      <w:pPr>
        <w:spacing w:after="160"/>
      </w:pPr>
      <w:r>
        <w:rPr>
          <w:b/>
          <w:i w:val="0"/>
        </w:rPr>
        <w:t>(i) End-to-end integration.</w:t>
      </w:r>
      <w:r>
        <w:rPr>
          <w:b w:val="0"/>
          <w:i w:val="0"/>
        </w:rPr>
        <w:t xml:space="preserve"> After the same live-landmarker split introduced in Experiment 1 (§4.1.2), a fake-webcam run against a rebuilt debug hook (</w:t>
      </w:r>
      <w:r>
        <w:rPr>
          <w:rFonts w:ascii="Consolas" w:hAnsi="Consolas"/>
          <w:b w:val="0"/>
          <w:i w:val="0"/>
          <w:sz w:val="20"/>
        </w:rPr>
        <w:t>window.__ENGINE_STATE</w:t>
      </w:r>
      <w:r>
        <w:rPr>
          <w:b w:val="0"/>
          <w:i w:val="0"/>
        </w:rP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b w:val="0"/>
          <w:i w:val="0"/>
          <w:sz w:val="20"/>
        </w:rPr>
        <w:t>live</w:t>
      </w:r>
      <w:r>
        <w:rPr>
          <w:b w:val="0"/>
          <w:i w:val="0"/>
        </w:rPr>
        <w:t xml:space="preserve"> — confirming the full chain (webcam → landmarker → features → scaler → ONNX → UI) functions correctly end to end on the current, merged codebase.</w:t>
      </w:r>
    </w:p>
    <w:p>
      <w:pPr>
        <w:spacing w:after="160"/>
      </w:pPr>
      <w:r>
        <w:rPr>
          <w:b/>
          <w:i w:val="0"/>
        </w:rPr>
        <w:t>(ii) Clean-machine install.</w:t>
      </w:r>
      <w:r>
        <w:rPr>
          <w:b w:val="0"/>
          <w:i w:val="0"/>
        </w:rPr>
        <w:t xml:space="preserve"> Following the documented setup instructions verbatim on a fresh clone surfaced one genuine documentation defect: </w:t>
      </w:r>
      <w:r>
        <w:rPr>
          <w:rFonts w:ascii="Consolas" w:hAnsi="Consolas"/>
          <w:b w:val="0"/>
          <w:i w:val="0"/>
          <w:sz w:val="20"/>
        </w:rPr>
        <w:t>pip install -r ml/requirements.txt</w:t>
      </w:r>
      <w:r>
        <w:rPr>
          <w:b w:val="0"/>
          <w:i w:val="0"/>
        </w:rPr>
        <w:t>, run exactly as first documented, failed outright (</w:t>
      </w:r>
      <w:r>
        <w:rPr>
          <w:rFonts w:ascii="Consolas" w:hAnsi="Consolas"/>
          <w:b w:val="0"/>
          <w:i w:val="0"/>
          <w:sz w:val="20"/>
        </w:rPr>
        <w:t>torch==2.13.0+cpu</w:t>
      </w:r>
      <w:r>
        <w:rPr>
          <w:b w:val="0"/>
          <w:i w:val="0"/>
        </w:rPr>
        <w:t xml:space="preserve"> could not be resolved from the default package index) — the correct invocation requires an additional </w:t>
      </w:r>
      <w:r>
        <w:rPr>
          <w:rFonts w:ascii="Consolas" w:hAnsi="Consolas"/>
          <w:b w:val="0"/>
          <w:i w:val="0"/>
          <w:sz w:val="20"/>
        </w:rPr>
        <w:t>--extra-index-url</w:t>
      </w:r>
      <w:r>
        <w:rPr>
          <w:b w:val="0"/>
          <w:i w:val="0"/>
        </w:rPr>
        <w:t xml:space="preserve"> flag that had been documented only as a conditional fallback, not the primary instruction. This was corrected at the source. With the correction applied, the full documented sequence (</w:t>
      </w:r>
      <w:r>
        <w:rPr>
          <w:rFonts w:ascii="Consolas" w:hAnsi="Consolas"/>
          <w:b w:val="0"/>
          <w:i w:val="0"/>
          <w:sz w:val="20"/>
        </w:rPr>
        <w:t>pip install ...</w:t>
      </w:r>
      <w:r>
        <w:rPr>
          <w:b w:val="0"/>
          <w:i w:val="0"/>
        </w:rPr>
        <w:t xml:space="preserve">, </w:t>
      </w:r>
      <w:r>
        <w:rPr>
          <w:rFonts w:ascii="Consolas" w:hAnsi="Consolas"/>
          <w:b w:val="0"/>
          <w:i w:val="0"/>
          <w:sz w:val="20"/>
        </w:rPr>
        <w:t>npm install</w:t>
      </w:r>
      <w:r>
        <w:rPr>
          <w:b w:val="0"/>
          <w:i w:val="0"/>
        </w:rPr>
        <w:t xml:space="preserve">, </w:t>
      </w:r>
      <w:r>
        <w:rPr>
          <w:rFonts w:ascii="Consolas" w:hAnsi="Consolas"/>
          <w:b w:val="0"/>
          <w:i w:val="0"/>
          <w:sz w:val="20"/>
        </w:rPr>
        <w:t>npm run build</w:t>
      </w:r>
      <w:r>
        <w:rPr>
          <w:b w:val="0"/>
          <w:i w:val="0"/>
        </w:rPr>
        <w:t xml:space="preserve">, </w:t>
      </w:r>
      <w:r>
        <w:rPr>
          <w:rFonts w:ascii="Consolas" w:hAnsi="Consolas"/>
          <w:b w:val="0"/>
          <w:i w:val="0"/>
          <w:sz w:val="20"/>
        </w:rPr>
        <w:t>npm start</w:t>
      </w:r>
      <w:r>
        <w:rPr>
          <w:b w:val="0"/>
          <w:i w:val="0"/>
        </w:rPr>
        <w:t>) succeeded and produced real, correct predictions against a fake webcam feed.</w:t>
      </w:r>
    </w:p>
    <w:p>
      <w:pPr>
        <w:spacing w:after="160"/>
      </w:pPr>
      <w:r>
        <w:rPr>
          <w:b/>
          <w:i w:val="0"/>
        </w:rPr>
        <w:t>(iii) Cross-browser.</w:t>
      </w:r>
      <w:r>
        <w:rPr>
          <w:b w:val="0"/>
          <w:i w:val="0"/>
        </w:rPr>
        <w:t xml:space="preserve"> Chrome and Edge (both Chromium-based) produced identical results: full 478-landmark detection, valid predictions, and </w:t>
      </w:r>
      <w:r>
        <w:rPr>
          <w:rFonts w:ascii="Consolas" w:hAnsi="Consolas"/>
          <w:b w:val="0"/>
          <w:i w:val="0"/>
          <w:sz w:val="20"/>
        </w:rPr>
        <w:t>wasm×20</w:t>
      </w:r>
      <w:r>
        <w:rPr>
          <w:b w:val="0"/>
          <w:i w:val="0"/>
        </w:rP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i w:val="0"/>
        </w:rPr>
        <w:t>(iv)–(vi) Adverse camera conditions.</w:t>
      </w:r>
      <w:r>
        <w:rPr>
          <w:b w:val="0"/>
          <w:i w:val="0"/>
        </w:rPr>
        <w:t xml:space="preserve"> No face in frame produced all-zero features with </w:t>
      </w:r>
      <w:r>
        <w:rPr>
          <w:rFonts w:ascii="Consolas" w:hAnsi="Consolas"/>
          <w:b w:val="0"/>
          <w:i w:val="0"/>
          <w:sz w:val="20"/>
        </w:rPr>
        <w:t>face_present = 0</w:t>
      </w:r>
      <w:r>
        <w:rPr>
          <w:b w:val="0"/>
          <w:i w:val="0"/>
        </w:rP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rPr>
          <w:b w:val="0"/>
          <w:i w:val="0"/>
        </w:rP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rPr>
          <w:b w:val="0"/>
          <w:i w:val="0"/>
        </w:rP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b w:val="0"/>
          <w:i/>
        </w:rPr>
        <w:t>test method</w:t>
      </w:r>
      <w:r>
        <w:rPr>
          <w:b w:val="0"/>
          <w:i w:val="0"/>
        </w:rPr>
        <w:t xml:space="preserve">, not a confirmed limitation of the </w:t>
      </w:r>
      <w:r>
        <w:rPr>
          <w:b w:val="0"/>
          <w:i/>
        </w:rPr>
        <w:t>application</w:t>
      </w:r>
      <w:r>
        <w:rPr>
          <w:b w:val="0"/>
          <w:i w:val="0"/>
        </w:rPr>
        <w:t xml:space="preserve"> — a manual, real-webcam check in Firefox remains outstanding and is named as such rather than assumed to be fine by extrapolation from Chrome/Edge. The no-face condition was originally signalled only through the zeroed feature panel — technically sufficient, but a live audience unfamiliar with the system could plausibly mistake a genuinely no-face frame for a frozen application. The 2026-08-29 live rehearsal closed that gap: </w:t>
      </w:r>
      <w:r>
        <w:rPr>
          <w:rFonts w:ascii="Consolas" w:hAnsi="Consolas"/>
          <w:b w:val="0"/>
          <w:i w:val="0"/>
          <w:sz w:val="20"/>
        </w:rPr>
        <w:t>PredictionPanel</w:t>
      </w:r>
      <w:r>
        <w:rPr>
          <w:b w:val="0"/>
          <w:i w:val="0"/>
        </w:rPr>
        <w:t xml:space="preserve"> now suppresses model output entirely on no-face windows and renders an explicit "No face detected" explanation with em-dash placeholders (Figure 4.4), and the trend chart skips no-face points.</w:t>
      </w:r>
    </w:p>
    <w:p>
      <w:pPr>
        <w:pStyle w:val="Heading2"/>
      </w:pPr>
      <w:r>
        <w:t>4.7 Experiment 7 — Extended Model Comparison</w:t>
      </w:r>
    </w:p>
    <w:p>
      <w:pPr>
        <w:pStyle w:val="Heading3"/>
      </w:pPr>
      <w:r>
        <w:t>4.7.1 Set-up</w:t>
      </w:r>
    </w:p>
    <w:p>
      <w:pPr>
        <w:spacing w:after="160"/>
      </w:pPr>
      <w:r>
        <w:rPr>
          <w:b w:val="0"/>
          <w:i w:val="0"/>
        </w:rPr>
        <w:t xml:space="preserve">After the primary evaluation was complete, the modelling breadth was extended to answer questions Experiments 2–3 left open: is the TCN's advantage over classical methods robust to a </w:t>
      </w:r>
      <w:r>
        <w:rPr>
          <w:b w:val="0"/>
          <w:i/>
        </w:rPr>
        <w:t>stronger</w:t>
      </w:r>
      <w:r>
        <w:rPr>
          <w:b w:val="0"/>
          <w:i w:val="0"/>
        </w:rP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b w:val="0"/>
          <w:i w:val="0"/>
          <w:sz w:val="20"/>
        </w:rPr>
        <w:t>HistGradientBoostingClassifier</w:t>
      </w:r>
      <w:r>
        <w:rPr>
          <w:b w:val="0"/>
          <w:i w:val="0"/>
        </w:rP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b w:val="0"/>
          <w:i/>
        </w:rPr>
        <w:t>clip IDs</w:t>
      </w:r>
      <w:r>
        <w:rPr>
          <w:b w:val="0"/>
          <w:i w:val="0"/>
        </w:rPr>
        <w:t>, because overlapping windows from one clip are statistically dependent and window-level resampling would overstate the effective sample size).</w:t>
      </w:r>
    </w:p>
    <w:p>
      <w:pPr>
        <w:pStyle w:val="Heading3"/>
      </w:pPr>
      <w:r>
        <w:t>4.7.2 Results</w:t>
      </w:r>
    </w:p>
    <w:p>
      <w:pPr>
        <w:spacing w:after="160"/>
      </w:pPr>
      <w:r>
        <w:rPr>
          <w:b w:val="0"/>
          <w:i w:val="0"/>
        </w:rPr>
        <w:t xml:space="preserve">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The TCN remains the shipped model for a deployment reason, not an accuracy one: it had already passed export, int8 quantization and the </w:t>
      </w:r>
      <w:r>
        <w:rPr>
          <w:rFonts w:ascii="Consolas" w:hAnsi="Consolas"/>
          <w:b w:val="0"/>
          <w:i w:val="0"/>
          <w:sz w:val="20"/>
        </w:rPr>
        <w:t>onnxruntime-web</w:t>
      </w:r>
      <w:r>
        <w:rPr>
          <w:b w:val="0"/>
          <w:i w:val="0"/>
        </w:rPr>
        <w:t xml:space="preserve"> WASM operator check before this comparison ran, and the Transformer had passed none of them — the same class of gate that ruled out dynamic quantization in Section 2.5.2. A feature-ablation result in which a pose-free subset (geometric+gaze) beat the full 13 features — reproduced across all three seeds, with non-overlapping ranges (0.3252 / 0.3122 / 0.3083 against the full set's 0.3061 / 0.3019 / 0.2964; </w:t>
      </w:r>
      <w:r>
        <w:rPr>
          <w:rFonts w:ascii="Consolas" w:hAnsi="Consolas"/>
          <w:b w:val="0"/>
          <w:i w:val="0"/>
          <w:sz w:val="20"/>
        </w:rPr>
        <w:t>docs/results/multi_seed_robustness.csv</w:t>
      </w:r>
      <w:r>
        <w:rPr>
          <w:b w:val="0"/>
          <w:i w:val="0"/>
        </w:rPr>
        <w:t>) — is revisited and overturned in Experiment 8, where subject-grouped cross-validation dissolves it entirely.</w:t>
      </w:r>
    </w:p>
    <w:p>
      <w:pPr>
        <w:pStyle w:val="TableCaption"/>
      </w:pPr>
      <w:r>
        <w:rPr>
          <w:b w:val="0"/>
          <w:i w:val="0"/>
        </w:rPr>
        <w:t xml:space="preserve">Table 4.7 — Architecture comparison at matched hyperparameters, Validation split, mean macro-F1 ± std over three seeds (source: </w:t>
      </w:r>
      <w:r>
        <w:rPr>
          <w:rFonts w:ascii="Consolas" w:hAnsi="Consolas"/>
          <w:b w:val="0"/>
          <w:i w:val="0"/>
          <w:sz w:val="20"/>
        </w:rPr>
        <w:t>docs/results/multi_seed_robustness.csv</w:t>
      </w:r>
      <w:r>
        <w:rPr>
          <w:b w:val="0"/>
          <w:i w:val="0"/>
        </w:rPr>
        <w:t xml:space="preserve">; single-seed values in </w:t>
      </w:r>
      <w:r>
        <w:rPr>
          <w:rFonts w:ascii="Consolas" w:hAnsi="Consolas"/>
          <w:b w:val="0"/>
          <w:i w:val="0"/>
          <w:sz w:val="20"/>
        </w:rPr>
        <w:t>architecture_comparison.csv</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Architecture</w:t>
            </w:r>
          </w:p>
        </w:tc>
        <w:tc>
          <w:tcPr>
            <w:tcW w:type="dxa" w:w="2160"/>
            <w:shd w:val="clear" w:color="auto" w:fill="D9E2F3"/>
          </w:tcPr>
          <w:p>
            <w:r>
              <w:rPr>
                <w:b/>
              </w:rPr>
            </w:r>
            <w:r>
              <w:rPr>
                <w:b/>
                <w:i w:val="0"/>
              </w:rPr>
              <w:t>Parameters</w:t>
            </w:r>
          </w:p>
        </w:tc>
        <w:tc>
          <w:tcPr>
            <w:tcW w:type="dxa" w:w="2160"/>
            <w:shd w:val="clear" w:color="auto" w:fill="D9E2F3"/>
          </w:tcPr>
          <w:p>
            <w:r>
              <w:rPr>
                <w:b/>
              </w:rPr>
            </w:r>
            <w:r>
              <w:rPr>
                <w:b/>
                <w:i w:val="0"/>
              </w:rPr>
              <w:t>Mean macro-F1 (n=3)</w:t>
            </w:r>
          </w:p>
        </w:tc>
        <w:tc>
          <w:tcPr>
            <w:tcW w:type="dxa" w:w="2160"/>
            <w:shd w:val="clear" w:color="auto" w:fill="D9E2F3"/>
          </w:tcPr>
          <w:p>
            <w:r>
              <w:rPr>
                <w:b/>
              </w:rPr>
            </w:r>
            <w:r>
              <w:rPr>
                <w:b/>
                <w:i w:val="0"/>
              </w:rPr>
              <w:t>Std</w:t>
            </w:r>
          </w:p>
        </w:tc>
      </w:tr>
      <w:tr>
        <w:tc>
          <w:tcPr>
            <w:tcW w:type="dxa" w:w="2160"/>
          </w:tcPr>
          <w:p>
            <w:r/>
            <w:r>
              <w:rPr>
                <w:b w:val="0"/>
                <w:i w:val="0"/>
              </w:rPr>
              <w:t>TCN</w:t>
            </w:r>
          </w:p>
        </w:tc>
        <w:tc>
          <w:tcPr>
            <w:tcW w:type="dxa" w:w="2160"/>
          </w:tcPr>
          <w:p>
            <w:r/>
            <w:r>
              <w:rPr>
                <w:b w:val="0"/>
                <w:i w:val="0"/>
              </w:rPr>
              <w:t>41,544</w:t>
            </w:r>
          </w:p>
        </w:tc>
        <w:tc>
          <w:tcPr>
            <w:tcW w:type="dxa" w:w="2160"/>
          </w:tcPr>
          <w:p>
            <w:r/>
            <w:r>
              <w:rPr>
                <w:b w:val="0"/>
                <w:i w:val="0"/>
              </w:rPr>
              <w:t>0.3015</w:t>
            </w:r>
          </w:p>
        </w:tc>
        <w:tc>
          <w:tcPr>
            <w:tcW w:type="dxa" w:w="2160"/>
          </w:tcPr>
          <w:p>
            <w:r/>
            <w:r>
              <w:rPr>
                <w:b w:val="0"/>
                <w:i w:val="0"/>
              </w:rPr>
              <w:t>0.0049</w:t>
            </w:r>
          </w:p>
        </w:tc>
      </w:tr>
      <w:tr>
        <w:tc>
          <w:tcPr>
            <w:tcW w:type="dxa" w:w="2160"/>
          </w:tcPr>
          <w:p>
            <w:r/>
            <w:r>
              <w:rPr>
                <w:b w:val="0"/>
                <w:i w:val="0"/>
              </w:rPr>
              <w:t>Transformer</w:t>
            </w:r>
          </w:p>
        </w:tc>
        <w:tc>
          <w:tcPr>
            <w:tcW w:type="dxa" w:w="2160"/>
          </w:tcPr>
          <w:p>
            <w:r/>
            <w:r>
              <w:rPr>
                <w:b w:val="0"/>
                <w:i w:val="0"/>
              </w:rPr>
              <w:t>18,760</w:t>
            </w:r>
          </w:p>
        </w:tc>
        <w:tc>
          <w:tcPr>
            <w:tcW w:type="dxa" w:w="2160"/>
          </w:tcPr>
          <w:p>
            <w:r/>
            <w:r>
              <w:rPr>
                <w:b w:val="0"/>
                <w:i w:val="0"/>
              </w:rPr>
              <w:t>0.3019</w:t>
            </w:r>
          </w:p>
        </w:tc>
        <w:tc>
          <w:tcPr>
            <w:tcW w:type="dxa" w:w="2160"/>
          </w:tcPr>
          <w:p>
            <w:r/>
            <w:r>
              <w:rPr>
                <w:b w:val="0"/>
                <w:i w:val="0"/>
              </w:rPr>
              <w:t>0.0066</w:t>
            </w:r>
          </w:p>
        </w:tc>
      </w:tr>
      <w:tr>
        <w:tc>
          <w:tcPr>
            <w:tcW w:type="dxa" w:w="2160"/>
          </w:tcPr>
          <w:p>
            <w:r/>
            <w:r>
              <w:rPr>
                <w:b w:val="0"/>
                <w:i w:val="0"/>
              </w:rPr>
              <w:t>LSTM</w:t>
            </w:r>
          </w:p>
        </w:tc>
        <w:tc>
          <w:tcPr>
            <w:tcW w:type="dxa" w:w="2160"/>
          </w:tcPr>
          <w:p>
            <w:r/>
            <w:r>
              <w:rPr>
                <w:b w:val="0"/>
                <w:i w:val="0"/>
              </w:rPr>
              <w:t>20,744</w:t>
            </w:r>
          </w:p>
        </w:tc>
        <w:tc>
          <w:tcPr>
            <w:tcW w:type="dxa" w:w="2160"/>
          </w:tcPr>
          <w:p>
            <w:r/>
            <w:r>
              <w:rPr>
                <w:b w:val="0"/>
                <w:i w:val="0"/>
              </w:rPr>
              <w:t>0.2938</w:t>
            </w:r>
          </w:p>
        </w:tc>
        <w:tc>
          <w:tcPr>
            <w:tcW w:type="dxa" w:w="2160"/>
          </w:tcPr>
          <w:p>
            <w:r/>
            <w:r>
              <w:rPr>
                <w:b w:val="0"/>
                <w:i w:val="0"/>
              </w:rPr>
              <w:t>0.0139</w:t>
            </w:r>
          </w:p>
        </w:tc>
      </w:tr>
      <w:tr>
        <w:tc>
          <w:tcPr>
            <w:tcW w:type="dxa" w:w="2160"/>
          </w:tcPr>
          <w:p>
            <w:r/>
            <w:r>
              <w:rPr>
                <w:b w:val="0"/>
                <w:i w:val="0"/>
              </w:rPr>
              <w:t>GRU</w:t>
            </w:r>
          </w:p>
        </w:tc>
        <w:tc>
          <w:tcPr>
            <w:tcW w:type="dxa" w:w="2160"/>
          </w:tcPr>
          <w:p>
            <w:r/>
            <w:r>
              <w:rPr>
                <w:b w:val="0"/>
                <w:i w:val="0"/>
              </w:rPr>
              <w:t>15,688</w:t>
            </w:r>
          </w:p>
        </w:tc>
        <w:tc>
          <w:tcPr>
            <w:tcW w:type="dxa" w:w="2160"/>
          </w:tcPr>
          <w:p>
            <w:r/>
            <w:r>
              <w:rPr>
                <w:b w:val="0"/>
                <w:i w:val="0"/>
              </w:rPr>
              <w:t>0.2907</w:t>
            </w:r>
          </w:p>
        </w:tc>
        <w:tc>
          <w:tcPr>
            <w:tcW w:type="dxa" w:w="2160"/>
          </w:tcPr>
          <w:p>
            <w:r/>
            <w:r>
              <w:rPr>
                <w:b w:val="0"/>
                <w:i w:val="0"/>
              </w:rPr>
              <w:t>0.0064</w:t>
            </w:r>
          </w:p>
        </w:tc>
      </w:tr>
    </w:tbl>
    <w:p/>
    <w:p>
      <w:pPr>
        <w:pStyle w:val="TableCaption"/>
      </w:pPr>
      <w:r>
        <w:rPr>
          <w:b w:val="0"/>
          <w:i w:val="0"/>
        </w:rPr>
        <w:t xml:space="preserve">Table 4.8 — Clip-level bootstrap significance tests, TCN vs. gradient boosting, 2,000 iterations resampling clip IDs (source: </w:t>
      </w:r>
      <w:r>
        <w:rPr>
          <w:rFonts w:ascii="Consolas" w:hAnsi="Consolas"/>
          <w:b w:val="0"/>
          <w:i w:val="0"/>
          <w:sz w:val="20"/>
        </w:rPr>
        <w:t>docs/results/significance.json</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TCN − GBM (point)</w:t>
            </w:r>
          </w:p>
        </w:tc>
        <w:tc>
          <w:tcPr>
            <w:tcW w:type="dxa" w:w="2160"/>
            <w:shd w:val="clear" w:color="auto" w:fill="D9E2F3"/>
          </w:tcPr>
          <w:p>
            <w:r>
              <w:rPr>
                <w:b/>
              </w:rPr>
            </w:r>
            <w:r>
              <w:rPr>
                <w:b/>
                <w:i w:val="0"/>
              </w:rPr>
              <w:t>95% CI of difference</w:t>
            </w:r>
          </w:p>
        </w:tc>
        <w:tc>
          <w:tcPr>
            <w:tcW w:type="dxa" w:w="2160"/>
            <w:shd w:val="clear" w:color="auto" w:fill="D9E2F3"/>
          </w:tcPr>
          <w:p>
            <w:r>
              <w:rPr>
                <w:b/>
              </w:rPr>
            </w:r>
            <w:r>
              <w:rPr>
                <w:b/>
                <w:i w:val="0"/>
              </w:rPr>
              <w:t>p (two-sided)</w:t>
            </w:r>
          </w:p>
        </w:tc>
      </w:tr>
      <w:tr>
        <w:tc>
          <w:tcPr>
            <w:tcW w:type="dxa" w:w="2160"/>
          </w:tcPr>
          <w:p>
            <w:r/>
            <w:r>
              <w:rPr>
                <w:b w:val="0"/>
                <w:i w:val="0"/>
              </w:rPr>
              <w:t>Validation</w:t>
            </w:r>
          </w:p>
        </w:tc>
        <w:tc>
          <w:tcPr>
            <w:tcW w:type="dxa" w:w="2160"/>
          </w:tcPr>
          <w:p>
            <w:r/>
            <w:r>
              <w:rPr>
                <w:b w:val="0"/>
                <w:i w:val="0"/>
              </w:rPr>
              <w:t>+0.0154</w:t>
            </w:r>
          </w:p>
        </w:tc>
        <w:tc>
          <w:tcPr>
            <w:tcW w:type="dxa" w:w="2160"/>
          </w:tcPr>
          <w:p>
            <w:r/>
            <w:r>
              <w:rPr>
                <w:b w:val="0"/>
                <w:i w:val="0"/>
              </w:rPr>
              <w:t>[−0.0071, +0.0381]</w:t>
            </w:r>
          </w:p>
        </w:tc>
        <w:tc>
          <w:tcPr>
            <w:tcW w:type="dxa" w:w="2160"/>
          </w:tcPr>
          <w:p>
            <w:r/>
            <w:r>
              <w:rPr>
                <w:b w:val="0"/>
                <w:i w:val="0"/>
              </w:rPr>
              <w:t>0.194</w:t>
            </w:r>
          </w:p>
        </w:tc>
      </w:tr>
      <w:tr>
        <w:tc>
          <w:tcPr>
            <w:tcW w:type="dxa" w:w="2160"/>
          </w:tcPr>
          <w:p>
            <w:r/>
            <w:r>
              <w:rPr>
                <w:b w:val="0"/>
                <w:i w:val="0"/>
              </w:rPr>
              <w:t>Test</w:t>
            </w:r>
          </w:p>
        </w:tc>
        <w:tc>
          <w:tcPr>
            <w:tcW w:type="dxa" w:w="2160"/>
          </w:tcPr>
          <w:p>
            <w:r/>
            <w:r>
              <w:rPr>
                <w:b w:val="0"/>
                <w:i w:val="0"/>
              </w:rPr>
              <w:t>−0.0435</w:t>
            </w:r>
          </w:p>
        </w:tc>
        <w:tc>
          <w:tcPr>
            <w:tcW w:type="dxa" w:w="2160"/>
          </w:tcPr>
          <w:p>
            <w:r/>
            <w:r>
              <w:rPr>
                <w:b w:val="0"/>
                <w:i w:val="0"/>
              </w:rPr>
              <w:t>[−0.0594, −0.0280]</w:t>
            </w:r>
          </w:p>
        </w:tc>
        <w:tc>
          <w:tcPr>
            <w:tcW w:type="dxa" w:w="2160"/>
          </w:tcPr>
          <w:p>
            <w:r/>
            <w:r>
              <w:rPr>
                <w:b w:val="0"/>
                <w:i w:val="0"/>
              </w:rPr>
              <w:t>&lt; 0.001</w:t>
            </w:r>
          </w:p>
        </w:tc>
      </w:tr>
    </w:tbl>
    <w:p/>
    <w:p>
      <w:pPr>
        <w:pStyle w:val="Heading3"/>
      </w:pPr>
      <w:r>
        <w:t>4.7.3 Evaluation and Discussion</w:t>
      </w:r>
    </w:p>
    <w:p>
      <w:pPr>
        <w:spacing w:after="160"/>
      </w:pPr>
      <w:r>
        <w:rPr>
          <w:b w:val="0"/>
          <w:i w:val="0"/>
        </w:rP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rPr>
          <w:b w:val="0"/>
          <w:i w:val="0"/>
        </w:rP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b w:val="0"/>
          <w:i/>
        </w:rPr>
        <w:t>within the Train split</w:t>
      </w:r>
      <w:r>
        <w:rPr>
          <w:b w:val="0"/>
          <w:i w:val="0"/>
        </w:rPr>
        <w:t xml:space="preserve">, grouped by </w:t>
      </w:r>
      <w:r>
        <w:rPr>
          <w:b/>
          <w:i w:val="0"/>
        </w:rPr>
        <w:t>subject</w:t>
      </w:r>
      <w:r>
        <w:rPr>
          <w:b w:val="0"/>
          <w:i w:val="0"/>
        </w:rPr>
        <w:t xml:space="preserve"> and stratified by label (</w:t>
      </w:r>
      <w:r>
        <w:rPr>
          <w:rFonts w:ascii="Consolas" w:hAnsi="Consolas"/>
          <w:b w:val="0"/>
          <w:i w:val="0"/>
          <w:sz w:val="20"/>
        </w:rPr>
        <w:t>StratifiedGroupKFold</w:t>
      </w:r>
      <w:r>
        <w:rPr>
          <w:b w:val="0"/>
          <w:i w:val="0"/>
        </w:rPr>
        <w:t>); (ii) CV-based feature-family selection re-run on those folds; (iii) a 40-trial Optuna TPE search with median pruning (20 completed, 20 pruned; the committed trial log also carries 7 trials interrupted before scoring)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i w:val="0"/>
        </w:rPr>
        <w:t>A methodological bug caught by its own consequences.</w:t>
      </w:r>
      <w:r>
        <w:rPr>
          <w:b w:val="0"/>
          <w:i w:val="0"/>
        </w:rP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b w:val="0"/>
          <w:i/>
        </w:rPr>
        <w:t>vanished entirely</w:t>
      </w:r>
      <w:r>
        <w:rPr>
          <w:b w:val="0"/>
          <w:i w:val="0"/>
        </w:rP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i w:val="0"/>
        </w:rPr>
        <w:t>The search validated the shipped configuration rather than beating it.</w:t>
      </w:r>
      <w:r>
        <w:rPr>
          <w:b w:val="0"/>
          <w:i w:val="0"/>
        </w:rP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i w:val="0"/>
        </w:rPr>
        <w:t>The ensemble failed, and the failure was diagnosed, not shelved</w:t>
      </w:r>
      <w:r>
        <w:rPr>
          <w:b w:val="0"/>
          <w:i w:val="0"/>
        </w:rP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b w:val="0"/>
          <w:i/>
        </w:rPr>
        <w:t>ties</w:t>
      </w:r>
      <w:r>
        <w:rPr>
          <w:b w:val="0"/>
          <w:i w:val="0"/>
        </w:rP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i w:val="0"/>
        </w:rPr>
        <w:t>The evaluation reframing produced the largest legitimate headline change in the project.</w:t>
      </w:r>
      <w:r>
        <w:rPr>
          <w:b w:val="0"/>
          <w:i w:val="0"/>
        </w:rP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i w:val="0"/>
        </w:rPr>
        <w:t>macro-F1 0.2829 and 44.7% four-class accuracy</w:t>
      </w:r>
      <w:r>
        <w:rPr>
          <w:b w:val="0"/>
          <w:i w:val="0"/>
        </w:rPr>
        <w:t xml:space="preserve">, against the committed window-level 0.2475 and 36.9%: a +14% relative macro-F1 improvement from the decision layer alone, with the deployed model untouched. The binary screening view is reported with its caveats welded on: Test accuracy 0.777 </w:t>
      </w:r>
      <w:r>
        <w:rPr>
          <w:b w:val="0"/>
          <w:i/>
        </w:rPr>
        <w:t>sounds</w:t>
      </w:r>
      <w:r>
        <w:rPr>
          <w:b w:val="0"/>
          <w:i w:val="0"/>
        </w:rPr>
        <w:t xml:space="preserve"> strong but sits below the 95.1% trivial all-engaged baseline; the honest numbers are ROC-AUC 0.683 and balanced accuracy 0.619 — modest discriminative power, stated as such.</w:t>
      </w:r>
    </w:p>
    <w:p>
      <w:pPr>
        <w:pStyle w:val="TableCaption"/>
      </w:pPr>
      <w:r>
        <w:rPr>
          <w:b w:val="0"/>
          <w:i w:val="0"/>
        </w:rPr>
        <w:t xml:space="preserve">Table 4.9 — The search that validated the shipped model: each avenue, its result, and its evidence file (full record: </w:t>
      </w:r>
      <w:r>
        <w:rPr>
          <w:rFonts w:ascii="Consolas" w:hAnsi="Consolas"/>
          <w:b w:val="0"/>
          <w:i w:val="0"/>
          <w:sz w:val="20"/>
        </w:rPr>
        <w:t>docs/results/rigorous_model_search.md</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Avenue</w:t>
            </w:r>
          </w:p>
        </w:tc>
        <w:tc>
          <w:tcPr>
            <w:tcW w:type="dxa" w:w="2160"/>
            <w:shd w:val="clear" w:color="auto" w:fill="D9E2F3"/>
          </w:tcPr>
          <w:p>
            <w:r>
              <w:rPr>
                <w:b/>
              </w:rPr>
            </w:r>
            <w:r>
              <w:rPr>
                <w:b/>
                <w:i w:val="0"/>
              </w:rPr>
              <w:t>Outcome</w:t>
            </w:r>
          </w:p>
        </w:tc>
        <w:tc>
          <w:tcPr>
            <w:tcW w:type="dxa" w:w="2160"/>
            <w:shd w:val="clear" w:color="auto" w:fill="D9E2F3"/>
          </w:tcPr>
          <w:p>
            <w:r>
              <w:rPr>
                <w:b/>
              </w:rPr>
            </w:r>
            <w:r>
              <w:rPr>
                <w:b/>
                <w:i w:val="0"/>
              </w:rPr>
              <w:t>Key numbers</w:t>
            </w:r>
          </w:p>
        </w:tc>
        <w:tc>
          <w:tcPr>
            <w:tcW w:type="dxa" w:w="2160"/>
            <w:shd w:val="clear" w:color="auto" w:fill="D9E2F3"/>
          </w:tcPr>
          <w:p>
            <w:r>
              <w:rPr>
                <w:b/>
              </w:rPr>
            </w:r>
            <w:r>
              <w:rPr>
                <w:b/>
                <w:i w:val="0"/>
              </w:rPr>
              <w:t>Source</w:t>
            </w:r>
          </w:p>
        </w:tc>
      </w:tr>
      <w:tr>
        <w:tc>
          <w:tcPr>
            <w:tcW w:type="dxa" w:w="2160"/>
          </w:tcPr>
          <w:p>
            <w:r/>
            <w:r>
              <w:rPr>
                <w:b w:val="0"/>
                <w:i w:val="0"/>
              </w:rPr>
              <w:t>Feature-family selection, subject-grouped 5-fold CV</w:t>
            </w:r>
          </w:p>
        </w:tc>
        <w:tc>
          <w:tcPr>
            <w:tcW w:type="dxa" w:w="2160"/>
          </w:tcPr>
          <w:p>
            <w:r/>
            <w:r>
              <w:rPr>
                <w:b w:val="0"/>
                <w:i w:val="0"/>
              </w:rPr>
              <w:t>No subset significantly different (all pairwise p &gt; 0.11)</w:t>
            </w:r>
          </w:p>
        </w:tc>
        <w:tc>
          <w:tcPr>
            <w:tcW w:type="dxa" w:w="2160"/>
          </w:tcPr>
          <w:p>
            <w:r/>
            <w:r>
              <w:rPr>
                <w:b w:val="0"/>
                <w:i w:val="0"/>
              </w:rPr>
              <w:t>best mean 0.3078 vs. full 0.2962, stds overlap</w:t>
            </w:r>
          </w:p>
        </w:tc>
        <w:tc>
          <w:tcPr>
            <w:tcW w:type="dxa" w:w="2160"/>
          </w:tcPr>
          <w:p>
            <w:r/>
            <w:r>
              <w:rPr>
                <w:rFonts w:ascii="Consolas" w:hAnsi="Consolas"/>
                <w:b w:val="0"/>
                <w:i w:val="0"/>
                <w:sz w:val="20"/>
              </w:rPr>
              <w:t>cv_feature_selection_summary.csv</w:t>
            </w:r>
          </w:p>
        </w:tc>
      </w:tr>
      <w:tr>
        <w:tc>
          <w:tcPr>
            <w:tcW w:type="dxa" w:w="2160"/>
          </w:tcPr>
          <w:p>
            <w:r/>
            <w:r>
              <w:rPr>
                <w:b w:val="0"/>
                <w:i w:val="0"/>
              </w:rPr>
              <w:t>40-trial Optuna search → full-budget 5-seed retrain</w:t>
            </w:r>
          </w:p>
        </w:tc>
        <w:tc>
          <w:tcPr>
            <w:tcW w:type="dxa" w:w="2160"/>
          </w:tcPr>
          <w:p>
            <w:r/>
            <w:r>
              <w:rPr>
                <w:b w:val="0"/>
                <w:i w:val="0"/>
              </w:rPr>
              <w:t>Tuned vs. shipped indistinguishable</w:t>
            </w:r>
          </w:p>
        </w:tc>
        <w:tc>
          <w:tcPr>
            <w:tcW w:type="dxa" w:w="2160"/>
          </w:tcPr>
          <w:p>
            <w:r/>
            <w:r>
              <w:rPr>
                <w:b w:val="0"/>
                <w:i w:val="0"/>
              </w:rPr>
              <w:t>+0.0019, p = 0.92</w:t>
            </w:r>
          </w:p>
        </w:tc>
        <w:tc>
          <w:tcPr>
            <w:tcW w:type="dxa" w:w="2160"/>
          </w:tcPr>
          <w:p>
            <w:r/>
            <w:r>
              <w:rPr>
                <w:rFonts w:ascii="Consolas" w:hAnsi="Consolas"/>
                <w:b w:val="0"/>
                <w:i w:val="0"/>
                <w:sz w:val="20"/>
              </w:rPr>
              <w:t>cv_hyperparameter_search.csv</w:t>
            </w:r>
            <w:r>
              <w:rPr>
                <w:b w:val="0"/>
                <w:i w:val="0"/>
              </w:rPr>
              <w:t xml:space="preserve">, </w:t>
            </w:r>
            <w:r>
              <w:rPr>
                <w:rFonts w:ascii="Consolas" w:hAnsi="Consolas"/>
                <w:b w:val="0"/>
                <w:i w:val="0"/>
                <w:sz w:val="20"/>
              </w:rPr>
              <w:t>tuned_vs_original_tcn.json</w:t>
            </w:r>
          </w:p>
        </w:tc>
      </w:tr>
      <w:tr>
        <w:tc>
          <w:tcPr>
            <w:tcW w:type="dxa" w:w="2160"/>
          </w:tcPr>
          <w:p>
            <w:r/>
            <w:r>
              <w:rPr>
                <w:b w:val="0"/>
                <w:i w:val="0"/>
              </w:rPr>
              <w:t>OOF stacking ensemble (diagnosed + repaired)</w:t>
            </w:r>
          </w:p>
        </w:tc>
        <w:tc>
          <w:tcPr>
            <w:tcW w:type="dxa" w:w="2160"/>
          </w:tcPr>
          <w:p>
            <w:r/>
            <w:r>
              <w:rPr>
                <w:b w:val="0"/>
                <w:i w:val="0"/>
              </w:rPr>
              <w:t>Ties, does not beat, the single TCN</w:t>
            </w:r>
          </w:p>
        </w:tc>
        <w:tc>
          <w:tcPr>
            <w:tcW w:type="dxa" w:w="2160"/>
          </w:tcPr>
          <w:p>
            <w:r/>
            <w:r>
              <w:rPr>
                <w:b w:val="0"/>
                <w:i w:val="0"/>
              </w:rPr>
              <w:t>0.3114 vs. 0.3099 clip-level</w:t>
            </w:r>
          </w:p>
        </w:tc>
        <w:tc>
          <w:tcPr>
            <w:tcW w:type="dxa" w:w="2160"/>
          </w:tcPr>
          <w:p>
            <w:r/>
            <w:r>
              <w:rPr>
                <w:rFonts w:ascii="Consolas" w:hAnsi="Consolas"/>
                <w:b w:val="0"/>
                <w:i w:val="0"/>
                <w:sz w:val="20"/>
              </w:rPr>
              <w:t>ensemble_fixed.csv</w:t>
            </w:r>
          </w:p>
        </w:tc>
      </w:tr>
      <w:tr>
        <w:tc>
          <w:tcPr>
            <w:tcW w:type="dxa" w:w="2160"/>
          </w:tcPr>
          <w:p>
            <w:r/>
            <w:r>
              <w:rPr>
                <w:b w:val="0"/>
                <w:i w:val="0"/>
              </w:rPr>
              <w:t>CORAL ordinal head</w:t>
            </w:r>
          </w:p>
        </w:tc>
        <w:tc>
          <w:tcPr>
            <w:tcW w:type="dxa" w:w="2160"/>
          </w:tcPr>
          <w:p>
            <w:r/>
            <w:r>
              <w:rPr>
                <w:b w:val="0"/>
                <w:i w:val="0"/>
              </w:rPr>
              <w:t>Trade-off, not a win</w:t>
            </w:r>
          </w:p>
        </w:tc>
        <w:tc>
          <w:tcPr>
            <w:tcW w:type="dxa" w:w="2160"/>
          </w:tcPr>
          <w:p>
            <w:r/>
            <w:r>
              <w:rPr>
                <w:b w:val="0"/>
                <w:i w:val="0"/>
              </w:rPr>
              <w:t>macro-F1 −0.049, accuracy +0.039, QWK +0.025</w:t>
            </w:r>
          </w:p>
        </w:tc>
        <w:tc>
          <w:tcPr>
            <w:tcW w:type="dxa" w:w="2160"/>
          </w:tcPr>
          <w:p>
            <w:r/>
            <w:r>
              <w:rPr>
                <w:rFonts w:ascii="Consolas" w:hAnsi="Consolas"/>
                <w:b w:val="0"/>
                <w:i w:val="0"/>
                <w:sz w:val="20"/>
              </w:rPr>
              <w:t>ordinal_comparison.csv</w:t>
            </w:r>
          </w:p>
        </w:tc>
      </w:tr>
      <w:tr>
        <w:tc>
          <w:tcPr>
            <w:tcW w:type="dxa" w:w="2160"/>
          </w:tcPr>
          <w:p>
            <w:r/>
            <w:r>
              <w:rPr>
                <w:b w:val="0"/>
                <w:i w:val="0"/>
              </w:rPr>
              <w:t>Train-time augmentation, 3 seeds full budget</w:t>
            </w:r>
          </w:p>
        </w:tc>
        <w:tc>
          <w:tcPr>
            <w:tcW w:type="dxa" w:w="2160"/>
          </w:tcPr>
          <w:p>
            <w:r/>
            <w:r>
              <w:rPr>
                <w:b w:val="0"/>
                <w:i w:val="0"/>
              </w:rPr>
              <w:t>No improvement</w:t>
            </w:r>
          </w:p>
        </w:tc>
        <w:tc>
          <w:tcPr>
            <w:tcW w:type="dxa" w:w="2160"/>
          </w:tcPr>
          <w:p>
            <w:r/>
            <w:r>
              <w:rPr>
                <w:b w:val="0"/>
                <w:i w:val="0"/>
              </w:rPr>
              <w:t>0.2969 ± 0.0075 vs. 0.3015 ± 0.0049</w:t>
            </w:r>
          </w:p>
        </w:tc>
        <w:tc>
          <w:tcPr>
            <w:tcW w:type="dxa" w:w="2160"/>
          </w:tcPr>
          <w:p>
            <w:r/>
            <w:r>
              <w:rPr>
                <w:rFonts w:ascii="Consolas" w:hAnsi="Consolas"/>
                <w:b w:val="0"/>
                <w:i w:val="0"/>
                <w:sz w:val="20"/>
              </w:rPr>
              <w:t>honest_evaluation.md</w:t>
            </w:r>
            <w:r>
              <w:rPr>
                <w:b w:val="0"/>
                <w:i w:val="0"/>
              </w:rPr>
              <w:t xml:space="preserve"> §5</w:t>
            </w:r>
          </w:p>
        </w:tc>
      </w:tr>
    </w:tbl>
    <w:p/>
    <w:p>
      <w:pPr>
        <w:pStyle w:val="TableCaption"/>
      </w:pPr>
      <w:r>
        <w:rPr>
          <w:b w:val="0"/>
          <w:i w:val="0"/>
        </w:rPr>
        <w:t xml:space="preserve">Table 4.10 — Evaluation reframing: the same predictions scored at the benchmark's clip granularity, with and without the Validation-calibrated decision thresholds (sources: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Basis</w:t>
            </w:r>
          </w:p>
        </w:tc>
        <w:tc>
          <w:tcPr>
            <w:tcW w:type="dxa" w:w="1728"/>
            <w:shd w:val="clear" w:color="auto" w:fill="D9E2F3"/>
          </w:tcPr>
          <w:p>
            <w:r>
              <w:rPr>
                <w:b/>
              </w:rPr>
            </w:r>
            <w:r>
              <w:rPr>
                <w:b/>
                <w:i w:val="0"/>
              </w:rPr>
              <w:t>Val. accuracy</w:t>
            </w:r>
          </w:p>
        </w:tc>
        <w:tc>
          <w:tcPr>
            <w:tcW w:type="dxa" w:w="1728"/>
            <w:shd w:val="clear" w:color="auto" w:fill="D9E2F3"/>
          </w:tcPr>
          <w:p>
            <w:r>
              <w:rPr>
                <w:b/>
              </w:rPr>
            </w:r>
            <w:r>
              <w:rPr>
                <w:b/>
                <w:i w:val="0"/>
              </w:rPr>
              <w:t>Val. macro-F1</w:t>
            </w:r>
          </w:p>
        </w:tc>
        <w:tc>
          <w:tcPr>
            <w:tcW w:type="dxa" w:w="1728"/>
            <w:shd w:val="clear" w:color="auto" w:fill="D9E2F3"/>
          </w:tcPr>
          <w:p>
            <w:r>
              <w:rPr>
                <w:b/>
              </w:rPr>
            </w:r>
            <w:r>
              <w:rPr>
                <w:b/>
                <w:i w:val="0"/>
              </w:rPr>
              <w:t>Test accuracy</w:t>
            </w:r>
          </w:p>
        </w:tc>
        <w:tc>
          <w:tcPr>
            <w:tcW w:type="dxa" w:w="1728"/>
            <w:shd w:val="clear" w:color="auto" w:fill="D9E2F3"/>
          </w:tcPr>
          <w:p>
            <w:r>
              <w:rPr>
                <w:b/>
              </w:rPr>
            </w:r>
            <w:r>
              <w:rPr>
                <w:b/>
                <w:i w:val="0"/>
              </w:rPr>
              <w:t>Test macro-F1</w:t>
            </w:r>
          </w:p>
        </w:tc>
      </w:tr>
      <w:tr>
        <w:tc>
          <w:tcPr>
            <w:tcW w:type="dxa" w:w="1728"/>
          </w:tcPr>
          <w:p>
            <w:r/>
            <w:r>
              <w:rPr>
                <w:b w:val="0"/>
                <w:i w:val="0"/>
              </w:rPr>
              <w:t>Window-level (as previously reported)</w:t>
            </w:r>
          </w:p>
        </w:tc>
        <w:tc>
          <w:tcPr>
            <w:tcW w:type="dxa" w:w="1728"/>
          </w:tcPr>
          <w:p>
            <w:r/>
            <w:r>
              <w:rPr>
                <w:b w:val="0"/>
                <w:i w:val="0"/>
              </w:rPr>
              <w:t>0.4433</w:t>
            </w:r>
          </w:p>
        </w:tc>
        <w:tc>
          <w:tcPr>
            <w:tcW w:type="dxa" w:w="1728"/>
          </w:tcPr>
          <w:p>
            <w:r/>
            <w:r>
              <w:rPr>
                <w:b w:val="0"/>
                <w:i w:val="0"/>
              </w:rPr>
              <w:t>0.3043</w:t>
            </w:r>
          </w:p>
        </w:tc>
        <w:tc>
          <w:tcPr>
            <w:tcW w:type="dxa" w:w="1728"/>
          </w:tcPr>
          <w:p>
            <w:r/>
            <w:r>
              <w:rPr>
                <w:b w:val="0"/>
                <w:i w:val="0"/>
              </w:rPr>
              <w:t>0.3686</w:t>
            </w:r>
          </w:p>
        </w:tc>
        <w:tc>
          <w:tcPr>
            <w:tcW w:type="dxa" w:w="1728"/>
          </w:tcPr>
          <w:p>
            <w:r/>
            <w:r>
              <w:rPr>
                <w:b w:val="0"/>
                <w:i w:val="0"/>
              </w:rPr>
              <w:t>0.2475</w:t>
            </w:r>
          </w:p>
        </w:tc>
      </w:tr>
      <w:tr>
        <w:tc>
          <w:tcPr>
            <w:tcW w:type="dxa" w:w="1728"/>
          </w:tcPr>
          <w:p>
            <w:r/>
            <w:r>
              <w:rPr>
                <w:b w:val="0"/>
                <w:i w:val="0"/>
              </w:rPr>
              <w:t>Clip-level, mean-probability</w:t>
            </w:r>
          </w:p>
        </w:tc>
        <w:tc>
          <w:tcPr>
            <w:tcW w:type="dxa" w:w="1728"/>
          </w:tcPr>
          <w:p>
            <w:r/>
            <w:r>
              <w:rPr>
                <w:b w:val="0"/>
                <w:i w:val="0"/>
              </w:rPr>
              <w:t>0.4563</w:t>
            </w:r>
          </w:p>
        </w:tc>
        <w:tc>
          <w:tcPr>
            <w:tcW w:type="dxa" w:w="1728"/>
          </w:tcPr>
          <w:p>
            <w:r/>
            <w:r>
              <w:rPr>
                <w:b w:val="0"/>
                <w:i w:val="0"/>
              </w:rPr>
              <w:t>0.3099</w:t>
            </w:r>
          </w:p>
        </w:tc>
        <w:tc>
          <w:tcPr>
            <w:tcW w:type="dxa" w:w="1728"/>
          </w:tcPr>
          <w:p>
            <w:r/>
            <w:r>
              <w:rPr>
                <w:b w:val="0"/>
                <w:i w:val="0"/>
              </w:rPr>
              <w:t>0.3638</w:t>
            </w:r>
          </w:p>
        </w:tc>
        <w:tc>
          <w:tcPr>
            <w:tcW w:type="dxa" w:w="1728"/>
          </w:tcPr>
          <w:p>
            <w:r/>
            <w:r>
              <w:rPr>
                <w:b w:val="0"/>
                <w:i w:val="0"/>
              </w:rPr>
              <w:t>0.2482</w:t>
            </w:r>
          </w:p>
        </w:tc>
      </w:tr>
      <w:tr>
        <w:tc>
          <w:tcPr>
            <w:tcW w:type="dxa" w:w="1728"/>
          </w:tcPr>
          <w:p>
            <w:r/>
            <w:r>
              <w:rPr>
                <w:b w:val="0"/>
                <w:i w:val="0"/>
              </w:rPr>
              <w:t>Clip-level + calibrated thresholds</w:t>
            </w:r>
          </w:p>
        </w:tc>
        <w:tc>
          <w:tcPr>
            <w:tcW w:type="dxa" w:w="1728"/>
          </w:tcPr>
          <w:p>
            <w:r/>
            <w:r>
              <w:rPr>
                <w:b w:val="0"/>
                <w:i w:val="0"/>
              </w:rPr>
              <w:t>0.5283¹</w:t>
            </w:r>
          </w:p>
        </w:tc>
        <w:tc>
          <w:tcPr>
            <w:tcW w:type="dxa" w:w="1728"/>
          </w:tcPr>
          <w:p>
            <w:r/>
            <w:r>
              <w:rPr>
                <w:b w:val="0"/>
                <w:i w:val="0"/>
              </w:rPr>
              <w:t>0.3260¹</w:t>
            </w:r>
          </w:p>
        </w:tc>
        <w:tc>
          <w:tcPr>
            <w:tcW w:type="dxa" w:w="1728"/>
          </w:tcPr>
          <w:p>
            <w:r/>
            <w:r>
              <w:rPr>
                <w:b/>
                <w:i w:val="0"/>
              </w:rPr>
              <w:t>0.4467</w:t>
            </w:r>
          </w:p>
        </w:tc>
        <w:tc>
          <w:tcPr>
            <w:tcW w:type="dxa" w:w="1728"/>
          </w:tcPr>
          <w:p>
            <w:r/>
            <w:r>
              <w:rPr>
                <w:b/>
                <w:i w:val="0"/>
              </w:rPr>
              <w:t>0.2829</w:t>
            </w:r>
          </w:p>
        </w:tc>
      </w:tr>
    </w:tbl>
    <w:p/>
    <w:p>
      <w:pPr>
        <w:spacing w:after="160"/>
      </w:pPr>
      <w:r>
        <w:rPr>
          <w:b w:val="0"/>
          <w:i w:val="0"/>
        </w:rPr>
        <w:t>¹ In-sample of the calibration (thresholds tuned on Validation); the Test column is the honest out-of-sample transfer of the frozen offsets.</w:t>
      </w:r>
    </w:p>
    <w:p>
      <w:pPr>
        <w:pStyle w:val="Heading3"/>
      </w:pPr>
      <w:r>
        <w:t>4.8.3 Evaluation and Discussion</w:t>
      </w:r>
    </w:p>
    <w:p>
      <w:pPr>
        <w:spacing w:after="160"/>
      </w:pPr>
      <w:r>
        <w:rPr>
          <w:b w:val="0"/>
          <w:i w:val="0"/>
        </w:rPr>
        <w:t xml:space="preserve">Experiment 8's collective result is a </w:t>
      </w:r>
      <w:r>
        <w:rPr>
          <w:b w:val="0"/>
          <w:i/>
        </w:rPr>
        <w:t>negative in the modelling and a positive in the measurement</w:t>
      </w:r>
      <w:r>
        <w:rPr>
          <w:b w:val="0"/>
          <w:i w:val="0"/>
        </w:rP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rPr>
          <w:b w:val="0"/>
          <w:i w:val="0"/>
        </w:rP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b w:val="0"/>
          <w:i/>
        </w:rPr>
        <w:t>two</w:t>
      </w:r>
      <w:r>
        <w:rPr>
          <w:b w:val="0"/>
          <w:i w:val="0"/>
        </w:rPr>
        <w:t xml:space="preserve"> real production defects a less rigorous regime would have shipped: the </w:t>
      </w:r>
      <w:r>
        <w:rPr>
          <w:rFonts w:ascii="Consolas" w:hAnsi="Consolas"/>
          <w:b w:val="0"/>
          <w:i w:val="0"/>
          <w:sz w:val="20"/>
        </w:rPr>
        <w:t>numFaces</w:t>
      </w:r>
      <w:r>
        <w:rPr>
          <w:b w:val="0"/>
          <w:i w:val="0"/>
        </w:rP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b w:val="0"/>
          <w:i/>
        </w:rPr>
        <w:t>re-runnable</w:t>
      </w:r>
      <w:r>
        <w:rPr>
          <w:b w:val="0"/>
          <w:i w:val="0"/>
        </w:rP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two of the major browser engines across three browsers, and five deliberately adverse camera conditions, with every finding — favourable or not — recorded honestly (Section 4.6).</w:t>
      </w:r>
    </w:p>
    <w:p>
      <w:pPr>
        <w:spacing w:after="160"/>
      </w:pPr>
      <w:r>
        <w:rPr>
          <w:b w:val="0"/>
          <w:i w:val="0"/>
        </w:rP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b w:val="0"/>
          <w:i/>
        </w:rPr>
        <w:t>significantly outperforms</w:t>
      </w:r>
      <w:r>
        <w:rPr>
          <w:b w:val="0"/>
          <w:i w:val="0"/>
        </w:rP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rPr>
          <w:b w:val="0"/>
          <w:i w:val="0"/>
        </w:rP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rPr>
          <w:b w:val="0"/>
          <w:i w:val="0"/>
        </w:rP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b w:val="0"/>
          <w:i/>
        </w:rPr>
        <w:t>actual deployed system</w:t>
      </w:r>
      <w:r>
        <w:rPr>
          <w:b w:val="0"/>
          <w:i w:val="0"/>
        </w:rP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rPr>
          <w:b w:val="0"/>
          <w:i w:val="0"/>
        </w:rPr>
        <w:t xml:space="preserve">The geometric-feature representation (Section 2.1.2, Section 3.2.2), chosen specifically for its edge-deployability and cross-language verifiability, is now the </w:t>
      </w:r>
      <w:r>
        <w:rPr>
          <w:b w:val="0"/>
          <w:i/>
        </w:rPr>
        <w:t>established</w:t>
      </w:r>
      <w:r>
        <w:rPr>
          <w:b w:val="0"/>
          <w:i w:val="0"/>
        </w:rP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rPr>
          <w:b w:val="0"/>
          <w:i w:val="0"/>
        </w:rPr>
        <w:t xml:space="preserve">Three further limitations surfaced by the 2026-08-29 code audit are owned explicitly. </w:t>
      </w:r>
      <w:r>
        <w:rPr>
          <w:b/>
          <w:i w:val="0"/>
        </w:rPr>
        <w:t xml:space="preserve">(a) </w:t>
      </w:r>
      <w:r>
        <w:rPr>
          <w:rFonts w:ascii="Consolas" w:hAnsi="Consolas"/>
          <w:b/>
          <w:i w:val="0"/>
          <w:sz w:val="20"/>
        </w:rPr>
        <w:t>gaze_y</w:t>
      </w:r>
      <w:r>
        <w:rPr>
          <w:b/>
          <w:i w:val="0"/>
        </w:rPr>
        <w:t xml:space="preserve"> is numerically unstable on blink frames</w:t>
      </w:r>
      <w:r>
        <w:rPr>
          <w:b w:val="0"/>
          <w:i w:val="0"/>
        </w:rPr>
        <w:t xml:space="preserve">: it divides the iris's vertical offset by the eye's aperture height behind only an ε guard, so the denominator approaches zero as the eyelids close and the feature spikes without a formula-imposed bound (observed in the 2026-08-29 code audit; its one-off tabulation was not committed, so no magnitude is quoted) — very likely the amplifier behind the blink-frame sensitivity Amendment 2 attributed to </w:t>
      </w:r>
      <w:r>
        <w:rPr>
          <w:rFonts w:ascii="Consolas" w:hAnsi="Consolas"/>
          <w:b w:val="0"/>
          <w:i w:val="0"/>
          <w:sz w:val="20"/>
        </w:rPr>
        <w:t>numFaces</w:t>
      </w:r>
      <w:r>
        <w:rPr>
          <w:b w:val="0"/>
          <w:i w:val="0"/>
        </w:rP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i w:val="0"/>
        </w:rPr>
        <w:t>(b) The live sampling loop originally ran at a display-refresh-quantised ~8.3–8.6 Hz</w:t>
      </w:r>
      <w:r>
        <w:rPr>
          <w:b w:val="0"/>
          <w:i w:val="0"/>
        </w:rPr>
        <w:t xml:space="preserve">, not the contract's 10 Hz, stretching "3.0 s" windows up to 20%; fixed in remediation (accumulator clock, plus a buffer reset so windows never span a pause), but pre-fix live observations experienced the slower cadence. </w:t>
      </w:r>
      <w:r>
        <w:rPr>
          <w:b/>
          <w:i w:val="0"/>
        </w:rPr>
        <w:t>(c) In multi-person frames, the overlay's "primary" face and the face feeding the model can differ</w:t>
      </w:r>
      <w:r>
        <w:rPr>
          <w:b w:val="0"/>
          <w:i w:val="0"/>
        </w:rP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rPr>
          <w:b w:val="0"/>
          <w:i w:val="0"/>
        </w:rPr>
        <w:t xml:space="preserve">Three concrete alternatives, each considered and each rejected for a specific, stated reason rather than left unexamined: </w:t>
      </w:r>
      <w:r>
        <w:rPr>
          <w:b/>
          <w:i w:val="0"/>
        </w:rPr>
        <w:t>(a)</w:t>
      </w:r>
      <w:r>
        <w:rPr>
          <w:b w:val="0"/>
          <w:i w:val="0"/>
        </w:rP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i w:val="0"/>
        </w:rPr>
        <w:t>(b)</w:t>
      </w:r>
      <w:r>
        <w:rPr>
          <w:b w:val="0"/>
          <w:i w:val="0"/>
        </w:rP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b w:val="0"/>
          <w:i/>
        </w:rPr>
        <w:t>was</w:t>
      </w:r>
      <w:r>
        <w:rPr>
          <w:b w:val="0"/>
          <w:i w:val="0"/>
        </w:rP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b w:val="0"/>
          <w:i/>
        </w:rPr>
        <w:t>replace</w:t>
      </w:r>
      <w:r>
        <w:rPr>
          <w:b w:val="0"/>
          <w:i w:val="0"/>
        </w:rPr>
        <w:t xml:space="preserve">, not join, the loss weighting; </w:t>
      </w:r>
      <w:r>
        <w:rPr>
          <w:b/>
          <w:i w:val="0"/>
        </w:rPr>
        <w:t>(c)</w:t>
      </w:r>
      <w:r>
        <w:rPr>
          <w:b w:val="0"/>
          <w:i w:val="0"/>
        </w:rP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rPr>
          <w:b w:val="0"/>
          <w:i w:val="0"/>
        </w:rPr>
        <w:t>In descending order of how directly each follows from a limitation already named in this report: every item traces to a specific, evidenced gap from Section 4 or 5.2, not to a generic further-research list.</w:t>
      </w:r>
    </w:p>
    <w:p>
      <w:pPr>
        <w:pStyle w:val="ListNumber"/>
        <w:numPr>
          <w:ilvl w:val="0"/>
          <w:numId w:val="13"/>
        </w:numPr>
      </w:pPr>
      <w:r>
        <w:rPr>
          <w:b/>
          <w:i w:val="0"/>
        </w:rPr>
        <w:t>Ship the decision-threshold calibration to the browser</w:t>
      </w:r>
      <w:r>
        <w:rPr>
          <w:b w:val="0"/>
          <w:i w:val="0"/>
        </w:rP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numPr>
          <w:ilvl w:val="0"/>
          <w:numId w:val="14"/>
        </w:numPr>
      </w:pPr>
      <w:r>
        <w:rPr>
          <w:b/>
          <w:i w:val="0"/>
        </w:rPr>
        <w:t>Complete the multi-machine benchmark</w:t>
      </w:r>
      <w:r>
        <w:rPr>
          <w:b w:val="0"/>
          <w:i w:val="0"/>
        </w:rPr>
        <w:t xml:space="preserve"> (Section 4.5.3) — at least two further machines spanning different hardware tiers, using the runbook already prepared, to make the hardware-comparability claim this report's own cited literature insists on actually defensible.</w:t>
      </w:r>
    </w:p>
    <w:p>
      <w:pPr>
        <w:pStyle w:val="ListNumber"/>
        <w:numPr>
          <w:ilvl w:val="0"/>
          <w:numId w:val="15"/>
        </w:numPr>
      </w:pPr>
      <w:r>
        <w:rPr>
          <w:b/>
          <w:i w:val="0"/>
        </w:rPr>
        <w:t>Manually verify real-face detection in Firefox</w:t>
      </w:r>
      <w:r>
        <w:rPr>
          <w:b w:val="0"/>
          <w:i w:val="0"/>
        </w:rPr>
        <w:t xml:space="preserve"> (Section 4.6.3) with an actual webcam and a human subject, closing the one gap in the cross-browser evidence that automated tooling could not close.</w:t>
      </w:r>
    </w:p>
    <w:p>
      <w:pPr>
        <w:pStyle w:val="ListNumber"/>
        <w:numPr>
          <w:ilvl w:val="0"/>
          <w:numId w:val="16"/>
        </w:numPr>
      </w:pPr>
      <w:r>
        <w:rPr>
          <w:b/>
          <w:i w:val="0"/>
        </w:rPr>
        <w:t>A hybrid architecture study</w:t>
      </w:r>
      <w:r>
        <w:rPr>
          <w:b w:val="0"/>
          <w:i w:val="0"/>
        </w:rP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b w:val="0"/>
          <w:i/>
        </w:rPr>
        <w:t>logically next</w:t>
      </w:r>
      <w:r>
        <w:rPr>
          <w:b w:val="0"/>
          <w:i w:val="0"/>
        </w:rP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numPr>
          <w:ilvl w:val="0"/>
          <w:numId w:val="17"/>
        </w:numPr>
      </w:pPr>
      <w:r>
        <w:rPr>
          <w:b/>
          <w:i w:val="0"/>
        </w:rPr>
        <w:t>Close the search phase's own documented gaps</w:t>
      </w:r>
      <w:r>
        <w:rPr>
          <w:b w:val="0"/>
          <w:i w:val="0"/>
        </w:rP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b w:val="0"/>
          <w:i/>
        </w:rPr>
        <w:t>pass</w:t>
      </w:r>
      <w:r>
        <w:rPr>
          <w:b w:val="0"/>
          <w:i w:val="0"/>
        </w:rPr>
        <w:t xml:space="preserve"> rather than tie the single model remains open).</w:t>
      </w:r>
    </w:p>
    <w:p>
      <w:pPr>
        <w:pStyle w:val="ListNumber"/>
        <w:numPr>
          <w:ilvl w:val="0"/>
          <w:numId w:val="18"/>
        </w:numPr>
      </w:pPr>
      <w:r>
        <w:rPr>
          <w:b/>
          <w:i w:val="0"/>
        </w:rPr>
        <w:t>A larger, better-balanced evaluation set for the rarest engagement class specifically</w:t>
      </w:r>
      <w:r>
        <w:rPr>
          <w:b w:val="0"/>
          <w:i w:val="0"/>
        </w:rP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1"/>
      </w:pPr>
      <w:r>
        <w:t>References</w:t>
      </w:r>
    </w:p>
    <w:p>
      <w:pPr>
        <w:spacing w:after="160"/>
      </w:pPr>
      <w:r>
        <w:rPr>
          <w:b w:val="0"/>
          <w:i w:val="0"/>
        </w:rPr>
        <w:t xml:space="preserve">Abedi, A. and Khan, S.S. (2021) 'Improving state-of-the-art in detecting student engagement with ResNet and TCN hybrid network', in </w:t>
      </w:r>
      <w:r>
        <w:rPr>
          <w:b w:val="0"/>
          <w:i/>
        </w:rPr>
        <w:t>2021 18th Conference on Robots and Vision (CRV)</w:t>
      </w:r>
      <w:r>
        <w:rPr>
          <w:b w:val="0"/>
          <w:i w:val="0"/>
        </w:rPr>
        <w:t>. IEEE. Available at: https://arxiv.org/abs/2104.10122 (Accessed: 9 August 2026).</w:t>
      </w:r>
    </w:p>
    <w:p>
      <w:pPr>
        <w:spacing w:after="160"/>
      </w:pPr>
      <w:r>
        <w:rPr>
          <w:b w:val="0"/>
          <w:i w:val="0"/>
        </w:rPr>
        <w:t xml:space="preserve">Akiba, T., Sano, S., Yanase, T., Ohta, T. and Koyama, M. (2019) 'Optuna: a next-generation hyperparameter optimization framework', in </w:t>
      </w:r>
      <w:r>
        <w:rPr>
          <w:b w:val="0"/>
          <w:i/>
        </w:rPr>
        <w:t>Proceedings of the 25th ACM SIGKDD International Conference on Knowledge Discovery and Data Mining</w:t>
      </w:r>
      <w:r>
        <w:rPr>
          <w:b w:val="0"/>
          <w:i w:val="0"/>
        </w:rPr>
        <w:t>. ACM, pp. 2623–2631. Available at: https://arxiv.org/abs/1907.10902 (Accessed: 29 August 2026).</w:t>
      </w:r>
    </w:p>
    <w:p>
      <w:pPr>
        <w:spacing w:after="160"/>
      </w:pPr>
      <w:r>
        <w:rPr>
          <w:b w:val="0"/>
          <w:i w:val="0"/>
        </w:rPr>
        <w:t xml:space="preserve">Bai, S., Kolter, J.Z. and Koltun, V. (2018) 'An empirical evaluation of generic convolutional and recurrent networks for sequence modeling', </w:t>
      </w:r>
      <w:r>
        <w:rPr>
          <w:b w:val="0"/>
          <w:i/>
        </w:rPr>
        <w:t>arXiv preprint arXiv:1803.01271</w:t>
      </w:r>
      <w:r>
        <w:rPr>
          <w:b w:val="0"/>
          <w:i w:val="0"/>
        </w:rPr>
        <w:t>. Available at: https://arxiv.org/abs/1803.01271 (Accessed: 9 August 2026).</w:t>
      </w:r>
    </w:p>
    <w:p>
      <w:pPr>
        <w:spacing w:after="160"/>
      </w:pPr>
      <w:r>
        <w:rPr>
          <w:b w:val="0"/>
          <w:i w:val="0"/>
        </w:rPr>
        <w:t xml:space="preserve">Cao, W., Mirjalili, V. and Raschka, S. (2020) 'Rank consistent ordinal regression for neural networks with application to age estimation', </w:t>
      </w:r>
      <w:r>
        <w:rPr>
          <w:b w:val="0"/>
          <w:i/>
        </w:rPr>
        <w:t>Pattern Recognition Letters</w:t>
      </w:r>
      <w:r>
        <w:rPr>
          <w:b w:val="0"/>
          <w:i w:val="0"/>
        </w:rPr>
        <w:t>, 140, pp. 325–331. Available at: https://arxiv.org/abs/1901.07884 (Accessed: 29 August 2026).</w:t>
      </w:r>
    </w:p>
    <w:p>
      <w:pPr>
        <w:spacing w:after="160"/>
      </w:pPr>
      <w:r>
        <w:rPr>
          <w:b w:val="0"/>
          <w:i w:val="0"/>
        </w:rPr>
        <w:t xml:space="preserve">Dewan, M.A.A., Murshed, M. and Lin, F. (2019) 'Engagement detection in online learning: a review', </w:t>
      </w:r>
      <w:r>
        <w:rPr>
          <w:b w:val="0"/>
          <w:i/>
        </w:rPr>
        <w:t>Smart Learning Environments</w:t>
      </w:r>
      <w:r>
        <w:rPr>
          <w:b w:val="0"/>
          <w:i w:val="0"/>
        </w:rPr>
        <w:t>, 6(1), article 1. Available at: https://slejournal.springeropen.com/articles/10.1186/s40561-018-0080-z (Accessed: 9 August 2026).</w:t>
      </w:r>
    </w:p>
    <w:p>
      <w:pPr>
        <w:spacing w:after="160"/>
      </w:pPr>
      <w:r>
        <w:rPr>
          <w:b w:val="0"/>
          <w:i w:val="0"/>
        </w:rPr>
        <w:t xml:space="preserve">Gupta, A., D'Cunha, A., Awasthi, K. and Balasubramanian, V. (2016) 'DAiSEE: towards user engagement recognition in the wild', </w:t>
      </w:r>
      <w:r>
        <w:rPr>
          <w:b w:val="0"/>
          <w:i/>
        </w:rPr>
        <w:t>arXiv preprint arXiv:1609.01885</w:t>
      </w:r>
      <w:r>
        <w:rPr>
          <w:b w:val="0"/>
          <w:i w:val="0"/>
        </w:rPr>
        <w:t>. Available at: https://arxiv.org/abs/1609.01885 (Accessed: 1 August 2026).</w:t>
      </w:r>
    </w:p>
    <w:p>
      <w:pPr>
        <w:spacing w:after="160"/>
      </w:pPr>
      <w:r>
        <w:rPr>
          <w:b w:val="0"/>
          <w:i w:val="0"/>
        </w:rPr>
        <w:t xml:space="preserve">Jacob, B., Kligys, S., Chen, B., Zhu, M., Tang, M., Howard, A., Adam, H. and Kalenichenko, D. (2018) 'Quantization and training of neural networks for efficient integer-arithmetic-only inference', in </w:t>
      </w:r>
      <w:r>
        <w:rPr>
          <w:b w:val="0"/>
          <w:i/>
        </w:rPr>
        <w:t>Proceedings of the IEEE Conference on Computer Vision and Pattern Recognition (CVPR)</w:t>
      </w:r>
      <w:r>
        <w:rPr>
          <w:b w:val="0"/>
          <w:i w:val="0"/>
        </w:rPr>
        <w:t>. IEEE, pp. 2704–2713. Available at: https://arxiv.org/abs/1712.05877 (Accessed: 9 August 2026).</w:t>
      </w:r>
    </w:p>
    <w:p>
      <w:pPr>
        <w:spacing w:after="160"/>
      </w:pPr>
      <w:r>
        <w:rPr>
          <w:b w:val="0"/>
          <w:i w:val="0"/>
        </w:rPr>
        <w:t xml:space="preserve">Kamath, A., Biswas, A. and Balasubramanian, V. (2016) 'A crowdsourced approach to student engagement recognition in e-learning environments', in </w:t>
      </w:r>
      <w:r>
        <w:rPr>
          <w:b w:val="0"/>
          <w:i/>
        </w:rPr>
        <w:t>2016 IEEE Winter Conference on Applications of Computer Vision (WACV)</w:t>
      </w:r>
      <w:r>
        <w:rPr>
          <w:b w:val="0"/>
          <w:i w:val="0"/>
        </w:rPr>
        <w:t>. IEEE.</w:t>
      </w:r>
    </w:p>
    <w:p>
      <w:pPr>
        <w:spacing w:after="160"/>
      </w:pPr>
      <w:r>
        <w:rPr>
          <w:b w:val="0"/>
          <w:i w:val="0"/>
        </w:rPr>
        <w:t xml:space="preserve">Karimah, S.N. and Hasegawa, S. (2022) 'Automatic engagement estimation in smart education/learning settings: a systematic review of engagement definitions, datasets, and methods', </w:t>
      </w:r>
      <w:r>
        <w:rPr>
          <w:b w:val="0"/>
          <w:i/>
        </w:rPr>
        <w:t>Smart Learning Environments</w:t>
      </w:r>
      <w:r>
        <w:rPr>
          <w:b w:val="0"/>
          <w:i w:val="0"/>
        </w:rPr>
        <w:t>, 9, article 31. Available at: https://slejournal.springeropen.com/articles/10.1186/s40561-022-00212-y (Accessed: 9 August 2026).</w:t>
      </w:r>
    </w:p>
    <w:p>
      <w:pPr>
        <w:spacing w:after="160"/>
      </w:pPr>
      <w:r>
        <w:rPr>
          <w:b w:val="0"/>
          <w:i w:val="0"/>
        </w:rPr>
        <w:t xml:space="preserve">Kartynnik, Y., Ablavatski, A., Grishchenko, I. and Grundmann, M. (2019) 'Real-time facial surface geometry from monocular video on mobile GPUs', </w:t>
      </w:r>
      <w:r>
        <w:rPr>
          <w:b w:val="0"/>
          <w:i/>
        </w:rPr>
        <w:t>arXiv preprint arXiv:1907.06724</w:t>
      </w:r>
      <w:r>
        <w:rPr>
          <w:b w:val="0"/>
          <w:i w:val="0"/>
        </w:rPr>
        <w:t>. Available at: https://arxiv.org/abs/1907.06724 (Accessed: 9 August 2026).</w:t>
      </w:r>
    </w:p>
    <w:p>
      <w:pPr>
        <w:spacing w:after="160"/>
      </w:pPr>
      <w:r>
        <w:rPr>
          <w:b w:val="0"/>
          <w:i w:val="0"/>
        </w:rPr>
        <w:t xml:space="preserve">Khan, S.S., Abedi, A. and Colella, T.J.F. (2022) 'Inconsistencies in the definition and annotation of student engagement in virtual learning datasets: a critical review', </w:t>
      </w:r>
      <w:r>
        <w:rPr>
          <w:b w:val="0"/>
          <w:i/>
        </w:rPr>
        <w:t>arXiv preprint arXiv:2208.04548</w:t>
      </w:r>
      <w:r>
        <w:rPr>
          <w:b w:val="0"/>
          <w:i w:val="0"/>
        </w:rPr>
        <w:t>. Available at: https://arxiv.org/abs/2208.04548 (Accessed: 9 August 2026).</w:t>
      </w:r>
    </w:p>
    <w:p>
      <w:pPr>
        <w:spacing w:after="160"/>
      </w:pPr>
      <w:r>
        <w:rPr>
          <w:b w:val="0"/>
          <w:i w:val="0"/>
        </w:rPr>
        <w:t xml:space="preserve">Lepetit, V., Moreno-Noguer, F. and Fua, P. (2009) 'EPnP: an accurate O(n) solution to the PnP problem', </w:t>
      </w:r>
      <w:r>
        <w:rPr>
          <w:b w:val="0"/>
          <w:i/>
        </w:rPr>
        <w:t>International Journal of Computer Vision</w:t>
      </w:r>
      <w:r>
        <w:rPr>
          <w:b w:val="0"/>
          <w:i w:val="0"/>
        </w:rPr>
        <w:t>, 81(2), pp. 155–166.</w:t>
      </w:r>
    </w:p>
    <w:p>
      <w:pPr>
        <w:spacing w:after="160"/>
      </w:pPr>
      <w:r>
        <w:rPr>
          <w:b w:val="0"/>
          <w:i w:val="0"/>
        </w:rPr>
        <w:t xml:space="preserve">Lin, T.Y., Goyal, P., Girshick, R., He, K. and Dollár, P. (2017) 'Focal loss for dense object detection', in </w:t>
      </w:r>
      <w:r>
        <w:rPr>
          <w:b w:val="0"/>
          <w:i/>
        </w:rPr>
        <w:t>Proceedings of the IEEE International Conference on Computer Vision (ICCV)</w:t>
      </w:r>
      <w:r>
        <w:rPr>
          <w:b w:val="0"/>
          <w:i w:val="0"/>
        </w:rPr>
        <w:t>. IEEE, pp. 2980–2988. Available at: https://openaccess.thecvf.com/content_iccv_2017/html/Lin_Focal_Loss_for_ICCV_2017_paper.html (Accessed: 9 August 2026).</w:t>
      </w:r>
    </w:p>
    <w:p>
      <w:pPr>
        <w:spacing w:after="160"/>
      </w:pPr>
      <w:r>
        <w:rPr>
          <w:b w:val="0"/>
          <w:i w:val="0"/>
        </w:rPr>
        <w:t xml:space="preserve">Lugaresi, C., Tang, J., Nash, H., McClanahan, C., Uboweja, E., Hays, M., Zhang, F., Chang, C.L., Yong, M.G., Lee, J., Chang, W.T., Hua, W., Georg, M. and Grundmann, M. (2019) 'MediaPipe: a framework for building perception pipelines', </w:t>
      </w:r>
      <w:r>
        <w:rPr>
          <w:b w:val="0"/>
          <w:i/>
        </w:rPr>
        <w:t>arXiv preprint arXiv:1906.08172</w:t>
      </w:r>
      <w:r>
        <w:rPr>
          <w:b w:val="0"/>
          <w:i w:val="0"/>
        </w:rPr>
        <w:t>. Available at: https://arxiv.org/abs/1906.08172 (Accessed: 9 August 2026).</w:t>
      </w:r>
    </w:p>
    <w:p>
      <w:pPr>
        <w:spacing w:after="160"/>
      </w:pPr>
      <w:r>
        <w:rPr>
          <w:b w:val="0"/>
          <w:i w:val="0"/>
        </w:rPr>
        <w:t xml:space="preserve">Santoni, M.M., Basaruddin, T. and Junus, K. (2023) 'Convolutional neural network model based students' engagement detection in imbalanced DAiSEE dataset', </w:t>
      </w:r>
      <w:r>
        <w:rPr>
          <w:b w:val="0"/>
          <w:i/>
        </w:rPr>
        <w:t>International Journal of Advanced Computer Science and Applications</w:t>
      </w:r>
      <w:r>
        <w:rPr>
          <w:b w:val="0"/>
          <w:i w:val="0"/>
        </w:rPr>
        <w:t>, 14(3). Available at: https://doi.org/10.14569/IJACSA.2023.0140371 (Accessed: 9 August 2026).</w:t>
      </w:r>
    </w:p>
    <w:p>
      <w:pPr>
        <w:spacing w:after="160"/>
      </w:pPr>
      <w:r>
        <w:rPr>
          <w:b w:val="0"/>
          <w:i w:val="0"/>
        </w:rPr>
        <w:t xml:space="preserve">Soukupová, T. and Čech, J. (2016) 'Real-time eye blink detection using facial landmarks', in </w:t>
      </w:r>
      <w:r>
        <w:rPr>
          <w:b w:val="0"/>
          <w:i/>
        </w:rPr>
        <w:t>21st Computer Vision Winter Workshop</w:t>
      </w:r>
      <w:r>
        <w:rPr>
          <w:b w:val="0"/>
          <w:i w:val="0"/>
        </w:rPr>
        <w:t>. Rimske Toplice, Slovenia.</w:t>
      </w:r>
    </w:p>
    <w:p>
      <w:r>
        <w:br w:type="page"/>
      </w:r>
    </w:p>
    <w:p>
      <w:pPr>
        <w:pStyle w:val="Heading1"/>
      </w:pPr>
      <w:r>
        <w:t>Appendices</w:t>
      </w:r>
    </w:p>
    <w:p>
      <w:pPr>
        <w:spacing w:after="160"/>
      </w:pPr>
      <w:r>
        <w:rPr>
          <w:b/>
          <w:i w:val="0"/>
        </w:rPr>
        <w:t>Appendix A — Feature vector specification.</w:t>
      </w:r>
      <w:r>
        <w:rPr>
          <w:b w:val="0"/>
          <w:i w:val="0"/>
        </w:rPr>
        <w:t xml:space="preserve"> Full 13-feature table with landmark indices, formulae, and sign conventions: </w:t>
      </w:r>
      <w:r>
        <w:rPr>
          <w:rFonts w:ascii="Consolas" w:hAnsi="Consolas"/>
          <w:b w:val="0"/>
          <w:i w:val="0"/>
          <w:sz w:val="20"/>
        </w:rPr>
        <w:t>CONTRACT.md</w:t>
      </w:r>
      <w:r>
        <w:rPr>
          <w:b w:val="0"/>
          <w:i w:val="0"/>
        </w:rPr>
        <w:t xml:space="preserve"> §2–4 (this project's repository).</w:t>
      </w:r>
    </w:p>
    <w:p>
      <w:pPr>
        <w:spacing w:after="160"/>
      </w:pPr>
      <w:r>
        <w:rPr>
          <w:b/>
          <w:i w:val="0"/>
        </w:rPr>
        <w:t>Appendix B — Model I/O contract.</w:t>
      </w:r>
      <w:r>
        <w:rPr>
          <w:b w:val="0"/>
          <w:i w:val="0"/>
        </w:rPr>
        <w:t xml:space="preserve"> ONNX input/output tensor names, shapes, and dtypes: </w:t>
      </w:r>
      <w:r>
        <w:rPr>
          <w:rFonts w:ascii="Consolas" w:hAnsi="Consolas"/>
          <w:b w:val="0"/>
          <w:i w:val="0"/>
          <w:sz w:val="20"/>
        </w:rPr>
        <w:t>CONTRACT.md</w:t>
      </w:r>
      <w:r>
        <w:rPr>
          <w:b w:val="0"/>
          <w:i w:val="0"/>
        </w:rPr>
        <w:t xml:space="preserve"> §5.</w:t>
      </w:r>
    </w:p>
    <w:p>
      <w:pPr>
        <w:spacing w:after="160"/>
      </w:pPr>
      <w:r>
        <w:rPr>
          <w:b/>
          <w:i w:val="0"/>
        </w:rPr>
        <w:t>Appendix C — Full evaluation artefacts.</w:t>
      </w:r>
      <w:r>
        <w:rPr>
          <w:b w:val="0"/>
          <w:i w:val="0"/>
        </w:rPr>
        <w:t xml:space="preserve"> </w:t>
      </w:r>
      <w:r>
        <w:rPr>
          <w:rFonts w:ascii="Consolas" w:hAnsi="Consolas"/>
          <w:b w:val="0"/>
          <w:i w:val="0"/>
          <w:sz w:val="20"/>
        </w:rPr>
        <w:t>docs/results/</w:t>
      </w:r>
      <w:r>
        <w:rPr>
          <w:b w:val="0"/>
          <w:i w:val="0"/>
        </w:rPr>
        <w:t xml:space="preserve">: </w:t>
      </w:r>
      <w:r>
        <w:rPr>
          <w:rFonts w:ascii="Consolas" w:hAnsi="Consolas"/>
          <w:b w:val="0"/>
          <w:i w:val="0"/>
          <w:sz w:val="20"/>
        </w:rPr>
        <w:t>metrics_validation.csv</w:t>
      </w:r>
      <w:r>
        <w:rPr>
          <w:b w:val="0"/>
          <w:i w:val="0"/>
        </w:rPr>
        <w:t xml:space="preserve">, </w:t>
      </w:r>
      <w:r>
        <w:rPr>
          <w:rFonts w:ascii="Consolas" w:hAnsi="Consolas"/>
          <w:b w:val="0"/>
          <w:i w:val="0"/>
          <w:sz w:val="20"/>
        </w:rPr>
        <w:t>metrics_test.csv</w:t>
      </w:r>
      <w:r>
        <w:rPr>
          <w:b w:val="0"/>
          <w:i w:val="0"/>
        </w:rPr>
        <w:t xml:space="preserve">, </w:t>
      </w:r>
      <w:r>
        <w:rPr>
          <w:rFonts w:ascii="Consolas" w:hAnsi="Consolas"/>
          <w:b w:val="0"/>
          <w:i w:val="0"/>
          <w:sz w:val="20"/>
        </w:rPr>
        <w:t>confusion_validation.png</w:t>
      </w:r>
      <w:r>
        <w:rPr>
          <w:b w:val="0"/>
          <w:i w:val="0"/>
        </w:rPr>
        <w:t xml:space="preserve">, </w:t>
      </w:r>
      <w:r>
        <w:rPr>
          <w:rFonts w:ascii="Consolas" w:hAnsi="Consolas"/>
          <w:b w:val="0"/>
          <w:i w:val="0"/>
          <w:sz w:val="20"/>
        </w:rPr>
        <w:t>confusion_test.png</w:t>
      </w:r>
      <w:r>
        <w:rPr>
          <w:b w:val="0"/>
          <w:i w:val="0"/>
        </w:rPr>
        <w:t xml:space="preserve">, </w:t>
      </w:r>
      <w:r>
        <w:rPr>
          <w:rFonts w:ascii="Consolas" w:hAnsi="Consolas"/>
          <w:b w:val="0"/>
          <w:i w:val="0"/>
          <w:sz w:val="20"/>
        </w:rPr>
        <w:t>roc_validation.png</w:t>
      </w:r>
      <w:r>
        <w:rPr>
          <w:b w:val="0"/>
          <w:i w:val="0"/>
        </w:rPr>
        <w:t xml:space="preserve">, </w:t>
      </w:r>
      <w:r>
        <w:rPr>
          <w:rFonts w:ascii="Consolas" w:hAnsi="Consolas"/>
          <w:b w:val="0"/>
          <w:i w:val="0"/>
          <w:sz w:val="20"/>
        </w:rPr>
        <w:t>roc_test.png</w:t>
      </w:r>
      <w:r>
        <w:rPr>
          <w:b w:val="0"/>
          <w:i w:val="0"/>
        </w:rPr>
        <w:t xml:space="preserve">, </w:t>
      </w:r>
      <w:r>
        <w:rPr>
          <w:rFonts w:ascii="Consolas" w:hAnsi="Consolas"/>
          <w:b w:val="0"/>
          <w:i w:val="0"/>
          <w:sz w:val="20"/>
        </w:rPr>
        <w:t>quantization.csv</w:t>
      </w:r>
      <w:r>
        <w:rPr>
          <w:b w:val="0"/>
          <w:i w:val="0"/>
        </w:rPr>
        <w:t xml:space="preserve">, </w:t>
      </w:r>
      <w:r>
        <w:rPr>
          <w:rFonts w:ascii="Consolas" w:hAnsi="Consolas"/>
          <w:b w:val="0"/>
          <w:i w:val="0"/>
          <w:sz w:val="20"/>
        </w:rPr>
        <w:t>baselines.csv</w:t>
      </w:r>
      <w:r>
        <w:rPr>
          <w:b w:val="0"/>
          <w:i w:val="0"/>
        </w:rPr>
        <w:t xml:space="preserve">, </w:t>
      </w:r>
      <w:r>
        <w:rPr>
          <w:rFonts w:ascii="Consolas" w:hAnsi="Consolas"/>
          <w:b w:val="0"/>
          <w:i w:val="0"/>
          <w:sz w:val="20"/>
        </w:rPr>
        <w:t>class_dist.png</w:t>
      </w:r>
      <w:r>
        <w:rPr>
          <w:b w:val="0"/>
          <w:i w:val="0"/>
        </w:rPr>
        <w:t xml:space="preserve">, </w:t>
      </w:r>
      <w:r>
        <w:rPr>
          <w:rFonts w:ascii="Consolas" w:hAnsi="Consolas"/>
          <w:b w:val="0"/>
          <w:i w:val="0"/>
          <w:sz w:val="20"/>
        </w:rPr>
        <w:t>extraction_stats.json</w:t>
      </w:r>
      <w:r>
        <w:rPr>
          <w:b w:val="0"/>
          <w:i w:val="0"/>
        </w:rPr>
        <w:t xml:space="preserve">, </w:t>
      </w:r>
      <w:r>
        <w:rPr>
          <w:rFonts w:ascii="Consolas" w:hAnsi="Consolas"/>
          <w:b w:val="0"/>
          <w:i w:val="0"/>
          <w:sz w:val="20"/>
        </w:rPr>
        <w:t>parity_report.json</w:t>
      </w:r>
      <w:r>
        <w:rPr>
          <w:b w:val="0"/>
          <w:i w:val="0"/>
        </w:rPr>
        <w:t xml:space="preserve">, </w:t>
      </w:r>
      <w:r>
        <w:rPr>
          <w:rFonts w:ascii="Consolas" w:hAnsi="Consolas"/>
          <w:b w:val="0"/>
          <w:i w:val="0"/>
          <w:sz w:val="20"/>
        </w:rPr>
        <w:t>parity_report_gpu.json</w:t>
      </w:r>
      <w:r>
        <w:rPr>
          <w:b w:val="0"/>
          <w:i w:val="0"/>
        </w:rPr>
        <w:t xml:space="preserve"> (the GPU-delegate variant, a deliberate recorded FAIL — see Section 4.1.2), </w:t>
      </w:r>
      <w:r>
        <w:rPr>
          <w:rFonts w:ascii="Consolas" w:hAnsi="Consolas"/>
          <w:b w:val="0"/>
          <w:i w:val="0"/>
          <w:sz w:val="20"/>
        </w:rPr>
        <w:t>quantization_test.csv</w:t>
      </w:r>
      <w:r>
        <w:rPr>
          <w:b w:val="0"/>
          <w:i w:val="0"/>
        </w:rPr>
        <w:t xml:space="preserve">, </w:t>
      </w:r>
      <w:r>
        <w:rPr>
          <w:rFonts w:ascii="Consolas" w:hAnsi="Consolas"/>
          <w:b w:val="0"/>
          <w:i w:val="0"/>
          <w:sz w:val="20"/>
        </w:rPr>
        <w:t>privacy_trace.json</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 xml:space="preserve">; and </w:t>
      </w:r>
      <w:r>
        <w:rPr>
          <w:rFonts w:ascii="Consolas" w:hAnsi="Consolas"/>
          <w:b w:val="0"/>
          <w:i w:val="0"/>
          <w:sz w:val="20"/>
        </w:rPr>
        <w:t>docs/benchmarks/</w:t>
      </w:r>
      <w:r>
        <w:rPr>
          <w:b w:val="0"/>
          <w:i w:val="0"/>
        </w:rPr>
        <w:t xml:space="preserve"> for the J3 hardware runs; Experiments 7–8 artefacts: </w:t>
      </w:r>
      <w:r>
        <w:rPr>
          <w:rFonts w:ascii="Consolas" w:hAnsi="Consolas"/>
          <w:b w:val="0"/>
          <w:i w:val="0"/>
          <w:sz w:val="20"/>
        </w:rPr>
        <w:t>model_comparison_summary.md</w:t>
      </w:r>
      <w:r>
        <w:rPr>
          <w:b w:val="0"/>
          <w:i w:val="0"/>
        </w:rPr>
        <w:t xml:space="preserve"> and </w:t>
      </w:r>
      <w:r>
        <w:rPr>
          <w:rFonts w:ascii="Consolas" w:hAnsi="Consolas"/>
          <w:b w:val="0"/>
          <w:i w:val="0"/>
          <w:sz w:val="20"/>
        </w:rPr>
        <w:t>rigorous_model_search.md</w:t>
      </w:r>
      <w:r>
        <w:rPr>
          <w:b w:val="0"/>
          <w:i w:val="0"/>
        </w:rPr>
        <w:t xml:space="preserve"> (full findings records), </w:t>
      </w:r>
      <w:r>
        <w:rPr>
          <w:rFonts w:ascii="Consolas" w:hAnsi="Consolas"/>
          <w:b w:val="0"/>
          <w:i w:val="0"/>
          <w:sz w:val="20"/>
        </w:rPr>
        <w:t>architecture_comparison.csv</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feature_ablation.csv</w:t>
      </w:r>
      <w:r>
        <w:rPr>
          <w:b w:val="0"/>
          <w:i w:val="0"/>
        </w:rPr>
        <w:t xml:space="preserve">, </w:t>
      </w:r>
      <w:r>
        <w:rPr>
          <w:rFonts w:ascii="Consolas" w:hAnsi="Consolas"/>
          <w:b w:val="0"/>
          <w:i w:val="0"/>
          <w:sz w:val="20"/>
        </w:rPr>
        <w:t>significance.json</w:t>
      </w:r>
      <w:r>
        <w:rPr>
          <w:b w:val="0"/>
          <w:i w:val="0"/>
        </w:rPr>
        <w:t xml:space="preserve">, </w:t>
      </w:r>
      <w:r>
        <w:rPr>
          <w:rFonts w:ascii="Consolas" w:hAnsi="Consolas"/>
          <w:b w:val="0"/>
          <w:i w:val="0"/>
          <w:sz w:val="20"/>
        </w:rPr>
        <w:t>cv_feature_selection_summary.csv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final_model_selection.json</w:t>
      </w:r>
      <w:r>
        <w:rPr>
          <w:b w:val="0"/>
          <w:i w:val="0"/>
        </w:rPr>
        <w:t xml:space="preserve">, </w:t>
      </w:r>
      <w:r>
        <w:rPr>
          <w:rFonts w:ascii="Consolas" w:hAnsi="Consolas"/>
          <w:b w:val="0"/>
          <w:i w:val="0"/>
          <w:sz w:val="20"/>
        </w:rPr>
        <w:t>ensemble_fixed.csv</w:t>
      </w:r>
      <w:r>
        <w:rPr>
          <w:b w:val="0"/>
          <w:i w:val="0"/>
        </w:rPr>
        <w:t xml:space="preserve">, </w:t>
      </w:r>
      <w:r>
        <w:rPr>
          <w:rFonts w:ascii="Consolas" w:hAnsi="Consolas"/>
          <w:b w:val="0"/>
          <w:i w:val="0"/>
          <w:sz w:val="20"/>
        </w:rPr>
        <w:t>ordinal_comparison.csv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p>
      <w:pPr>
        <w:spacing w:after="160"/>
      </w:pPr>
      <w:r>
        <w:rPr>
          <w:b/>
          <w:i w:val="0"/>
        </w:rPr>
        <w:t>Appendix D — Privacy verification evidence.</w:t>
      </w:r>
      <w:r>
        <w:rPr>
          <w:b w:val="0"/>
          <w:i w:val="0"/>
        </w:rPr>
        <w:t xml:space="preserve"> </w:t>
      </w:r>
      <w:r>
        <w:rPr>
          <w:rFonts w:ascii="Consolas" w:hAnsi="Consolas"/>
          <w:b w:val="0"/>
          <w:i w:val="0"/>
          <w:sz w:val="20"/>
        </w:rPr>
        <w:t>docs/privacy.md</w:t>
      </w:r>
      <w:r>
        <w:rPr>
          <w:b w:val="0"/>
          <w:i w:val="0"/>
        </w:rPr>
        <w:t xml:space="preserve"> — full code walkthrough, network recordings, and the telemetry-call finding in detail.</w:t>
      </w:r>
    </w:p>
    <w:p>
      <w:pPr>
        <w:spacing w:after="160"/>
      </w:pPr>
      <w:r>
        <w:rPr>
          <w:b/>
          <w:i w:val="0"/>
        </w:rPr>
        <w:t>Appendix E — Demo hardening evidence.</w:t>
      </w:r>
      <w:r>
        <w:rPr>
          <w:b w:val="0"/>
          <w:i w:val="0"/>
        </w:rPr>
        <w:t xml:space="preserve"> </w:t>
      </w:r>
      <w:r>
        <w:rPr>
          <w:rFonts w:ascii="Consolas" w:hAnsi="Consolas"/>
          <w:b w:val="0"/>
          <w:i w:val="0"/>
          <w:sz w:val="20"/>
        </w:rPr>
        <w:t>docs/demo-failure-modes.md</w:t>
      </w:r>
      <w:r>
        <w:rPr>
          <w:b w:val="0"/>
          <w:i w:val="0"/>
        </w:rPr>
        <w:t xml:space="preserve"> — cross-browser and adverse-condition test results in full; </w:t>
      </w:r>
      <w:r>
        <w:rPr>
          <w:rFonts w:ascii="Consolas" w:hAnsi="Consolas"/>
          <w:b w:val="0"/>
          <w:i w:val="0"/>
          <w:sz w:val="20"/>
        </w:rPr>
        <w:t>docs/dry-run-checklist.md</w:t>
      </w:r>
      <w:r>
        <w:rPr>
          <w:b w:val="0"/>
          <w:i w:val="0"/>
        </w:rPr>
        <w:t xml:space="preserve"> — the live-rehearsal script derived from them.</w:t>
      </w:r>
    </w:p>
    <w:p>
      <w:pPr>
        <w:spacing w:after="160"/>
      </w:pPr>
      <w:r>
        <w:rPr>
          <w:b/>
          <w:i w:val="0"/>
        </w:rPr>
        <w:t>Appendix F — Development process record.</w:t>
      </w:r>
      <w:r>
        <w:rPr>
          <w:b w:val="0"/>
          <w:i w:val="0"/>
        </w:rPr>
        <w:t xml:space="preserve"> </w:t>
      </w:r>
      <w:r>
        <w:rPr>
          <w:rFonts w:ascii="Consolas" w:hAnsi="Consolas"/>
          <w:b w:val="0"/>
          <w:i w:val="0"/>
          <w:sz w:val="20"/>
        </w:rPr>
        <w:t>docs/PROGRESS.md</w:t>
      </w:r>
      <w:r>
        <w:rPr>
          <w:b w:val="0"/>
          <w:i w:val="0"/>
        </w:rPr>
        <w:t xml:space="preserve"> — full day-by-day project history; </w:t>
      </w:r>
      <w:r>
        <w:rPr>
          <w:rFonts w:ascii="Consolas" w:hAnsi="Consolas"/>
          <w:b w:val="0"/>
          <w:i w:val="0"/>
          <w:sz w:val="20"/>
        </w:rPr>
        <w:t>BUILD_PLAN_1.md</w:t>
      </w:r>
      <w:r>
        <w:rPr>
          <w:b w:val="0"/>
          <w:i w:val="0"/>
        </w:rPr>
        <w:t xml:space="preserve"> — original 20-day build plan with retrospective status annotations; </w:t>
      </w:r>
      <w:r>
        <w:rPr>
          <w:rFonts w:ascii="Consolas" w:hAnsi="Consolas"/>
          <w:b w:val="0"/>
          <w:i w:val="0"/>
          <w:sz w:val="20"/>
        </w:rPr>
        <w:t>GAP_CLOSURE_PLAN.md</w:t>
      </w:r>
      <w:r>
        <w:rPr>
          <w:b w:val="0"/>
          <w:i w:val="0"/>
        </w:rPr>
        <w:t xml:space="preserve"> — the mid-project self-audit and remediation plan referenced in Section 4.1; </w:t>
      </w:r>
      <w:r>
        <w:rPr>
          <w:rFonts w:ascii="Consolas" w:hAnsi="Consolas"/>
          <w:b w:val="0"/>
          <w:i w:val="0"/>
          <w:sz w:val="20"/>
        </w:rPr>
        <w:t>PROJECT_COMPLETION_PLAN.md</w:t>
      </w:r>
      <w:r>
        <w:rPr>
          <w:b w:val="0"/>
          <w:i w:val="0"/>
        </w:rPr>
        <w:t xml:space="preserve"> — the phased plan this report's own Experimentation chapter is structured against.</w:t>
      </w:r>
    </w:p>
    <w:p>
      <w:pPr>
        <w:spacing w:after="160"/>
      </w:pPr>
      <w:r>
        <w:rPr>
          <w:b/>
          <w:i w:val="0"/>
        </w:rPr>
        <w:t>Appendix G — Source code.</w:t>
      </w:r>
      <w:r>
        <w:rPr>
          <w:b w:val="0"/>
          <w:i w:val="0"/>
        </w:rPr>
        <w:t xml:space="preserve"> Full repository, including CI configuration (</w:t>
      </w:r>
      <w:r>
        <w:rPr>
          <w:rFonts w:ascii="Consolas" w:hAnsi="Consolas"/>
          <w:b w:val="0"/>
          <w:i w:val="0"/>
          <w:sz w:val="20"/>
        </w:rPr>
        <w:t>.github/workflows/ci.yml</w:t>
      </w:r>
      <w:r>
        <w:rPr>
          <w:b w:val="0"/>
          <w:i w:val="0"/>
        </w:rPr>
        <w:t>): https://github.com/MuhammadBilal-00/Multimodal-Cognitive-Overload-Detection.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Cognitive Engagement Detection from Webcam Video Using an Edge-Deployed Temporal Convolutional Network</dc:title>
  <dc:subject>MSc Data Science dissertation, University of Greenwich</dc:subject>
  <dc:creator>Ibtissam Merzouqi</dc:creator>
  <cp:keywords>engagement detection; edge machine learning; in-browser inference; temporal convolutional network; DAiSEE; privacy-preserving computer vision</cp:keywords>
  <dc:description/>
  <cp:lastModifiedBy>Ibtissam Merzouqi</cp:lastModifiedBy>
  <cp:revision>1</cp:revision>
  <dcterms:created xsi:type="dcterms:W3CDTF">2026-08-30T13:42:22Z</dcterms:created>
  <dcterms:modified xsi:type="dcterms:W3CDTF">2026-08-30T13:42:22Z</dcterms:modified>
  <cp:category/>
</cp:coreProperties>
</file>