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rPr>
        <w:t>Ibtissam Merzouqi</w:t>
      </w:r>
    </w:p>
    <w:p>
      <w:pPr>
        <w:jc w:val="center"/>
      </w:pPr>
      <w:r>
        <w:rPr>
          <w:b/>
        </w:rPr>
        <w:t>001487042</w:t>
      </w:r>
    </w:p>
    <w:p>
      <w:pPr>
        <w:jc w:val="center"/>
      </w:pPr>
      <w:r>
        <w:rPr>
          <w:b/>
        </w:rPr>
        <w:t>[Programme, e.g. MSc Data Modelling — fill in]</w:t>
      </w:r>
    </w:p>
    <w:p>
      <w:pPr>
        <w:spacing w:after="160"/>
      </w:pPr>
      <w:r>
        <w:rPr>
          <w:b/>
        </w:rPr>
        <w:t>[Supervisor — fill in]</w:t>
      </w:r>
      <w:r>
        <w:t xml:space="preserve"> | </w:t>
      </w:r>
      <w:r>
        <w:rPr>
          <w:b/>
        </w:rPr>
        <w:t>[Second Marker — fill in]</w:t>
      </w:r>
    </w:p>
    <w:p>
      <w:pPr>
        <w:jc w:val="center"/>
      </w:pPr>
      <w:r>
        <w:rPr>
          <w:b/>
        </w:rPr>
        <w:t>[Submission date — fill in]</w:t>
      </w:r>
    </w:p>
    <w:p>
      <w:r>
        <w:rPr>
          <w:i/>
          <w:color w:val="606060"/>
        </w:rPr>
        <w:t>This report is written from the completed `Multimodal-Cognitive-Overload-Detection` repository and its full development record (`docs/PROGRESS.md`, `CONTRACT.md`, `BUILD_PLAN_1.md`, `GAP_CLOSURE_PLAN.md`, `PROJECT_COMPLETION_PLAN.md`). All figures, tables, and code references are drawn directly from artefacts already produced and version-controlled in that repository; none are illustrative or hypothetical. Bracketed placeholders (name, dates, screenshots) are the only items requiring manual completion before submission.</w:t>
      </w:r>
    </w:p>
    <w:p>
      <w:r>
        <w:br w:type="page"/>
      </w:r>
    </w:p>
    <w:p>
      <w:pPr>
        <w:pStyle w:val="Heading2"/>
      </w:pPr>
      <w:r>
        <w:t>Abstract</w:t>
      </w:r>
    </w:p>
    <w:p>
      <w:pPr>
        <w:spacing w:after="160"/>
      </w:pPr>
      <w: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9,032 clips of the DAiSEE dataset (Gupta </w:t>
      </w:r>
      <w:r>
        <w:rPr>
          <w:i/>
        </w:rPr>
        <w:t>et al.</w:t>
      </w:r>
      <w:r>
        <w:t>, 2016),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baselines of 0.248 and 0.264 respectively — a modest absolute score that nonetheless demonstrates the model exploits temporal structure the baselines cannot access, and is reported honestly alongside a known limitation: the rarest engagement class has only 4 clips in the entire test split, making its per-class metrics statistically unreliable. The privacy claim itself is not merely asserted: a recorded network trace of a live 65-second inference session shows zero outbound requests once the page has loaded, including one genuine finding — an undisclosed telemetry call inside a third-party dependency, caught and blocked at the browser-policy level via a Content Security Policy header, not patched around. A rebuilt, CI-integrated parity gate additionally caught and fixed a real train/serve skew regression introduced by a later multi-face UI feature, demonstrating the value of the automated verification built around the system, not just the system itself.</w:t>
      </w:r>
    </w:p>
    <w:p>
      <w:pPr>
        <w:spacing w:after="160"/>
      </w:pPr>
      <w:r>
        <w:rPr>
          <w:b/>
        </w:rPr>
        <w:t>Keywords:</w:t>
      </w:r>
      <w: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r>
        <w:rPr>
          <w:i/>
          <w:color w:val="606060"/>
        </w:rPr>
        <w:t>[fill in]</w:t>
      </w:r>
    </w:p>
    <w:p>
      <w:r>
        <w:br w:type="page"/>
      </w:r>
    </w:p>
    <w:p>
      <w:pPr>
        <w:pStyle w:val="Heading2"/>
      </w:pPr>
      <w:r>
        <w:t>Table of Contents</w:t>
      </w:r>
    </w:p>
    <w:p>
      <w:r>
        <w:rPr>
          <w:i/>
          <w:color w:val="606060"/>
        </w:rPr>
        <w:t>[Auto-generate from headings in Word/Word Online after pasting: References → Table of Contents. Structure below.]</w:t>
      </w:r>
    </w:p>
    <w:p>
      <w:pPr>
        <w:pStyle w:val="ListNumber"/>
      </w:pPr>
      <w:r>
        <w:t>Introduction</w:t>
      </w:r>
    </w:p>
    <w:p>
      <w:pPr>
        <w:pStyle w:val="ListNumber"/>
      </w:pPr>
      <w:r>
        <w:t>Literature Review</w:t>
      </w:r>
    </w:p>
    <w:p>
      <w:pPr>
        <w:pStyle w:val="ListNumber"/>
      </w:pPr>
      <w:r>
        <w:t>Methodology</w:t>
      </w:r>
    </w:p>
    <w:p>
      <w:pPr>
        <w:pStyle w:val="ListNumber"/>
      </w:pPr>
      <w:r>
        <w:t>Experimentation</w:t>
      </w:r>
    </w:p>
    <w:p>
      <w:pPr>
        <w:pStyle w:val="ListNumber"/>
      </w:pPr>
      <w:r>
        <w:t>Conclusion</w:t>
      </w:r>
    </w:p>
    <w:p>
      <w:pPr>
        <w:spacing w:after="160"/>
      </w:pPr>
      <w:r>
        <w:t>References</w:t>
      </w:r>
    </w:p>
    <w:p>
      <w:pPr>
        <w:spacing w:after="160"/>
      </w:pPr>
      <w:r>
        <w:t>Appendices</w:t>
      </w:r>
    </w:p>
    <w:p>
      <w:r>
        <w:br w:type="page"/>
      </w:r>
    </w:p>
    <w:p>
      <w:pPr>
        <w:pStyle w:val="Heading2"/>
      </w:pPr>
      <w:r>
        <w:t>List of Tables and Figures</w:t>
      </w:r>
    </w:p>
    <w:p>
      <w:r>
        <w:rPr>
          <w:i/>
          <w:color w:val="606060"/>
        </w:rPr>
        <w:t>[Populate via Word's "Insert Caption" + "Insert Table of Figures" once tables/figures below are placed in the final document. Source data/images for each are cited inline in the relevant section — see `docs/results/`, `docs/verification/`, `docs/architecture.md`.]</w:t>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Term</w:t>
            </w:r>
          </w:p>
        </w:tc>
        <w:tc>
          <w:tcPr>
            <w:tcW w:type="dxa" w:w="4320"/>
            <w:shd w:val="clear" w:color="auto" w:fill="D9E2F3"/>
          </w:tcPr>
          <w:p>
            <w:r>
              <w:rPr>
                <w:b/>
              </w:rPr>
            </w:r>
            <w:r>
              <w:rPr>
                <w:b/>
              </w:rPr>
              <w:t>Meaning</w:t>
            </w:r>
          </w:p>
        </w:tc>
      </w:tr>
      <w:tr>
        <w:tc>
          <w:tcPr>
            <w:tcW w:type="dxa" w:w="4320"/>
          </w:tcPr>
          <w:p>
            <w:r/>
            <w:r>
              <w:t>CI</w:t>
            </w:r>
          </w:p>
        </w:tc>
        <w:tc>
          <w:tcPr>
            <w:tcW w:type="dxa" w:w="4320"/>
          </w:tcPr>
          <w:p>
            <w:r/>
            <w:r>
              <w:t>Continuous Integration — automated tests run on every code change (this project: GitHub Actions)</w:t>
            </w:r>
          </w:p>
        </w:tc>
      </w:tr>
      <w:tr>
        <w:tc>
          <w:tcPr>
            <w:tcW w:type="dxa" w:w="4320"/>
          </w:tcPr>
          <w:p>
            <w:r/>
            <w:r>
              <w:t>CONTRACT.md</w:t>
            </w:r>
          </w:p>
        </w:tc>
        <w:tc>
          <w:tcPr>
            <w:tcW w:type="dxa" w:w="4320"/>
          </w:tcPr>
          <w:p>
            <w:r/>
            <w:r>
              <w:t>This project's frozen interface specification between the Python training pipeline and the browser inference pipeline</w:t>
            </w:r>
          </w:p>
        </w:tc>
      </w:tr>
      <w:tr>
        <w:tc>
          <w:tcPr>
            <w:tcW w:type="dxa" w:w="4320"/>
          </w:tcPr>
          <w:p>
            <w:r/>
            <w:r>
              <w:t>CSP</w:t>
            </w:r>
          </w:p>
        </w:tc>
        <w:tc>
          <w:tcPr>
            <w:tcW w:type="dxa" w:w="4320"/>
          </w:tcPr>
          <w:p>
            <w:r/>
            <w:r>
              <w:t>Content Security Policy — a browser-enforced HTTP header restricting what a page is allowed to connect to</w:t>
            </w:r>
          </w:p>
        </w:tc>
      </w:tr>
      <w:tr>
        <w:tc>
          <w:tcPr>
            <w:tcW w:type="dxa" w:w="4320"/>
          </w:tcPr>
          <w:p>
            <w:r/>
            <w:r>
              <w:t>DAiSEE</w:t>
            </w:r>
          </w:p>
        </w:tc>
        <w:tc>
          <w:tcPr>
            <w:tcW w:type="dxa" w:w="4320"/>
          </w:tcPr>
          <w:p>
            <w:r/>
            <w:r>
              <w:t xml:space="preserve">Dataset for Affective States in E-Environments (Gupta </w:t>
            </w:r>
            <w:r>
              <w:rPr>
                <w:i/>
              </w:rPr>
              <w:t>et al.</w:t>
            </w:r>
            <w:r>
              <w:t>, 2016) — the video dataset this project trains on</w:t>
            </w:r>
          </w:p>
        </w:tc>
      </w:tr>
      <w:tr>
        <w:tc>
          <w:tcPr>
            <w:tcW w:type="dxa" w:w="4320"/>
          </w:tcPr>
          <w:p>
            <w:r/>
            <w:r>
              <w:t>EAR / MAR</w:t>
            </w:r>
          </w:p>
        </w:tc>
        <w:tc>
          <w:tcPr>
            <w:tcW w:type="dxa" w:w="4320"/>
          </w:tcPr>
          <w:p>
            <w:r/>
            <w:r>
              <w:t>Eye Aspect Ratio / Mouth Aspect Ratio — geometric ratios derived from facial landmark distances</w:t>
            </w:r>
          </w:p>
        </w:tc>
      </w:tr>
      <w:tr>
        <w:tc>
          <w:tcPr>
            <w:tcW w:type="dxa" w:w="4320"/>
          </w:tcPr>
          <w:p>
            <w:r/>
            <w:r>
              <w:t>Macro-F1</w:t>
            </w:r>
          </w:p>
        </w:tc>
        <w:tc>
          <w:tcPr>
            <w:tcW w:type="dxa" w:w="4320"/>
          </w:tcPr>
          <w:p>
            <w:r/>
            <w:r>
              <w:t>The F1 score (harmonic mean of precision and recall) averaged equally across classes, regardless of class size</w:t>
            </w:r>
          </w:p>
        </w:tc>
      </w:tr>
      <w:tr>
        <w:tc>
          <w:tcPr>
            <w:tcW w:type="dxa" w:w="4320"/>
          </w:tcPr>
          <w:p>
            <w:r/>
            <w:r>
              <w:t>ONNX</w:t>
            </w:r>
          </w:p>
        </w:tc>
        <w:tc>
          <w:tcPr>
            <w:tcW w:type="dxa" w:w="4320"/>
          </w:tcPr>
          <w:p>
            <w:r/>
            <w:r>
              <w:t>Open Neural Network Exchange — a portable format for trained model graphs</w:t>
            </w:r>
          </w:p>
        </w:tc>
      </w:tr>
      <w:tr>
        <w:tc>
          <w:tcPr>
            <w:tcW w:type="dxa" w:w="4320"/>
          </w:tcPr>
          <w:p>
            <w:r/>
            <w:r>
              <w:t>Parity gate</w:t>
            </w:r>
          </w:p>
        </w:tc>
        <w:tc>
          <w:tcPr>
            <w:tcW w:type="dxa" w:w="4320"/>
          </w:tcPr>
          <w:p>
            <w:r/>
            <w:r>
              <w:t>An automated test asserting that two independent implementations (here: Python and TypeScript feature extraction) produce numerically equivalent output</w:t>
            </w:r>
          </w:p>
        </w:tc>
      </w:tr>
      <w:tr>
        <w:tc>
          <w:tcPr>
            <w:tcW w:type="dxa" w:w="4320"/>
          </w:tcPr>
          <w:p>
            <w:r/>
            <w:r>
              <w:t>Quantization</w:t>
            </w:r>
          </w:p>
        </w:tc>
        <w:tc>
          <w:tcPr>
            <w:tcW w:type="dxa" w:w="4320"/>
          </w:tcPr>
          <w:p>
            <w:r/>
            <w:r>
              <w:t>Reducing a model's numeric precision (here: 32-bit floats to 8-bit integers) to shrink size and speed up inference</w:t>
            </w:r>
          </w:p>
        </w:tc>
      </w:tr>
      <w:tr>
        <w:tc>
          <w:tcPr>
            <w:tcW w:type="dxa" w:w="4320"/>
          </w:tcPr>
          <w:p>
            <w:r/>
            <w:r>
              <w:t>TCN</w:t>
            </w:r>
          </w:p>
        </w:tc>
        <w:tc>
          <w:tcPr>
            <w:tcW w:type="dxa" w:w="4320"/>
          </w:tcPr>
          <w:p>
            <w:r/>
            <w:r>
              <w:t>Temporal Convolutional Network — a 1-D dilated convolutional architecture for sequence modelling (Bai, Kolter and Koltun, 2018)</w:t>
            </w:r>
          </w:p>
        </w:tc>
      </w:tr>
      <w:tr>
        <w:tc>
          <w:tcPr>
            <w:tcW w:type="dxa" w:w="4320"/>
          </w:tcPr>
          <w:p>
            <w:r/>
            <w:r>
              <w:t>WASM</w:t>
            </w:r>
          </w:p>
        </w:tc>
        <w:tc>
          <w:tcPr>
            <w:tcW w:type="dxa" w:w="4320"/>
          </w:tcPr>
          <w:p>
            <w:r/>
            <w: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i/>
        </w:rPr>
        <w:t>automatic</w:t>
      </w:r>
      <w: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t>Almost all of that research, however, shares an architectural assumption that this project treats as the actual problem to be solved rather than a detail to work around: the video is processed somewhere other than the device that captured it. Facial-analysis pipelines built on OpenFace, cloud vision APIs, or server-hosted deep networks require the raw frame — or at minimum a detailed feature representation of a person's face — to leave the user's machine (Santoni, Basaruddin and Junus, 2023). For a system whose entire purpose is to continuously watch a learner's face, that is a significant and often under-examined privacy cost, one that is easy to defer as "someone else's problem" (a data-handling policy, a consent form) rather than solve as an engineering constraint.</w:t>
      </w:r>
    </w:p>
    <w:p>
      <w:pPr>
        <w:spacing w:after="160"/>
      </w:pPr>
      <w:r>
        <w:t>The stakes of that cost are not abstract. A continuous facial-monitoring stream is one of the more sensitive categories of personal data a learning platform could plausibly collect — it can reveal far more than engagement level alone (identity, presence, emotional state, and, incidentally, whoever else is in frame, Section 4.6.2), and once such a stream leaves a user's device, the learner has no further practical control over its retention, secondary use, or exposure in a breach. Server-side engagement-detection deployments therefore inherit the full weight of data-protection obligations — consent management, retention policy, breach liability — that an architecture in which the sensitive data never leaves the device in the first place does not need to solve after the fact, because there is nothing transmitted to protect. This project's motivation is the observation that, for this specific task, avoiding that obligation entirely by construction is technically achievable with current browser ML tooling (Section 2.5), and is worth demonstrating as a complete, working, and — the point this whole report returns to repeatedly — independently verified system, rather than left as a plausible-sounding architectural aspiration.</w:t>
      </w:r>
    </w:p>
    <w:p>
      <w:pPr>
        <w:pStyle w:val="Heading2"/>
      </w:pPr>
      <w:r>
        <w:t>1.2 Specific Area of Problem</w:t>
      </w:r>
    </w:p>
    <w:p>
      <w:pPr>
        <w:spacing w:after="160"/>
      </w:pPr>
      <w:r>
        <w:t xml:space="preserve">This project narrows that broad concern to a concrete, testable engineering question: </w:t>
      </w:r>
      <w:r>
        <w:rPr>
          <w:b/>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sz w:val="20"/>
        </w:rPr>
        <w:t>docs/privacy.md</w:t>
      </w:r>
      <w:r>
        <w:t>) rather than a sentence in a README.</w:t>
      </w:r>
    </w:p>
    <w:p>
      <w:pPr>
        <w:pStyle w:val="Heading2"/>
      </w:pPr>
      <w:r>
        <w:t>1.3 Framing as a Computer/Data Science Problem</w:t>
      </w:r>
    </w:p>
    <w:p>
      <w:pPr>
        <w:spacing w:after="160"/>
      </w:pPr>
      <w:r>
        <w:t>Reduced to its computational form, the problem has three coupled parts, each with its own well-established sub-field:</w:t>
      </w:r>
    </w:p>
    <w:p>
      <w:pPr>
        <w:pStyle w:val="ListNumber"/>
      </w:pPr>
      <w:r>
        <w:rPr>
          <w:b/>
        </w:rPr>
        <w:t>A supervised sequence-classification problem.</w:t>
      </w:r>
      <w: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pPr>
      <w:r>
        <w:rPr>
          <w:b/>
        </w:rPr>
        <w:t>A cross-language numerical-equivalence problem.</w:t>
      </w:r>
      <w: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pPr>
      <w:r>
        <w:rPr>
          <w:b/>
        </w:rPr>
        <w:t>A model-compression and edge-deployment problem.</w:t>
      </w:r>
      <w: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t>Specific, measurable, achievable, relevant, time-bound (S.M.A.R.T.) objectives, as executed against a 20-day build plan (</w:t>
      </w:r>
      <w:r>
        <w:rPr>
          <w:rFonts w:ascii="Consolas" w:hAnsi="Consolas"/>
          <w:sz w:val="20"/>
        </w:rPr>
        <w:t>BUILD_PLAN_1.md</w:t>
      </w:r>
      <w:r>
        <w:t>) and a subsequent verification/hardening pass (</w:t>
      </w:r>
      <w:r>
        <w:rPr>
          <w:rFonts w:ascii="Consolas" w:hAnsi="Consolas"/>
          <w:sz w:val="20"/>
        </w:rPr>
        <w:t>GAP_CLOSURE_PLAN.md</w:t>
      </w:r>
      <w:r>
        <w:t xml:space="preserve">, </w:t>
      </w:r>
      <w:r>
        <w:rPr>
          <w:rFonts w:ascii="Consolas" w:hAnsi="Consolas"/>
          <w:sz w:val="20"/>
        </w:rPr>
        <w:t>PROJECT_COMPLETION_PLAN.md</w:t>
      </w:r>
      <w:r>
        <w:t>):</w:t>
      </w:r>
    </w:p>
    <w:p>
      <w:pPr>
        <w:pStyle w:val="ListBullet"/>
      </w:pPr>
      <w:r>
        <w:rPr>
          <w:b/>
        </w:rPr>
        <w:t>O1.</w:t>
      </w:r>
      <w:r>
        <w:t xml:space="preserve"> Implement a 13-feature facial geometry extractor, identical in Python and TypeScript to within a max-absolute-difference tolerance of 0.02 per feature, verified by an automated cross-language test — </w:t>
      </w:r>
      <w:r>
        <w:rPr>
          <w:i/>
        </w:rPr>
        <w:t>achieved, Section 4 Experiment 1</w:t>
      </w:r>
      <w:r>
        <w:t>.</w:t>
      </w:r>
    </w:p>
    <w:p>
      <w:pPr>
        <w:pStyle w:val="ListBullet"/>
      </w:pPr>
      <w:r>
        <w:rPr>
          <w:b/>
        </w:rPr>
        <w:t>O2.</w:t>
      </w:r>
      <w:r>
        <w:t xml:space="preserve"> Train a temporal model on the DAiSEE dataset that beats a majority-class baseline and two classical-ML baselines on validation macro-F1 — </w:t>
      </w:r>
      <w:r>
        <w:rPr>
          <w:i/>
        </w:rPr>
        <w:t>achieved, Section 4 Experiments 2–3</w:t>
      </w:r>
      <w:r>
        <w:t>.</w:t>
      </w:r>
    </w:p>
    <w:p>
      <w:pPr>
        <w:pStyle w:val="ListBullet"/>
      </w:pPr>
      <w:r>
        <w:rPr>
          <w:b/>
        </w:rPr>
        <w:t>O3.</w:t>
      </w:r>
      <w:r>
        <w:t xml:space="preserve"> Quantize the trained model to int8 and ship it inside a browser application that reaches "live" (camera → landmarks → features → inference → UI) end-to-end, with a measured inference latency compatible with real-time use — </w:t>
      </w:r>
      <w:r>
        <w:rPr>
          <w:i/>
        </w:rPr>
        <w:t>achieved, Section 4 Experiments 3, 5</w:t>
      </w:r>
      <w:r>
        <w:t>.</w:t>
      </w:r>
    </w:p>
    <w:p>
      <w:pPr>
        <w:pStyle w:val="ListBullet"/>
      </w:pPr>
      <w:r>
        <w:rPr>
          <w:b/>
        </w:rPr>
        <w:t>O4.</w:t>
      </w:r>
      <w:r>
        <w:t xml:space="preserve"> Produce direct, recorded evidence for the privacy claim (a network trace of a live session), not an assertion — </w:t>
      </w:r>
      <w:r>
        <w:rPr>
          <w:i/>
        </w:rPr>
        <w:t>achieved, Section 4 Experiment 4</w:t>
      </w:r>
      <w:r>
        <w:t>.</w:t>
      </w:r>
    </w:p>
    <w:p>
      <w:pPr>
        <w:pStyle w:val="ListBullet"/>
      </w:pPr>
      <w:r>
        <w:rPr>
          <w:b/>
        </w:rPr>
        <w:t>O5.</w:t>
      </w:r>
      <w:r>
        <w:t xml:space="preserve"> Verify the system survives realistic deployment conditions — a clean install on an unmodified machine, more than one browser engine, and deliberately adverse camera conditions (no face, multiple faces, poor lighting, glasses) — </w:t>
      </w:r>
      <w:r>
        <w:rPr>
          <w:i/>
        </w:rPr>
        <w:t>achieved, Section 4 Experiment 6</w:t>
      </w:r>
      <w:r>
        <w:t>.</w:t>
      </w:r>
    </w:p>
    <w:p>
      <w:pPr>
        <w:pStyle w:val="Heading2"/>
      </w:pPr>
      <w:r>
        <w:t>1.5 Dataset Details and Exploratory Data Analysis</w:t>
      </w:r>
    </w:p>
    <w:p>
      <w:pPr>
        <w:spacing w:after="160"/>
      </w:pPr>
      <w:r>
        <w:t xml:space="preserve">The project trains on </w:t>
      </w:r>
      <w:r>
        <w:rPr>
          <w:b/>
        </w:rPr>
        <w:t>DAiSEE</w:t>
      </w:r>
      <w:r>
        <w:t xml:space="preserve"> (Dataset for Affective States in E-Environments; Gupta </w:t>
      </w:r>
      <w:r>
        <w:rPr>
          <w:i/>
        </w:rPr>
        <w:t>et al.</w:t>
      </w:r>
      <w: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w:t>
      </w:r>
    </w:p>
    <w:p>
      <w:pPr>
        <w:jc w:val="center"/>
      </w:pPr>
      <w:r>
        <w:rPr>
          <w:b/>
        </w:rPr>
        <w:t>Pre-processing pipeline (executed once, `ml/src/extract.py`; full parameters and results in `docs/results/extraction_stats.json`):</w:t>
      </w:r>
    </w:p>
    <w:p>
      <w:pPr>
        <w:pStyle w:val="ListBullet"/>
      </w:pPr>
      <w:r>
        <w:t>Of the clips present on disk, 9,032 were processed successfully (0 failures) across the dataset's official Train / Validation / Test folders (5,446 / 1,720 / 1,866 clips respectively) — the official DAiSEE split is used unmodified specifically so results remain comparable to the published benchmark, rather than re-splitting.</w:t>
      </w:r>
    </w:p>
    <w:p>
      <w:pPr>
        <w:pStyle w:val="ListBullet"/>
      </w:pPr>
      <w:r>
        <w:t xml:space="preserve">Each clip was sampled at 10 FPS (every third frame of the native ~30 FPS source) and run through a MediaPipe FaceLandmarker to extract 478 facial landmarks (Kartynnik </w:t>
      </w:r>
      <w:r>
        <w:rPr>
          <w:i/>
        </w:rPr>
        <w:t>et al.</w:t>
      </w:r>
      <w:r>
        <w:t>, 2019) per sampled frame.</w:t>
      </w:r>
    </w:p>
    <w:p>
      <w:pPr>
        <w:pStyle w:val="ListBullet"/>
      </w:pPr>
      <w:r>
        <w:rPr>
          <w:b/>
        </w:rPr>
        <w:t>Face-detection rate: 99.96%</w:t>
      </w:r>
      <w: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t xml:space="preserve">Each clip's ~100 per-frame feature rows were windowed with a stride of 10 over a 30-frame (3.0 s) span, yielding roughly 8 overlapping windows per clip; </w:t>
      </w:r>
      <w:r>
        <w:rPr>
          <w:b/>
        </w:rPr>
        <w:t>42,856 / 11,432 / 14,241 windows</w:t>
      </w:r>
      <w:r>
        <w:t xml:space="preserve"> for Train / Validation / Test respectively.</w:t>
      </w:r>
    </w:p>
    <w:p>
      <w:pPr>
        <w:spacing w:after="160"/>
      </w:pPr>
      <w:r>
        <w:rPr>
          <w:b/>
        </w:rPr>
        <w:t>Class imbalance — the central empirical fact shaping every later decision (labels via `ml/src/labels.py`; exact support counts from `docs/results/metrics_test.csv`):</w:t>
      </w:r>
      <w: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not a modelling detail, but a property of how engagement actually distributes in a real classroom population, most students most of the time are at least moderately engaged — is the reason this report evaluates everything in macro-F1 rather than accuracy (Section 3.1), why the training loss uses inverse-frequency class weighting (Section 3.2), and why a merged "3-class" metric (0+1 collapsed into a single "low" class) is reported alongside the primary 4-class metric throughout Section 4: with only 4 test clips in the rarest class, its individual precision/recall are close to statistically meaningless on their own, and reporting that plainly is preferable to letting a single misleadingly precise-looking number stand unexplained.</w:t>
      </w:r>
    </w:p>
    <w:p>
      <w:r>
        <w:rPr>
          <w:i/>
          <w:color w:val="606060"/>
        </w:rPr>
        <w:t>[Figure 1.1: class distribution bar chart, `docs/results/class_dist.png` — insert here]</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rPr>
        <w:t>eye aspect ratio (EAR)</w:t>
      </w:r>
      <w:r>
        <w:t xml:space="preserve"> of Soukupová and Čech (2016): a scalar computed from six landmarks around each eye, </w:t>
      </w:r>
      <w:r>
        <w:rPr>
          <w:rFonts w:ascii="Consolas" w:hAnsi="Consolas"/>
          <w:sz w:val="20"/>
        </w:rPr>
        <w:t>(|p2−p6| + |p3−p5|) / (2|p1−p4|)</w:t>
      </w:r>
      <w: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t>This project adopts the EAR formula from Soukupová and Čech (2016) essentially unchanged (</w:t>
      </w:r>
      <w:r>
        <w:rPr>
          <w:rFonts w:ascii="Consolas" w:hAnsi="Consolas"/>
          <w:sz w:val="20"/>
        </w:rPr>
        <w:t>ml/src/features.py</w:t>
      </w:r>
      <w:r>
        <w:t xml:space="preserve">, </w:t>
      </w:r>
      <w:r>
        <w:rPr>
          <w:rFonts w:ascii="Consolas" w:hAnsi="Consolas"/>
          <w:sz w:val="20"/>
        </w:rPr>
        <w:t>eye_aspect_ratio</w:t>
      </w:r>
      <w: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i/>
        </w:rPr>
        <w:t>second, independent implementation</w:t>
      </w:r>
      <w: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rPr>
        <w:t>MediaPipe Face Mesh</w:t>
      </w:r>
      <w:r>
        <w:t xml:space="preserve"> (Kartynnik </w:t>
      </w:r>
      <w:r>
        <w:rPr>
          <w:i/>
        </w:rPr>
        <w:t>et al.</w:t>
      </w:r>
      <w:r>
        <w:t xml:space="preserve">, 2019) is a neural-network-based model that predicts an approximate 3-D mesh of 468 surface points from a single RGB frame, running in real time on mobile GPUs without specialised hardware; </w:t>
      </w:r>
      <w:r>
        <w:rPr>
          <w:b/>
        </w:rPr>
        <w:t>MediaPipe Iris</w:t>
      </w:r>
      <w:r>
        <w:t xml:space="preserve"> extends the same framework with dedicated iris-landmark prediction, enabling gaze- and depth-related features from a standard webcam (research.google, cited in Section 2.2 discussion). Separately, classical head-pose estimation typically solves the </w:t>
      </w:r>
      <w:r>
        <w:rPr>
          <w:b/>
        </w:rPr>
        <w:t>Perspective-n-Point (PnP)</w:t>
      </w:r>
      <w: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i/>
        </w:rPr>
        <w:t>n</w:t>
      </w:r>
      <w:r>
        <w:t xml:space="preserve"> to linear while retaining accuracy.</w:t>
      </w:r>
    </w:p>
    <w:p>
      <w:pPr>
        <w:pStyle w:val="Heading3"/>
      </w:pPr>
      <w:r>
        <w:t>2.2.2 Fit with this project's methodology</w:t>
      </w:r>
    </w:p>
    <w:p>
      <w:pPr>
        <w:spacing w:after="160"/>
      </w:pPr>
      <w:r>
        <w:t xml:space="preserve">This project uses MediaPipe's Tasks API </w:t>
      </w:r>
      <w:r>
        <w:rPr>
          <w:rFonts w:ascii="Consolas" w:hAnsi="Consolas"/>
          <w:sz w:val="20"/>
        </w:rPr>
        <w:t>FaceLandmarker</w:t>
      </w:r>
      <w:r>
        <w:t xml:space="preserve">, built on the Kartynnik </w:t>
      </w:r>
      <w:r>
        <w:rPr>
          <w:i/>
        </w:rPr>
        <w:t>et al.</w:t>
      </w:r>
      <w:r>
        <w:t xml:space="preserve"> (2019) mesh model extended to 478 points (468 surface + 10 iris), on </w:t>
      </w:r>
      <w:r>
        <w:rPr>
          <w:b/>
        </w:rPr>
        <w:t>both</w:t>
      </w:r>
      <w:r>
        <w:t xml:space="preserve"> sides of the pipeline (Python, via </w:t>
      </w:r>
      <w:r>
        <w:rPr>
          <w:rFonts w:ascii="Consolas" w:hAnsi="Consolas"/>
          <w:sz w:val="20"/>
        </w:rPr>
        <w:t>mediapipe.tasks.python</w:t>
      </w:r>
      <w:r>
        <w:t xml:space="preserve">, and browser, via </w:t>
      </w:r>
      <w:r>
        <w:rPr>
          <w:rFonts w:ascii="Consolas" w:hAnsi="Consolas"/>
          <w:sz w:val="20"/>
        </w:rPr>
        <w:t>@mediapipe/tasks-vision</w:t>
      </w:r>
      <w: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t xml:space="preserve">Head pose is the one area where this project deliberately does </w:t>
      </w:r>
      <w:r>
        <w:rPr>
          <w:b/>
        </w:rPr>
        <w:t>not</w:t>
      </w:r>
      <w:r>
        <w:t xml:space="preserve"> follow the dominant prior approach. A true PnP solution (EPnP or otherwise) requires </w:t>
      </w:r>
      <w:r>
        <w:rPr>
          <w:rFonts w:ascii="Consolas" w:hAnsi="Consolas"/>
          <w:sz w:val="20"/>
        </w:rPr>
        <w:t>cv2.solvePnP</w:t>
      </w:r>
      <w:r>
        <w:t xml:space="preserve"> on the Python side and an equivalent on the browser side; the only practical browser equivalent, </w:t>
      </w:r>
      <w:r>
        <w:rPr>
          <w:rFonts w:ascii="Consolas" w:hAnsi="Consolas"/>
          <w:sz w:val="20"/>
        </w:rPr>
        <w:t>opencv.js</w:t>
      </w:r>
      <w:r>
        <w:t xml:space="preserve">, costs roughly 8 MB of additional WASM purely to obtain three Euler angles — disproportionate for an application whose entire premise is a minimal footprint. Instead, yaw, pitch, and roll are computed as </w:t>
      </w:r>
      <w:r>
        <w:rPr>
          <w:b/>
        </w:rPr>
        <w:t>geometric pose proxies</w:t>
      </w:r>
      <w: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t xml:space="preserve">Two DAiSEE-specific prior works are directly comparable to this project's approach. Abedi and Khan (2021) combine a 2-D ResNet spatial encoder with a </w:t>
      </w:r>
      <w:r>
        <w:rPr>
          <w:b/>
        </w:rPr>
        <w:t>Temporal Convolutional Network (TCN)</w:t>
      </w:r>
      <w: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t xml:space="preserve">This project's architecture (Section 3, </w:t>
      </w:r>
      <w:r>
        <w:rPr>
          <w:rFonts w:ascii="Consolas" w:hAnsi="Consolas"/>
          <w:sz w:val="20"/>
        </w:rPr>
        <w:t>ml/src/model.py</w:t>
      </w:r>
      <w: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i/>
        </w:rPr>
        <w:t>accuracy</w:t>
      </w:r>
      <w: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t xml:space="preserve">Jacob </w:t>
      </w:r>
      <w:r>
        <w:rPr>
          <w:i/>
        </w:rPr>
        <w:t>et al.</w:t>
      </w:r>
      <w: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(e.g. work on just-in-time kernel optimisation for in-browser deep learning on edge devices)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t xml:space="preserve">This project applies </w:t>
      </w:r>
      <w:r>
        <w:rPr>
          <w:b/>
        </w:rPr>
        <w:t>static QDQ int8 quantization</w:t>
      </w:r>
      <w:r>
        <w:t xml:space="preserve"> (via ONNX Runtime's </w:t>
      </w:r>
      <w:r>
        <w:rPr>
          <w:rFonts w:ascii="Consolas" w:hAnsi="Consolas"/>
          <w:sz w:val="20"/>
        </w:rPr>
        <w:t>quantize_static</w:t>
      </w:r>
      <w:r>
        <w:t xml:space="preserve">, </w:t>
      </w:r>
      <w:r>
        <w:rPr>
          <w:rFonts w:ascii="Consolas" w:hAnsi="Consolas"/>
          <w:sz w:val="20"/>
        </w:rPr>
        <w:t>ml/src/export.py</w:t>
      </w:r>
      <w:r>
        <w:t xml:space="preserve">) in the spirit of Jacob </w:t>
      </w:r>
      <w:r>
        <w:rPr>
          <w:i/>
        </w:rPr>
        <w:t>et al.</w:t>
      </w:r>
      <w: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rPr>
        <w:t>dynamic</w:t>
      </w:r>
      <w:r>
        <w:t xml:space="preserve"> quantization produced a model that loaded but could not execute in onnxruntime-web's WASM backend, because dynamic quantization emits </w:t>
      </w:r>
      <w:r>
        <w:rPr>
          <w:rFonts w:ascii="Consolas" w:hAnsi="Consolas"/>
          <w:sz w:val="20"/>
        </w:rPr>
        <w:t>ConvInteger</w:t>
      </w:r>
      <w:r>
        <w:t xml:space="preserve"> operator nodes that onnxruntime-web does not implement, whereas static QDQ quantization emits </w:t>
      </w:r>
      <w:r>
        <w:rPr>
          <w:rFonts w:ascii="Consolas" w:hAnsi="Consolas"/>
          <w:sz w:val="20"/>
        </w:rPr>
        <w:t>QLinearConv</w:t>
      </w:r>
      <w:r>
        <w:t xml:space="preserve"> nodes, which it does. This was discovered empirically via a dedicated browser-execution smoke test (</w:t>
      </w:r>
      <w:r>
        <w:rPr>
          <w:rFonts w:ascii="Consolas" w:hAnsi="Consolas"/>
          <w:sz w:val="20"/>
        </w:rPr>
        <w:t>ml/scripts/browser_tests.py</w:t>
      </w:r>
      <w: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Synthesis: Positioning This Project Within the Literature</w:t>
      </w:r>
    </w:p>
    <w:p>
      <w:pPr>
        <w:spacing w:after="160"/>
      </w:pPr>
      <w: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work surveyed here occupies quite the same position this project does: a geometric-feature-plus-TCN combination, deployed and benchmarked as a genuinely running, quantized, client-side browser application rather than evaluated only offline in Python, with the cross-language equivalence between training and inference treated as a measured, tested property rather than an implicit assumption. This is not offered as a claim that this project's approach is strictly superior to the deep end-to-end alternatives — Section 4.3.3's direct comparison against Abedi and Khan (2021) shows plainly that it is not, on raw predictive performance — but as the specific, narrower research niche this project occupies: privacy-preserving, edge-verifiable engagement inference, where the two literatures reviewed above (engagement recognition, and edge/on-device ML deployment) are each individually well established but rarely combined with this level of end-to-end, browser-deployed rigour in the DAiSEE literature specifically. The class-imbalance and annotation-validity threads (Sections 2.3.2, 2.4) apply to this project exactly as they apply to the prior work reviewed, and are treated identically — named, measured, and reported rather than designed around silently.</w:t>
      </w:r>
    </w:p>
    <w:p>
      <w:r>
        <w:br w:type="page"/>
      </w:r>
    </w:p>
    <w:p>
      <w:pPr>
        <w:pStyle w:val="Heading1"/>
      </w:pPr>
      <w:r>
        <w:t>3. Methodology</w:t>
      </w:r>
    </w:p>
    <w:p>
      <w:pPr>
        <w:pStyle w:val="Heading2"/>
      </w:pPr>
      <w:r>
        <w:t>3.1 List of Requirements</w:t>
      </w:r>
    </w:p>
    <w:p>
      <w:pPr>
        <w:spacing w:after="160"/>
      </w:pPr>
      <w:r>
        <w:t>Derived directly from the dataset properties established in Section 1.5 and the prior-work gaps identified in Section 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Requirement</w:t>
            </w:r>
          </w:p>
        </w:tc>
        <w:tc>
          <w:tcPr>
            <w:tcW w:type="dxa" w:w="2880"/>
            <w:shd w:val="clear" w:color="auto" w:fill="D9E2F3"/>
          </w:tcPr>
          <w:p>
            <w:r>
              <w:rPr>
                <w:b/>
              </w:rPr>
            </w:r>
            <w:r>
              <w:rPr>
                <w:b/>
              </w:rPr>
              <w:t>Source</w:t>
            </w:r>
          </w:p>
        </w:tc>
      </w:tr>
      <w:tr>
        <w:tc>
          <w:tcPr>
            <w:tcW w:type="dxa" w:w="2880"/>
          </w:tcPr>
          <w:p>
            <w:r/>
            <w:r>
              <w:t>R1</w:t>
            </w:r>
          </w:p>
        </w:tc>
        <w:tc>
          <w:tcPr>
            <w:tcW w:type="dxa" w:w="2880"/>
          </w:tcPr>
          <w:p>
            <w:r/>
            <w:r>
              <w:t>Feature extraction must be numerically reproducible across two independent language implementations (Python training, TypeScript inference), to a documented, empirically-justified tolerance</w:t>
            </w:r>
          </w:p>
        </w:tc>
        <w:tc>
          <w:tcPr>
            <w:tcW w:type="dxa" w:w="2880"/>
          </w:tcPr>
          <w:p>
            <w:r/>
            <w:r>
              <w:t>Section 1.3(2); no equivalent guarantee exists for raw-pixel deep features (Section 2.1.2)</w:t>
            </w:r>
          </w:p>
        </w:tc>
      </w:tr>
      <w:tr>
        <w:tc>
          <w:tcPr>
            <w:tcW w:type="dxa" w:w="2880"/>
          </w:tcPr>
          <w:p>
            <w:r/>
            <w:r>
              <w:t>R2</w:t>
            </w:r>
          </w:p>
        </w:tc>
        <w:tc>
          <w:tcPr>
            <w:tcW w:type="dxa" w:w="2880"/>
          </w:tcPr>
          <w:p>
            <w:r/>
            <w:r>
              <w:t>The trained model must be evaluated primarily on macro-F1, not accuracy, given the ≈0.22% prevalence of the rarest class</w:t>
            </w:r>
          </w:p>
        </w:tc>
        <w:tc>
          <w:tcPr>
            <w:tcW w:type="dxa" w:w="2880"/>
          </w:tcPr>
          <w:p>
            <w:r/>
            <w:r>
              <w:t>Section 1.5</w:t>
            </w:r>
          </w:p>
        </w:tc>
      </w:tr>
      <w:tr>
        <w:tc>
          <w:tcPr>
            <w:tcW w:type="dxa" w:w="2880"/>
          </w:tcPr>
          <w:p>
            <w:r/>
            <w:r>
              <w:t>R3</w:t>
            </w:r>
          </w:p>
        </w:tc>
        <w:tc>
          <w:tcPr>
            <w:tcW w:type="dxa" w:w="2880"/>
          </w:tcPr>
          <w:p>
            <w:r/>
            <w:r>
              <w:t>The training objective must explicitly counteract class imbalance, not rely on the optimiser discovering minority classes unaided</w:t>
            </w:r>
          </w:p>
        </w:tc>
        <w:tc>
          <w:tcPr>
            <w:tcW w:type="dxa" w:w="2880"/>
          </w:tcPr>
          <w:p>
            <w:r/>
            <w:r>
              <w:t>Section 1.5, Section 2.3.2</w:t>
            </w:r>
          </w:p>
        </w:tc>
      </w:tr>
      <w:tr>
        <w:tc>
          <w:tcPr>
            <w:tcW w:type="dxa" w:w="2880"/>
          </w:tcPr>
          <w:p>
            <w:r/>
            <w:r>
              <w:t>R4</w:t>
            </w:r>
          </w:p>
        </w:tc>
        <w:tc>
          <w:tcPr>
            <w:tcW w:type="dxa" w:w="2880"/>
          </w:tcPr>
          <w:p>
            <w:r/>
            <w:r>
              <w:t>The exported model must run inside a browser WASM runtime, not merely inside Python ONNX Runtime</w:t>
            </w:r>
          </w:p>
        </w:tc>
        <w:tc>
          <w:tcPr>
            <w:tcW w:type="dxa" w:w="2880"/>
          </w:tcPr>
          <w:p>
            <w:r/>
            <w:r>
              <w:t>Section 2.5.2 (the dynamic-quantization finding demonstrates these are not equivalent)</w:t>
            </w:r>
          </w:p>
        </w:tc>
      </w:tr>
      <w:tr>
        <w:tc>
          <w:tcPr>
            <w:tcW w:type="dxa" w:w="2880"/>
          </w:tcPr>
          <w:p>
            <w:r/>
            <w:r>
              <w:t>R5</w:t>
            </w:r>
          </w:p>
        </w:tc>
        <w:tc>
          <w:tcPr>
            <w:tcW w:type="dxa" w:w="2880"/>
          </w:tcPr>
          <w:p>
            <w:r/>
            <w:r>
              <w:t>No frame of video, no derived feature, and no prediction may be transmitted off-device at any point, and this must be independently verified, not merely designed for</w:t>
            </w:r>
          </w:p>
        </w:tc>
        <w:tc>
          <w:tcPr>
            <w:tcW w:type="dxa" w:w="2880"/>
          </w:tcPr>
          <w:p>
            <w:r/>
            <w:r>
              <w:t>Section 1.2</w:t>
            </w:r>
          </w:p>
        </w:tc>
      </w:tr>
      <w:tr>
        <w:tc>
          <w:tcPr>
            <w:tcW w:type="dxa" w:w="2880"/>
          </w:tcPr>
          <w:p>
            <w:r/>
            <w:r>
              <w:t>R6</w:t>
            </w:r>
          </w:p>
        </w:tc>
        <w:tc>
          <w:tcPr>
            <w:tcW w:type="dxa" w:w="2880"/>
          </w:tcPr>
          <w:p>
            <w:r/>
            <w:r>
              <w:t xml:space="preserve">Head pose must be computed without adding a heavyweight browser dependency (ruling out </w:t>
            </w:r>
            <w:r>
              <w:rPr>
                <w:rFonts w:ascii="Consolas" w:hAnsi="Consolas"/>
                <w:sz w:val="20"/>
              </w:rPr>
              <w:t>cv2.solvePnP</w:t>
            </w:r>
            <w:r>
              <w:t>/</w:t>
            </w:r>
            <w:r>
              <w:rPr>
                <w:rFonts w:ascii="Consolas" w:hAnsi="Consolas"/>
                <w:sz w:val="20"/>
              </w:rPr>
              <w:t>opencv.js</w:t>
            </w:r>
            <w:r>
              <w:t>)</w:t>
            </w:r>
          </w:p>
        </w:tc>
        <w:tc>
          <w:tcPr>
            <w:tcW w:type="dxa" w:w="2880"/>
          </w:tcPr>
          <w:p>
            <w:r/>
            <w:r>
              <w:t>Section 2.2.2</w:t>
            </w:r>
          </w:p>
        </w:tc>
      </w:tr>
      <w:tr>
        <w:tc>
          <w:tcPr>
            <w:tcW w:type="dxa" w:w="2880"/>
          </w:tcPr>
          <w:p>
            <w:r/>
            <w:r>
              <w:t>R7</w:t>
            </w:r>
          </w:p>
        </w:tc>
        <w:tc>
          <w:tcPr>
            <w:tcW w:type="dxa" w:w="2880"/>
          </w:tcPr>
          <w:p>
            <w:r/>
            <w:r>
              <w:t>The DAiSEE official Train/Validation/Test split must be preserved unmodified, with zero clip-ID leakage across splits, to remain comparable to the published benchmark and prior work (Section 2.3)</w:t>
            </w:r>
          </w:p>
        </w:tc>
        <w:tc>
          <w:tcPr>
            <w:tcW w:type="dxa" w:w="2880"/>
          </w:tcPr>
          <w:p>
            <w:r/>
            <w:r>
              <w:t>Section 1.5</w:t>
            </w:r>
          </w:p>
        </w:tc>
      </w:tr>
    </w:tbl>
    <w:p/>
    <w:p>
      <w:pPr>
        <w:pStyle w:val="Heading2"/>
      </w:pPr>
      <w:r>
        <w:t>3.2 Methodology: a Two-Track Contract-Driven Pipeline</w:t>
      </w:r>
    </w:p>
    <w:p>
      <w:pPr>
        <w:spacing w:after="160"/>
      </w:pPr>
      <w:r>
        <w:t xml:space="preserve">The project's own name for its methodology, used consistently throughout its own build documentation, is </w:t>
      </w:r>
      <w:r>
        <w:rPr>
          <w:b/>
        </w:rPr>
        <w:t>"contract-driven parallel development"</w:t>
      </w:r>
      <w:r>
        <w:t>: rather than a single linear pipeline, two independently developed tracks — a Python training pipeline ("Track A") and a TypeScript browser-inference pipeline ("Track B") — are built in parallel against a single frozen specification document (</w:t>
      </w:r>
      <w:r>
        <w:rPr>
          <w:rFonts w:ascii="Consolas" w:hAnsi="Consolas"/>
          <w:sz w:val="20"/>
        </w:rPr>
        <w:t>CONTRACT.md</w:t>
      </w:r>
      <w:r>
        <w:t>), with an automated numerical-equivalence test (R1) as the mechanism that lets both tracks proceed without waiting on each other while still guaranteeing they end up compatible. This is closer to a contract-first API-development pattern borrowed from software engineering than to a conventional single-track ML pipeline, and it is the direct methodological answer to the train/serve-skew risk named as the highest-likelihood risk in this project's own risk register (</w:t>
      </w:r>
      <w:r>
        <w:rPr>
          <w:rFonts w:ascii="Consolas" w:hAnsi="Consolas"/>
          <w:sz w:val="20"/>
        </w:rPr>
        <w:t>BUILD_PLAN_1.md</w:t>
      </w:r>
      <w:r>
        <w:t xml:space="preserve"> §8).</w:t>
      </w:r>
    </w:p>
    <w:p>
      <w:pPr>
        <w:pStyle w:val="Heading3"/>
      </w:pPr>
      <w:r>
        <w:t>3.2.1 Pre-existing methodology used</w:t>
      </w:r>
    </w:p>
    <w:p>
      <w:pPr>
        <w:spacing w:after="160"/>
      </w:pPr>
      <w: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t>Thirteen features are computed per frame, identically specified for both language implementations (</w:t>
      </w:r>
      <w:r>
        <w:rPr>
          <w:rFonts w:ascii="Consolas" w:hAnsi="Consolas"/>
          <w:sz w:val="20"/>
        </w:rPr>
        <w:t>CONTRACT.md</w:t>
      </w:r>
      <w:r>
        <w:t xml:space="preserve"> §2; reference implementation </w:t>
      </w:r>
      <w:r>
        <w:rPr>
          <w:rFonts w:ascii="Consolas" w:hAnsi="Consolas"/>
          <w:sz w:val="20"/>
        </w:rPr>
        <w:t>ml/src/features.py</w:t>
      </w:r>
      <w:r>
        <w:t xml:space="preserve">; browser port </w:t>
      </w:r>
      <w:r>
        <w:rPr>
          <w:rFonts w:ascii="Consolas" w:hAnsi="Consolas"/>
          <w:sz w:val="20"/>
        </w:rPr>
        <w:t>web/lib/features.ts</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w:t>
            </w:r>
          </w:p>
        </w:tc>
        <w:tc>
          <w:tcPr>
            <w:tcW w:type="dxa" w:w="2880"/>
            <w:shd w:val="clear" w:color="auto" w:fill="D9E2F3"/>
          </w:tcPr>
          <w:p>
            <w:r>
              <w:rPr>
                <w:b/>
              </w:rPr>
            </w:r>
            <w:r>
              <w:rPr>
                <w:b/>
              </w:rPr>
              <w:t>Feature</w:t>
            </w:r>
          </w:p>
        </w:tc>
        <w:tc>
          <w:tcPr>
            <w:tcW w:type="dxa" w:w="2880"/>
            <w:shd w:val="clear" w:color="auto" w:fill="D9E2F3"/>
          </w:tcPr>
          <w:p>
            <w:r>
              <w:rPr>
                <w:b/>
              </w:rPr>
            </w:r>
            <w:r>
              <w:rPr>
                <w:b/>
              </w:rPr>
              <w:t>Definition</w:t>
            </w:r>
          </w:p>
        </w:tc>
      </w:tr>
      <w:tr>
        <w:tc>
          <w:tcPr>
            <w:tcW w:type="dxa" w:w="2880"/>
          </w:tcPr>
          <w:p>
            <w:r/>
            <w:r>
              <w:t>0–2</w:t>
            </w:r>
          </w:p>
        </w:tc>
        <w:tc>
          <w:tcPr>
            <w:tcW w:type="dxa" w:w="2880"/>
          </w:tcPr>
          <w:p>
            <w:r/>
            <w:r>
              <w:rPr>
                <w:rFonts w:ascii="Consolas" w:hAnsi="Consolas"/>
                <w:sz w:val="20"/>
              </w:rPr>
              <w:t>ear_left</w:t>
            </w:r>
            <w:r>
              <w:t xml:space="preserve">, </w:t>
            </w:r>
            <w:r>
              <w:rPr>
                <w:rFonts w:ascii="Consolas" w:hAnsi="Consolas"/>
                <w:sz w:val="20"/>
              </w:rPr>
              <w:t>ear_right</w:t>
            </w:r>
            <w:r>
              <w:t xml:space="preserve">, </w:t>
            </w:r>
            <w:r>
              <w:rPr>
                <w:rFonts w:ascii="Consolas" w:hAnsi="Consolas"/>
                <w:sz w:val="20"/>
              </w:rPr>
              <w:t>ear_mean</w:t>
            </w:r>
          </w:p>
        </w:tc>
        <w:tc>
          <w:tcPr>
            <w:tcW w:type="dxa" w:w="2880"/>
          </w:tcPr>
          <w:p>
            <w:r/>
            <w:r>
              <w:t>Eye Aspect Ratio (Soukupová and Čech, 2016), each eye and their mean</w:t>
            </w:r>
          </w:p>
        </w:tc>
      </w:tr>
      <w:tr>
        <w:tc>
          <w:tcPr>
            <w:tcW w:type="dxa" w:w="2880"/>
          </w:tcPr>
          <w:p>
            <w:r/>
            <w:r>
              <w:t>3</w:t>
            </w:r>
          </w:p>
        </w:tc>
        <w:tc>
          <w:tcPr>
            <w:tcW w:type="dxa" w:w="2880"/>
          </w:tcPr>
          <w:p>
            <w:r/>
            <w:r>
              <w:rPr>
                <w:rFonts w:ascii="Consolas" w:hAnsi="Consolas"/>
                <w:sz w:val="20"/>
              </w:rPr>
              <w:t>mar</w:t>
            </w:r>
          </w:p>
        </w:tc>
        <w:tc>
          <w:tcPr>
            <w:tcW w:type="dxa" w:w="2880"/>
          </w:tcPr>
          <w:p>
            <w:r/>
            <w:r>
              <w:t>Mouth Aspect Ratio — vertical ÷ horizontal lip distance</w:t>
            </w:r>
          </w:p>
        </w:tc>
      </w:tr>
      <w:tr>
        <w:tc>
          <w:tcPr>
            <w:tcW w:type="dxa" w:w="2880"/>
          </w:tcPr>
          <w:p>
            <w:r/>
            <w:r>
              <w:t>4–5</w:t>
            </w:r>
          </w:p>
        </w:tc>
        <w:tc>
          <w:tcPr>
            <w:tcW w:type="dxa" w:w="2880"/>
          </w:tcPr>
          <w:p>
            <w:r/>
            <w:r>
              <w:rPr>
                <w:rFonts w:ascii="Consolas" w:hAnsi="Consolas"/>
                <w:sz w:val="20"/>
              </w:rPr>
              <w:t>brow_left</w:t>
            </w:r>
            <w:r>
              <w:t xml:space="preserve">, </w:t>
            </w:r>
            <w:r>
              <w:rPr>
                <w:rFonts w:ascii="Consolas" w:hAnsi="Consolas"/>
                <w:sz w:val="20"/>
              </w:rPr>
              <w:t>brow_right</w:t>
            </w:r>
          </w:p>
        </w:tc>
        <w:tc>
          <w:tcPr>
            <w:tcW w:type="dxa" w:w="2880"/>
          </w:tcPr>
          <w:p>
            <w:r/>
            <w:r>
              <w:t>Eyebrow-to-eye-centre distance ÷ interocular distance</w:t>
            </w:r>
          </w:p>
        </w:tc>
      </w:tr>
      <w:tr>
        <w:tc>
          <w:tcPr>
            <w:tcW w:type="dxa" w:w="2880"/>
          </w:tcPr>
          <w:p>
            <w:r/>
            <w:r>
              <w:t>6–8</w:t>
            </w:r>
          </w:p>
        </w:tc>
        <w:tc>
          <w:tcPr>
            <w:tcW w:type="dxa" w:w="2880"/>
          </w:tcPr>
          <w:p>
            <w:r/>
            <w:r>
              <w:rPr>
                <w:rFonts w:ascii="Consolas" w:hAnsi="Consolas"/>
                <w:sz w:val="20"/>
              </w:rPr>
              <w:t>yaw</w:t>
            </w:r>
            <w:r>
              <w:t xml:space="preserve">, </w:t>
            </w:r>
            <w:r>
              <w:rPr>
                <w:rFonts w:ascii="Consolas" w:hAnsi="Consolas"/>
                <w:sz w:val="20"/>
              </w:rPr>
              <w:t>pitch</w:t>
            </w:r>
            <w:r>
              <w:t xml:space="preserve">, </w:t>
            </w:r>
            <w:r>
              <w:rPr>
                <w:rFonts w:ascii="Consolas" w:hAnsi="Consolas"/>
                <w:sz w:val="20"/>
              </w:rPr>
              <w:t>roll</w:t>
            </w:r>
          </w:p>
        </w:tc>
        <w:tc>
          <w:tcPr>
            <w:tcW w:type="dxa" w:w="2880"/>
          </w:tcPr>
          <w:p>
            <w:r/>
            <w:r>
              <w:t>Geometric head-pose proxies (Section 2.2.2)</w:t>
            </w:r>
          </w:p>
        </w:tc>
      </w:tr>
      <w:tr>
        <w:tc>
          <w:tcPr>
            <w:tcW w:type="dxa" w:w="2880"/>
          </w:tcPr>
          <w:p>
            <w:r/>
            <w:r>
              <w:t>9–10</w:t>
            </w:r>
          </w:p>
        </w:tc>
        <w:tc>
          <w:tcPr>
            <w:tcW w:type="dxa" w:w="2880"/>
          </w:tcPr>
          <w:p>
            <w:r/>
            <w:r>
              <w:rPr>
                <w:rFonts w:ascii="Consolas" w:hAnsi="Consolas"/>
                <w:sz w:val="20"/>
              </w:rPr>
              <w:t>gaze_x</w:t>
            </w:r>
            <w:r>
              <w:t xml:space="preserve">, </w:t>
            </w:r>
            <w:r>
              <w:rPr>
                <w:rFonts w:ascii="Consolas" w:hAnsi="Consolas"/>
                <w:sz w:val="20"/>
              </w:rPr>
              <w:t>gaze_y</w:t>
            </w:r>
          </w:p>
        </w:tc>
        <w:tc>
          <w:tcPr>
            <w:tcW w:type="dxa" w:w="2880"/>
          </w:tcPr>
          <w:p>
            <w:r/>
            <w:r>
              <w:t>Iris-centre offset from eye-corner midpoint, normalised by eye width/height</w:t>
            </w:r>
          </w:p>
        </w:tc>
      </w:tr>
      <w:tr>
        <w:tc>
          <w:tcPr>
            <w:tcW w:type="dxa" w:w="2880"/>
          </w:tcPr>
          <w:p>
            <w:r/>
            <w:r>
              <w:t>11</w:t>
            </w:r>
          </w:p>
        </w:tc>
        <w:tc>
          <w:tcPr>
            <w:tcW w:type="dxa" w:w="2880"/>
          </w:tcPr>
          <w:p>
            <w:r/>
            <w:r>
              <w:rPr>
                <w:rFonts w:ascii="Consolas" w:hAnsi="Consolas"/>
                <w:sz w:val="20"/>
              </w:rPr>
              <w:t>face_area</w:t>
            </w:r>
          </w:p>
        </w:tc>
        <w:tc>
          <w:tcPr>
            <w:tcW w:type="dxa" w:w="2880"/>
          </w:tcPr>
          <w:p>
            <w:r/>
            <w:r>
              <w:t>Landmark bounding-box area ÷ frame area</w:t>
            </w:r>
          </w:p>
        </w:tc>
      </w:tr>
      <w:tr>
        <w:tc>
          <w:tcPr>
            <w:tcW w:type="dxa" w:w="2880"/>
          </w:tcPr>
          <w:p>
            <w:r/>
            <w:r>
              <w:t>12</w:t>
            </w:r>
          </w:p>
        </w:tc>
        <w:tc>
          <w:tcPr>
            <w:tcW w:type="dxa" w:w="2880"/>
          </w:tcPr>
          <w:p>
            <w:r/>
            <w:r>
              <w:rPr>
                <w:rFonts w:ascii="Consolas" w:hAnsi="Consolas"/>
                <w:sz w:val="20"/>
              </w:rPr>
              <w:t>face_present</w:t>
            </w:r>
          </w:p>
        </w:tc>
        <w:tc>
          <w:tcPr>
            <w:tcW w:type="dxa" w:w="2880"/>
          </w:tcPr>
          <w:p>
            <w:r/>
            <w:r>
              <w:t>1.0 if a face was detected in the frame, else 0.0</w:t>
            </w:r>
          </w:p>
        </w:tc>
      </w:tr>
    </w:tbl>
    <w:p/>
    <w:p>
      <w:pPr>
        <w:spacing w:after="160"/>
      </w:pPr>
      <w:r>
        <w:t xml:space="preserve">Two normalisation rules apply throughout and are load-bearing for the cross-domain generalisation this project needs (DAiSEE clips recorded at one camera distance; live webcam users sitting at another): </w:t>
      </w:r>
      <w:r>
        <w:rPr>
          <w:b/>
        </w:rPr>
        <w:t>every raw distance is divided by interocular distance</w:t>
      </w:r>
      <w:r>
        <w:t xml:space="preserve"> (the outer-eye-corner-to-outer-eye-corner span) before use, cancelling out camera-distance scale; and </w:t>
      </w:r>
      <w:r>
        <w:rPr>
          <w:b/>
        </w:rPr>
        <w:t>a frame with no detected face emits thirteen zeros with `face_present = 0.0`</w:t>
      </w:r>
      <w:r>
        <w:t>, never an interpolated or dropped value, so the model must learn to handle missing-face frames as first-class input rather than assuming continuous detection.</w:t>
      </w:r>
    </w:p>
    <w:p>
      <w:pPr>
        <w:pStyle w:val="Heading3"/>
      </w:pPr>
      <w:r>
        <w:t>3.2.3 Step 2 — Extraction</w:t>
      </w:r>
    </w:p>
    <w:p>
      <w:pPr>
        <w:spacing w:after="160"/>
      </w:pPr>
      <w:r>
        <w:rPr>
          <w:rFonts w:ascii="Consolas" w:hAnsi="Consolas"/>
          <w:sz w:val="20"/>
        </w:rPr>
        <w:t>ml/src/extract.py</w:t>
      </w:r>
      <w:r>
        <w:t xml:space="preserve"> walks the DAiSEE directory tree; for each clip, opens it with OpenCV, samples every third frame (30 FPS native → 10 FPS contract rate), runs MediaPipe's </w:t>
      </w:r>
      <w:r>
        <w:rPr>
          <w:rFonts w:ascii="Consolas" w:hAnsi="Consolas"/>
          <w:sz w:val="20"/>
        </w:rPr>
        <w:t>FaceLandmarker</w:t>
      </w:r>
      <w:r>
        <w:t xml:space="preserve"> in </w:t>
      </w:r>
      <w:r>
        <w:rPr>
          <w:rFonts w:ascii="Consolas" w:hAnsi="Consolas"/>
          <w:sz w:val="20"/>
        </w:rPr>
        <w:t>VIDEO</w:t>
      </w:r>
      <w:r>
        <w:t xml:space="preserve"> running mode (a fresh landmarker instance per clip, in a </w:t>
      </w:r>
      <w:r>
        <w:rPr>
          <w:rFonts w:ascii="Consolas" w:hAnsi="Consolas"/>
          <w:sz w:val="20"/>
        </w:rPr>
        <w:t>multiprocessing.Pool</w:t>
      </w:r>
      <w:r>
        <w:t xml:space="preserve"> worker, so that </w:t>
      </w:r>
      <w:r>
        <w:rPr>
          <w:rFonts w:ascii="Consolas" w:hAnsi="Consolas"/>
          <w:sz w:val="20"/>
        </w:rPr>
        <w:t>VIDEO</w:t>
      </w:r>
      <w: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sz w:val="20"/>
        </w:rPr>
        <w:t>ml/src/labels.py</w:t>
      </w:r>
      <w:r>
        <w:t xml:space="preserve"> joins DAiSEE's official per-clip label CSVs against the clips actually present on disk (using the </w:t>
      </w:r>
      <w:r>
        <w:rPr>
          <w:b/>
        </w:rPr>
        <w:t>intersection</w:t>
      </w:r>
      <w:r>
        <w:t xml:space="preserve"> of the two, within each official split folder, rather than assuming full coverage); </w:t>
      </w:r>
      <w:r>
        <w:rPr>
          <w:rFonts w:ascii="Consolas" w:hAnsi="Consolas"/>
          <w:sz w:val="20"/>
        </w:rPr>
        <w:t>ml/src/dataset.py</w:t>
      </w:r>
      <w:r>
        <w:t xml:space="preserve"> then slides a 30-frame (3.0 s) window with stride 10 over each clip's ~100 feature rows, assigns the clip's engagement label to every window drawn from it, and writes the resulting </w:t>
      </w:r>
      <w:r>
        <w:rPr>
          <w:rFonts w:ascii="Consolas" w:hAnsi="Consolas"/>
          <w:sz w:val="20"/>
        </w:rPr>
        <w:t>(N, 30, 13)</w:t>
      </w:r>
      <w:r>
        <w:t xml:space="preserve"> tensors per split. </w:t>
      </w:r>
      <w:r>
        <w:rPr>
          <w:b/>
        </w:rPr>
        <w:t>Zero clip-ID overlap between the three splits is asserted in code, not merely assumed</w:t>
      </w:r>
      <w: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sz w:val="20"/>
        </w:rPr>
        <w:t>StandardScaler</w:t>
      </w:r>
      <w:r>
        <w:t xml:space="preserve"> is fit on the </w:t>
      </w:r>
      <w:r>
        <w:rPr>
          <w:b/>
        </w:rPr>
        <w:t>training split only</w:t>
      </w:r>
      <w:r>
        <w:t xml:space="preserve"> and applied to all three splits, with its mean/std/feature-name triple serialised to </w:t>
      </w:r>
      <w:r>
        <w:rPr>
          <w:rFonts w:ascii="Consolas" w:hAnsi="Consolas"/>
          <w:sz w:val="20"/>
        </w:rPr>
        <w:t>scaler.json</w:t>
      </w:r>
      <w:r>
        <w:t xml:space="preserve"> and shipped to the browser (</w:t>
      </w:r>
      <w:r>
        <w:rPr>
          <w:rFonts w:ascii="Consolas" w:hAnsi="Consolas"/>
          <w:sz w:val="20"/>
        </w:rPr>
        <w:t>web/public/model/scaler.json</w:t>
      </w:r>
      <w:r>
        <w:t>) so both the Python and TypeScript pipelines standardise features identically.</w:t>
      </w:r>
    </w:p>
    <w:p>
      <w:pPr>
        <w:pStyle w:val="Heading3"/>
      </w:pPr>
      <w:r>
        <w:t>3.2.5 Step 4 — Classical baselines</w:t>
      </w:r>
    </w:p>
    <w:p>
      <w:pPr>
        <w:spacing w:after="160"/>
      </w:pPr>
      <w:r>
        <w:t>Before any temporal model is trained, each 30×13 window is collapsed to a 65-dimensional vector — the mean, standard deviation, minimum, maximum, and range of each of the 13 features across the 30-frame window (</w:t>
      </w:r>
      <w:r>
        <w:rPr>
          <w:rFonts w:ascii="Consolas" w:hAnsi="Consolas"/>
          <w:sz w:val="20"/>
        </w:rPr>
        <w:t>ml/src/baselines.py</w:t>
      </w:r>
      <w:r>
        <w:t>) — and used to train a logistic regression and a random forest classifier (</w:t>
      </w:r>
      <w:r>
        <w:rPr>
          <w:rFonts w:ascii="Consolas" w:hAnsi="Consolas"/>
          <w:sz w:val="20"/>
        </w:rPr>
        <w:t>scikit-learn</w:t>
      </w:r>
      <w:r>
        <w:t xml:space="preserve">, </w:t>
      </w:r>
      <w:r>
        <w:rPr>
          <w:rFonts w:ascii="Consolas" w:hAnsi="Consolas"/>
          <w:sz w:val="20"/>
        </w:rPr>
        <w:t>class_weight="balanced"</w:t>
      </w:r>
      <w:r>
        <w:t xml:space="preserve">), alongside a constant majority-class predictor. This step exists specifically to answer the question Section 4 must otherwise leave open: </w:t>
      </w:r>
      <w:r>
        <w:rPr>
          <w:i/>
        </w:rPr>
        <w:t>is the temporal model's added complexity (Step 6) actually earning its keep</w:t>
      </w:r>
      <w: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sz w:val="20"/>
        </w:rPr>
        <w:t>ml/src/model.py</w:t>
      </w:r>
      <w:r>
        <w:t xml:space="preserve"> defines </w:t>
      </w:r>
      <w:r>
        <w:rPr>
          <w:rFonts w:ascii="Consolas" w:hAnsi="Consolas"/>
          <w:sz w:val="20"/>
        </w:rPr>
        <w:t>EngagementTCN</w:t>
      </w:r>
      <w:r>
        <w:t xml:space="preserve">: four stacked dilated causal 1-D convolutional blocks (Conv1d, kernel size 3, dilations 1/2/4/8; each followed by BatchNorm, ReLU, Dropout(0.2), and a residual connection), operating on the transposed </w:t>
      </w:r>
      <w:r>
        <w:rPr>
          <w:rFonts w:ascii="Consolas" w:hAnsi="Consolas"/>
          <w:sz w:val="20"/>
        </w:rPr>
        <w:t>(B, 13, 30)</w:t>
      </w:r>
      <w:r>
        <w:t xml:space="preserve"> input, followed by a mean pool over the time dimension (deliberately </w:t>
      </w:r>
      <w:r>
        <w:rPr>
          <w:i/>
        </w:rPr>
        <w:t>not</w:t>
      </w:r>
      <w:r>
        <w:t xml:space="preserve"> </w:t>
      </w:r>
      <w:r>
        <w:rPr>
          <w:rFonts w:ascii="Consolas" w:hAnsi="Consolas"/>
          <w:sz w:val="20"/>
        </w:rPr>
        <w:t>AdaptiveAvgPool1d</w:t>
      </w:r>
      <w:r>
        <w:t xml:space="preserve">, which does not export cleanly to ONNX) and two linear heads — a 4-way engagement-logit head and a 4-way (multi-label) state-logit head. Total parameter count: </w:t>
      </w:r>
      <w:r>
        <w:rPr>
          <w:b/>
        </w:rPr>
        <w:t>41,544</w:t>
      </w:r>
      <w:r>
        <w:t>, against a self-imposed budget of under 100,000 — the entire edge-deployment argument rests on the model staying this small, so parameter count is checked by an assertion in the module itself (</w:t>
      </w:r>
      <w:r>
        <w:rPr>
          <w:rFonts w:ascii="Consolas" w:hAnsi="Consolas"/>
          <w:sz w:val="20"/>
        </w:rPr>
        <w:t>assert n &lt; 100_000</w:t>
      </w:r>
      <w:r>
        <w:t>), not merely reported after the fact.</w:t>
      </w:r>
    </w:p>
    <w:p>
      <w:pPr>
        <w:pStyle w:val="Heading3"/>
      </w:pPr>
      <w:r>
        <w:t>3.2.7 Step 6 — Training</w:t>
      </w:r>
    </w:p>
    <w:p>
      <w:pPr>
        <w:spacing w:after="160"/>
      </w:pPr>
      <w:r>
        <w:t xml:space="preserve">Adam optimiser, initial learning rate 1×10⁻³ with cosine annealing over up to 100 epochs, batch size 128, </w:t>
      </w:r>
      <w:r>
        <w:rPr>
          <w:b/>
        </w:rPr>
        <w:t>early stopping on validation macro-F1</w:t>
      </w:r>
      <w:r>
        <w:t xml:space="preserve"> (not validation loss, not accuracy — consistent with R2) with patience 15. The loss combines a class-weighted cross-entropy term for the engagement head with a binary cross-entropy term for the four state heads: </w:t>
      </w:r>
      <w:r>
        <w:rPr>
          <w:rFonts w:ascii="Consolas" w:hAnsi="Consolas"/>
          <w:sz w:val="20"/>
        </w:rPr>
        <w:t>L = CE(engagement, w) + 0.5 · BCE(states)</w:t>
      </w:r>
      <w:r>
        <w:t xml:space="preserve">, where </w:t>
      </w:r>
      <w:r>
        <w:rPr>
          <w:rFonts w:ascii="Consolas" w:hAnsi="Consolas"/>
          <w:sz w:val="20"/>
        </w:rPr>
        <w:t>w</w:t>
      </w:r>
      <w: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sz w:val="20"/>
        </w:rPr>
        <w:t>ml/src/export.py</w:t>
      </w:r>
      <w:r>
        <w:t xml:space="preserve">: </w:t>
      </w:r>
      <w:r>
        <w:rPr>
          <w:rFonts w:ascii="Consolas" w:hAnsi="Consolas"/>
          <w:sz w:val="20"/>
        </w:rPr>
        <w:t>torch.onnx.export</w:t>
      </w:r>
      <w: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sz w:val="20"/>
        </w:rPr>
        <w:t>onnx.checker.check_model</w:t>
      </w:r>
      <w:r>
        <w:t xml:space="preserve">; a </w:t>
      </w:r>
      <w:r>
        <w:rPr>
          <w:b/>
        </w:rPr>
        <w:t>second, independent parity check</w:t>
      </w:r>
      <w:r>
        <w:t xml:space="preserve"> — 100 random inputs run through both the PyTorch model and the exported ONNX graph via </w:t>
      </w:r>
      <w:r>
        <w:rPr>
          <w:rFonts w:ascii="Consolas" w:hAnsi="Consolas"/>
          <w:sz w:val="20"/>
        </w:rPr>
        <w:t>onnxruntime</w:t>
      </w:r>
      <w:r>
        <w:t xml:space="preserve">, asserting max-absolute-difference below 1×10⁻⁵, </w:t>
      </w:r>
      <w:r>
        <w:rPr>
          <w:b/>
        </w:rPr>
        <w:t>aborting the build if it fails</w:t>
      </w:r>
      <w: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t>The Next.js application (</w:t>
      </w:r>
      <w:r>
        <w:rPr>
          <w:rFonts w:ascii="Consolas" w:hAnsi="Consolas"/>
          <w:sz w:val="20"/>
        </w:rPr>
        <w:t>web/</w:t>
      </w:r>
      <w:r>
        <w:t xml:space="preserve">) mirrors Steps 2–3 of the pipeline entirely client-side: </w:t>
      </w:r>
      <w:r>
        <w:rPr>
          <w:rFonts w:ascii="Consolas" w:hAnsi="Consolas"/>
          <w:sz w:val="20"/>
        </w:rPr>
        <w:t>getUserMedia</w:t>
      </w:r>
      <w:r>
        <w:t xml:space="preserve"> supplies a raw (un-mirrored — mirroring is CSS-only, for on-screen display) video stream; </w:t>
      </w:r>
      <w:r>
        <w:rPr>
          <w:b/>
        </w:rPr>
        <w:t>two separate MediaPipe `FaceLandmarker` instances</w:t>
      </w:r>
      <w:r>
        <w:t xml:space="preserve"> are run per sampled frame — one configured for a single face (</w:t>
      </w:r>
      <w:r>
        <w:rPr>
          <w:rFonts w:ascii="Consolas" w:hAnsi="Consolas"/>
          <w:sz w:val="20"/>
        </w:rPr>
        <w:t>numFaces: 1</w:t>
      </w:r>
      <w:r>
        <w:t xml:space="preserve">), whose output is the </w:t>
      </w:r>
      <w:r>
        <w:rPr>
          <w:i/>
        </w:rPr>
        <w:t>only</w:t>
      </w:r>
      <w:r>
        <w:t xml:space="preserve"> one ever passed into the Step-1 feature function, because that is what the training pipeline was built against; and a second, independent instance configured for up to four faces (</w:t>
      </w:r>
      <w:r>
        <w:rPr>
          <w:rFonts w:ascii="Consolas" w:hAnsi="Consolas"/>
          <w:sz w:val="20"/>
        </w:rPr>
        <w:t>numFaces: 4</w:t>
      </w:r>
      <w:r>
        <w:t xml:space="preserve">), used </w:t>
      </w:r>
      <w:r>
        <w:rPr>
          <w:i/>
        </w:rPr>
        <w:t>only</w:t>
      </w:r>
      <w: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sz w:val="20"/>
        </w:rPr>
        <w:t>scaler.json</w:t>
      </w:r>
      <w: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rPr>
        <w:t>Technical.</w:t>
      </w:r>
      <w: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rPr>
        <w:t>Ethical and privacy.</w:t>
      </w:r>
      <w:r>
        <w:t xml:space="preserve"> DAiSEE is a licensed academic dataset; its terms explicitly prohibit redistribution of the underlying video, which this project respects at every level — the raw clips are gitignored and never enter version control, and even </w:t>
      </w:r>
      <w:r>
        <w:rPr>
          <w:i/>
        </w:rPr>
        <w:t>derived</w:t>
      </w:r>
      <w:r>
        <w:t xml:space="preserve"> artefacts (extracted frame images, transcoded fixture clips used for automated testing) are likewise excluded from the git history, not merely the final delivered product (</w:t>
      </w:r>
      <w:r>
        <w:rPr>
          <w:rFonts w:ascii="Consolas" w:hAnsi="Consolas"/>
          <w:sz w:val="20"/>
        </w:rPr>
        <w:t>.gitignore</w:t>
      </w:r>
      <w: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sz w:val="20"/>
        </w:rPr>
        <w:t>docs/privacy.md</w:t>
      </w:r>
      <w:r>
        <w:t>) rather than left unmentioned because it originated in a dependency rather than this project's own code.</w:t>
      </w:r>
    </w:p>
    <w:p>
      <w:pPr>
        <w:pStyle w:val="Heading2"/>
      </w:pPr>
      <w:r>
        <w:t>3.4 Verification as Methodology, Not Afterthought</w:t>
      </w:r>
    </w:p>
    <w:p>
      <w:pPr>
        <w:spacing w:after="160"/>
      </w:pPr>
      <w:r>
        <w:t>Four automated gates are integrated into this project's own development workflow (</w:t>
      </w:r>
      <w:r>
        <w:rPr>
          <w:rFonts w:ascii="Consolas" w:hAnsi="Consolas"/>
          <w:sz w:val="20"/>
        </w:rPr>
        <w:t>.github/workflows/ci.yml</w:t>
      </w:r>
      <w:r>
        <w:t>) and treated as part of the methodology rather than post-hoc quality assurance, because each answers a question the modelling pipeline alone cannot:</w:t>
      </w:r>
    </w:p>
    <w:p>
      <w:pPr>
        <w:pStyle w:val="ListBullet"/>
      </w:pPr>
      <w:r>
        <w:rPr>
          <w:b/>
        </w:rPr>
        <w:t>Feature parity</w:t>
      </w:r>
      <w:r>
        <w:t xml:space="preserve"> (R1) — do the two independent language implementations agree? (Section 4, Experiment 1)</w:t>
      </w:r>
    </w:p>
    <w:p>
      <w:pPr>
        <w:pStyle w:val="ListBullet"/>
      </w:pPr>
      <w:r>
        <w:rPr>
          <w:b/>
        </w:rPr>
        <w:t>Model export parity</w:t>
      </w:r>
      <w:r>
        <w:t xml:space="preserve"> (Section 3.2.8) — does the quantized ONNX graph agree with the trained PyTorch model?</w:t>
      </w:r>
    </w:p>
    <w:p>
      <w:pPr>
        <w:pStyle w:val="ListBullet"/>
      </w:pPr>
      <w:r>
        <w:rPr>
          <w:b/>
        </w:rPr>
        <w:t>Browser execution smoke test</w:t>
      </w:r>
      <w:r>
        <w:t xml:space="preserve"> (Section 2.5.2) — does the exported graph actually </w:t>
      </w:r>
      <w:r>
        <w:rPr>
          <w:i/>
        </w:rPr>
        <w:t>run</w:t>
      </w:r>
      <w:r>
        <w:t xml:space="preserve"> in the target WASM runtime, not just in Python?</w:t>
      </w:r>
    </w:p>
    <w:p>
      <w:pPr>
        <w:pStyle w:val="ListBullet"/>
      </w:pPr>
      <w:r>
        <w:rPr>
          <w:b/>
        </w:rPr>
        <w:t>End-to-end integration</w:t>
      </w:r>
      <w:r>
        <w:t xml:space="preserve"> — does the full live pipeline (camera → landmarks → features → inference → UI) produce a valid, well-formed prediction under realistic and deliberately adverse conditions? (Section 4, Experiment 6)</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t>A single 10-second DAiSEE clip is transcoded once to a browser-decodable VP9 WebM and, from the identical decode pass, both (a) full-precision reference features via the Python pipeline (</w:t>
      </w:r>
      <w:r>
        <w:rPr>
          <w:rFonts w:ascii="Consolas" w:hAnsi="Consolas"/>
          <w:sz w:val="20"/>
        </w:rPr>
        <w:t>ml/scripts/make_parity_fixture.py</w:t>
      </w:r>
      <w:r>
        <w:t xml:space="preserve">, using the </w:t>
      </w:r>
      <w:r>
        <w:rPr>
          <w:i/>
        </w:rPr>
        <w:t>same</w:t>
      </w:r>
      <w:r>
        <w:t xml:space="preserve"> </w:t>
      </w:r>
      <w:r>
        <w:rPr>
          <w:rFonts w:ascii="Consolas" w:hAnsi="Consolas"/>
          <w:sz w:val="20"/>
        </w:rPr>
        <w:t>FaceLandmarker</w:t>
      </w:r>
      <w:r>
        <w:t xml:space="preserve"> configuration as training extraction) and (b) 100 individual PNG frames are produced, guaranteeing byte-identical, frame-aligned input to both sides of the comparison. A Playwright Test (</w:t>
      </w:r>
      <w:r>
        <w:rPr>
          <w:rFonts w:ascii="Consolas" w:hAnsi="Consolas"/>
          <w:sz w:val="20"/>
        </w:rPr>
        <w:t>web/tests/e2e/features.parity.test.ts</w:t>
      </w:r>
      <w:r>
        <w:t xml:space="preserve">) then drives a real Next.js route that runs each of the 100 frames through the browser's </w:t>
      </w:r>
      <w:r>
        <w:rPr>
          <w:i/>
        </w:rPr>
        <w:t>production</w:t>
      </w:r>
      <w:r>
        <w:t xml:space="preserve"> landmarker factory and the browser's </w:t>
      </w:r>
      <w:r>
        <w:rPr>
          <w:rFonts w:ascii="Consolas" w:hAnsi="Consolas"/>
          <w:sz w:val="20"/>
        </w:rPr>
        <w:t>features.ts</w:t>
      </w:r>
      <w: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sz w:val="20"/>
        </w:rPr>
        <w:t>CONTRACT.md</w:t>
      </w:r>
      <w:r>
        <w:t xml:space="preserve"> Amendment 2 — the value the tolerance took is itself a finding, discussed below).</w:t>
      </w:r>
    </w:p>
    <w:p>
      <w:pPr>
        <w:spacing w:after="160"/>
      </w:pPr>
      <w:r>
        <w:t xml:space="preserve">This experiment was </w:t>
      </w:r>
      <w:r>
        <w:rPr>
          <w:b/>
        </w:rPr>
        <w:t>rebuilt during this project's later verification phase</w:t>
      </w:r>
      <w: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t>The rebuild's first run failed: worst-case per-feature difference of 0.86 (</w:t>
      </w:r>
      <w:r>
        <w:rPr>
          <w:rFonts w:ascii="Consolas" w:hAnsi="Consolas"/>
          <w:sz w:val="20"/>
        </w:rPr>
        <w:t>gaze_y</w:t>
      </w:r>
      <w: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sz w:val="20"/>
        </w:rPr>
        <w:t>numFaces: 4</w:t>
      </w:r>
      <w:r>
        <w:t xml:space="preserve"> — a multi-face detection option added to the application </w:t>
      </w:r>
      <w:r>
        <w:rPr>
          <w:i/>
        </w:rPr>
        <w:t>after</w:t>
      </w:r>
      <w: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sz w:val="20"/>
        </w:rPr>
        <w:t>numFaces: 1</w:t>
      </w:r>
      <w:r>
        <w:t>, the identical 100 frames produced a worst-case difference of 0.0157 (</w:t>
      </w:r>
      <w:r>
        <w:rPr>
          <w:rFonts w:ascii="Consolas" w:hAnsi="Consolas"/>
          <w:sz w:val="20"/>
        </w:rPr>
        <w:t>brow_left</w:t>
      </w:r>
      <w:r>
        <w:t>), consistent with the 0.0079 previously recorded and comfortably inside tolerance.</w:t>
      </w:r>
    </w:p>
    <w:p>
      <w:r>
        <w:rPr>
          <w:i/>
          <w:color w:val="606060"/>
        </w:rPr>
        <w:t>[Table 4.1: per-feature max-absolute-difference, `docs/results/parity_report.json` — insert here]</w:t>
      </w:r>
    </w:p>
    <w:p>
      <w:pPr>
        <w:spacing w:after="160"/>
      </w:pPr>
      <w:r>
        <w:t>The fix — splitting the single landmarker into two independent instances (</w:t>
      </w:r>
      <w:r>
        <w:rPr>
          <w:rFonts w:ascii="Consolas" w:hAnsi="Consolas"/>
          <w:sz w:val="20"/>
        </w:rPr>
        <w:t>createFeatureLandmarker()</w:t>
      </w:r>
      <w:r>
        <w:t xml:space="preserve">, </w:t>
      </w:r>
      <w:r>
        <w:rPr>
          <w:rFonts w:ascii="Consolas" w:hAnsi="Consolas"/>
          <w:sz w:val="20"/>
        </w:rPr>
        <w:t>numFaces: 1</w:t>
      </w:r>
      <w:r>
        <w:t xml:space="preserve">, feeding the model; </w:t>
      </w:r>
      <w:r>
        <w:rPr>
          <w:rFonts w:ascii="Consolas" w:hAnsi="Consolas"/>
          <w:sz w:val="20"/>
        </w:rPr>
        <w:t>createDisplayLandmarker()</w:t>
      </w:r>
      <w:r>
        <w:t xml:space="preserve">, </w:t>
      </w:r>
      <w:r>
        <w:rPr>
          <w:rFonts w:ascii="Consolas" w:hAnsi="Consolas"/>
          <w:sz w:val="20"/>
        </w:rPr>
        <w:t>numFaces: 4</w:t>
      </w:r>
      <w:r>
        <w:t>, driving the on-screen overlay only) — restored the 0.0157 result while preserving the multi-face UI feature, at the cost of a second WASM detection pass per sampled frame.</w:t>
      </w:r>
    </w:p>
    <w:p>
      <w:pPr>
        <w:pStyle w:val="Heading3"/>
      </w:pPr>
      <w:r>
        <w:t>4.1.3 Evaluation and Discussion</w:t>
      </w:r>
    </w:p>
    <w:p>
      <w:pPr>
        <w:spacing w:after="160"/>
      </w:pPr>
      <w: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sz w:val="20"/>
        </w:rPr>
        <w:t>num_faces=1</w:t>
      </w:r>
      <w:r>
        <w:t xml:space="preserve"> (</w:t>
      </w:r>
      <w:r>
        <w:rPr>
          <w:rFonts w:ascii="Consolas" w:hAnsi="Consolas"/>
          <w:sz w:val="20"/>
        </w:rPr>
        <w:t>ml/src/extract.py</w:t>
      </w:r>
      <w: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i/>
        </w:rPr>
        <w:t>actual deployed system</w:t>
      </w:r>
      <w:r>
        <w:t>, not just the model in isolation, are methodologically necessary rather than a nice-to-have, and it directly informed the 0.02 tolerance decision: loose enough to absorb genuine, harmless Python-vs-WASM landmark noise (≈0.008–0.016 in practice), tight enough that this specific 0.86 regression still failed loudly rather than slipping under a more generously-set bar.</w:t>
      </w:r>
    </w:p>
    <w:p>
      <w:pPr>
        <w:pStyle w:val="Heading2"/>
      </w:pPr>
      <w:r>
        <w:t>4.2 Experiment 2 — Classical Baselines</w:t>
      </w:r>
    </w:p>
    <w:p>
      <w:pPr>
        <w:pStyle w:val="Heading3"/>
      </w:pPr>
      <w:r>
        <w:t>4.2.1 Set-up</w:t>
      </w:r>
    </w:p>
    <w:p>
      <w:pPr>
        <w:spacing w:after="160"/>
      </w:pPr>
      <w:r>
        <w:t xml:space="preserve">Each 30×13 window from all three splits is reduced to a 65-dimensional vector (mean/std/min/max/range per feature, Section 3.2.5) and used to train a </w:t>
      </w:r>
      <w:r>
        <w:rPr>
          <w:rFonts w:ascii="Consolas" w:hAnsi="Consolas"/>
          <w:sz w:val="20"/>
        </w:rPr>
        <w:t>class_weight="balanced"</w:t>
      </w:r>
      <w: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r>
        <w:rPr>
          <w:i/>
          <w:color w:val="606060"/>
        </w:rPr>
        <w:t>[Table 4.2 — reproduced from `docs/results/baselines.csv`]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Split</w:t>
            </w:r>
          </w:p>
        </w:tc>
        <w:tc>
          <w:tcPr>
            <w:tcW w:type="dxa" w:w="2160"/>
            <w:shd w:val="clear" w:color="auto" w:fill="D9E2F3"/>
          </w:tcPr>
          <w:p>
            <w:r>
              <w:rPr>
                <w:b/>
              </w:rPr>
            </w:r>
            <w:r>
              <w:rPr>
                <w:b/>
              </w:rPr>
              <w:t>Model</w:t>
            </w:r>
          </w:p>
        </w:tc>
        <w:tc>
          <w:tcPr>
            <w:tcW w:type="dxa" w:w="2160"/>
            <w:shd w:val="clear" w:color="auto" w:fill="D9E2F3"/>
          </w:tcPr>
          <w:p>
            <w:r>
              <w:rPr>
                <w:b/>
              </w:rPr>
            </w:r>
            <w:r>
              <w:rPr>
                <w:b/>
              </w:rPr>
              <w:t>Macro-F1</w:t>
            </w:r>
          </w:p>
        </w:tc>
        <w:tc>
          <w:tcPr>
            <w:tcW w:type="dxa" w:w="2160"/>
            <w:shd w:val="clear" w:color="auto" w:fill="D9E2F3"/>
          </w:tcPr>
          <w:p>
            <w:r>
              <w:rPr>
                <w:b/>
              </w:rPr>
            </w:r>
            <w:r>
              <w:rPr>
                <w:b/>
              </w:rPr>
              <w:t>Accuracy</w:t>
            </w:r>
          </w:p>
        </w:tc>
      </w:tr>
      <w:tr>
        <w:tc>
          <w:tcPr>
            <w:tcW w:type="dxa" w:w="2160"/>
          </w:tcPr>
          <w:p>
            <w:r/>
            <w:r>
              <w:t>Validation</w:t>
            </w:r>
          </w:p>
        </w:tc>
        <w:tc>
          <w:tcPr>
            <w:tcW w:type="dxa" w:w="2160"/>
          </w:tcPr>
          <w:p>
            <w:r/>
            <w:r>
              <w:t>Majority-class</w:t>
            </w:r>
          </w:p>
        </w:tc>
        <w:tc>
          <w:tcPr>
            <w:tcW w:type="dxa" w:w="2160"/>
          </w:tcPr>
          <w:p>
            <w:r/>
            <w:r>
              <w:t>0.1813</w:t>
            </w:r>
          </w:p>
        </w:tc>
        <w:tc>
          <w:tcPr>
            <w:tcW w:type="dxa" w:w="2160"/>
          </w:tcPr>
          <w:p>
            <w:r/>
            <w:r>
              <w:t>0.5689</w:t>
            </w:r>
          </w:p>
        </w:tc>
      </w:tr>
      <w:tr>
        <w:tc>
          <w:tcPr>
            <w:tcW w:type="dxa" w:w="2160"/>
          </w:tcPr>
          <w:p>
            <w:r/>
            <w:r>
              <w:t>Validation</w:t>
            </w:r>
          </w:p>
        </w:tc>
        <w:tc>
          <w:tcPr>
            <w:tcW w:type="dxa" w:w="2160"/>
          </w:tcPr>
          <w:p>
            <w:r/>
            <w:r>
              <w:t>Logistic regression</w:t>
            </w:r>
          </w:p>
        </w:tc>
        <w:tc>
          <w:tcPr>
            <w:tcW w:type="dxa" w:w="2160"/>
          </w:tcPr>
          <w:p>
            <w:r/>
            <w:r>
              <w:t>0.2420</w:t>
            </w:r>
          </w:p>
        </w:tc>
        <w:tc>
          <w:tcPr>
            <w:tcW w:type="dxa" w:w="2160"/>
          </w:tcPr>
          <w:p>
            <w:r/>
            <w:r>
              <w:t>0.3109</w:t>
            </w:r>
          </w:p>
        </w:tc>
      </w:tr>
      <w:tr>
        <w:tc>
          <w:tcPr>
            <w:tcW w:type="dxa" w:w="2160"/>
          </w:tcPr>
          <w:p>
            <w:r/>
            <w:r>
              <w:t>Validation</w:t>
            </w:r>
          </w:p>
        </w:tc>
        <w:tc>
          <w:tcPr>
            <w:tcW w:type="dxa" w:w="2160"/>
          </w:tcPr>
          <w:p>
            <w:r/>
            <w:r>
              <w:t>Random forest</w:t>
            </w:r>
          </w:p>
        </w:tc>
        <w:tc>
          <w:tcPr>
            <w:tcW w:type="dxa" w:w="2160"/>
          </w:tcPr>
          <w:p>
            <w:r/>
            <w:r>
              <w:t>0.2669</w:t>
            </w:r>
          </w:p>
        </w:tc>
        <w:tc>
          <w:tcPr>
            <w:tcW w:type="dxa" w:w="2160"/>
          </w:tcPr>
          <w:p>
            <w:r/>
            <w:r>
              <w:t>0.5263</w:t>
            </w:r>
          </w:p>
        </w:tc>
      </w:tr>
      <w:tr>
        <w:tc>
          <w:tcPr>
            <w:tcW w:type="dxa" w:w="2160"/>
          </w:tcPr>
          <w:p>
            <w:r/>
            <w:r>
              <w:t>Test</w:t>
            </w:r>
          </w:p>
        </w:tc>
        <w:tc>
          <w:tcPr>
            <w:tcW w:type="dxa" w:w="2160"/>
          </w:tcPr>
          <w:p>
            <w:r/>
            <w:r>
              <w:t>Majority-class</w:t>
            </w:r>
          </w:p>
        </w:tc>
        <w:tc>
          <w:tcPr>
            <w:tcW w:type="dxa" w:w="2160"/>
          </w:tcPr>
          <w:p>
            <w:r/>
            <w:r>
              <w:t>0.1655</w:t>
            </w:r>
          </w:p>
        </w:tc>
        <w:tc>
          <w:tcPr>
            <w:tcW w:type="dxa" w:w="2160"/>
          </w:tcPr>
          <w:p>
            <w:r/>
            <w:r>
              <w:t>0.4948</w:t>
            </w:r>
          </w:p>
        </w:tc>
      </w:tr>
      <w:tr>
        <w:tc>
          <w:tcPr>
            <w:tcW w:type="dxa" w:w="2160"/>
          </w:tcPr>
          <w:p>
            <w:r/>
            <w:r>
              <w:t>Test</w:t>
            </w:r>
          </w:p>
        </w:tc>
        <w:tc>
          <w:tcPr>
            <w:tcW w:type="dxa" w:w="2160"/>
          </w:tcPr>
          <w:p>
            <w:r/>
            <w:r>
              <w:t>Logistic regression</w:t>
            </w:r>
          </w:p>
        </w:tc>
        <w:tc>
          <w:tcPr>
            <w:tcW w:type="dxa" w:w="2160"/>
          </w:tcPr>
          <w:p>
            <w:r/>
            <w:r>
              <w:t>0.2479</w:t>
            </w:r>
          </w:p>
        </w:tc>
        <w:tc>
          <w:tcPr>
            <w:tcW w:type="dxa" w:w="2160"/>
          </w:tcPr>
          <w:p>
            <w:r/>
            <w:r>
              <w:t>0.3540</w:t>
            </w:r>
          </w:p>
        </w:tc>
      </w:tr>
      <w:tr>
        <w:tc>
          <w:tcPr>
            <w:tcW w:type="dxa" w:w="2160"/>
          </w:tcPr>
          <w:p>
            <w:r/>
            <w:r>
              <w:t>Test</w:t>
            </w:r>
          </w:p>
        </w:tc>
        <w:tc>
          <w:tcPr>
            <w:tcW w:type="dxa" w:w="2160"/>
          </w:tcPr>
          <w:p>
            <w:r/>
            <w:r>
              <w:t>Random forest</w:t>
            </w:r>
          </w:p>
        </w:tc>
        <w:tc>
          <w:tcPr>
            <w:tcW w:type="dxa" w:w="2160"/>
          </w:tcPr>
          <w:p>
            <w:r/>
            <w:r>
              <w:t>0.2643</w:t>
            </w:r>
          </w:p>
        </w:tc>
        <w:tc>
          <w:tcPr>
            <w:tcW w:type="dxa" w:w="2160"/>
          </w:tcPr>
          <w:p>
            <w:r/>
            <w:r>
              <w:t>0.5054</w:t>
            </w:r>
          </w:p>
        </w:tc>
      </w:tr>
    </w:tbl>
    <w:p/>
    <w:p>
      <w:pPr>
        <w:spacing w:after="160"/>
      </w:pPr>
      <w: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i/>
        </w:rPr>
        <w:t>accuracy</w:t>
      </w:r>
      <w: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sz w:val="20"/>
        </w:rPr>
        <w:t>EngagementTCN</w:t>
      </w:r>
      <w:r>
        <w:t xml:space="preserve"> (Section 3.2.6) is trained per the regime in Section 3.2.7. Six training configurations were run, varying the loss formulation (weighted cross-entropy versus focal loss),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t xml:space="preserve">The winning configuration — full inverse-frequency weighted cross-entropy (weight exponent 1.0), learning rate 1×10⁻³ — reached </w:t>
      </w:r>
      <w:r>
        <w:rPr>
          <w:b/>
        </w:rPr>
        <w:t>validation macro-F1 0.3061</w:t>
      </w:r>
      <w: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r>
        <w:rPr>
          <w:i/>
          <w:color w:val="606060"/>
        </w:rPr>
        <w:t>[Figure 4.1: training curves for the winning run, `artifacts/runs/&lt;timestamp&gt;/metrics.csv` — insert here]</w:t>
      </w:r>
    </w:p>
    <w:p>
      <w:pPr>
        <w:spacing w:after="160"/>
      </w:pPr>
      <w:r>
        <w:t>Final test-set evaluation (run once, after freeze):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Metric</w:t>
            </w:r>
          </w:p>
        </w:tc>
        <w:tc>
          <w:tcPr>
            <w:tcW w:type="dxa" w:w="2880"/>
            <w:shd w:val="clear" w:color="auto" w:fill="D9E2F3"/>
          </w:tcPr>
          <w:p>
            <w:r>
              <w:rPr>
                <w:b/>
              </w:rPr>
            </w:r>
            <w:r>
              <w:rPr>
                <w:b/>
              </w:rPr>
              <w:t>fp32</w:t>
            </w:r>
          </w:p>
        </w:tc>
        <w:tc>
          <w:tcPr>
            <w:tcW w:type="dxa" w:w="2880"/>
            <w:shd w:val="clear" w:color="auto" w:fill="D9E2F3"/>
          </w:tcPr>
          <w:p>
            <w:r>
              <w:rPr>
                <w:b/>
              </w:rPr>
            </w:r>
            <w:r>
              <w:rPr>
                <w:b/>
              </w:rPr>
              <w:t>int8 (shipped)</w:t>
            </w:r>
          </w:p>
        </w:tc>
      </w:tr>
      <w:tr>
        <w:tc>
          <w:tcPr>
            <w:tcW w:type="dxa" w:w="2880"/>
          </w:tcPr>
          <w:p>
            <w:r/>
            <w:r>
              <w:t>Test macro-F1</w:t>
            </w:r>
          </w:p>
        </w:tc>
        <w:tc>
          <w:tcPr>
            <w:tcW w:type="dxa" w:w="2880"/>
          </w:tcPr>
          <w:p>
            <w:r/>
            <w:r>
              <w:t>0.2475</w:t>
            </w:r>
          </w:p>
        </w:tc>
        <w:tc>
          <w:tcPr>
            <w:tcW w:type="dxa" w:w="2880"/>
          </w:tcPr>
          <w:p>
            <w:r/>
            <w:r>
              <w:t>0.2460</w:t>
            </w:r>
          </w:p>
        </w:tc>
      </w:tr>
      <w:tr>
        <w:tc>
          <w:tcPr>
            <w:tcW w:type="dxa" w:w="2880"/>
          </w:tcPr>
          <w:p>
            <w:r/>
            <w:r>
              <w:t>Model size</w:t>
            </w:r>
          </w:p>
        </w:tc>
        <w:tc>
          <w:tcPr>
            <w:tcW w:type="dxa" w:w="2880"/>
          </w:tcPr>
          <w:p>
            <w:r/>
            <w:r>
              <w:t>163 KB (167,243 B)</w:t>
            </w:r>
          </w:p>
        </w:tc>
        <w:tc>
          <w:tcPr>
            <w:tcW w:type="dxa" w:w="2880"/>
          </w:tcPr>
          <w:p>
            <w:r/>
            <w:r>
              <w:t>60 KB (61,650 B)</w:t>
            </w:r>
          </w:p>
        </w:tc>
      </w:tr>
    </w:tbl>
    <w:p/>
    <w:p>
      <w:r>
        <w:rPr>
          <w:i/>
          <w:color w:val="606060"/>
        </w:rPr>
        <w:t>[Table 4.3: per-class precision/recall/F1, `docs/results/metrics_test.csv`; Figure 4.2: confusion matrix, `docs/results/confusion_test.png`; Figure 4.3: ROC curves, `docs/results/roc_test.png` — insert here]</w:t>
      </w:r>
    </w:p>
    <w:p>
      <w:pPr>
        <w:spacing w:after="160"/>
      </w:pPr>
      <w: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t xml:space="preserve">The </w:t>
      </w:r>
      <w:r>
        <w:rPr>
          <w:b/>
        </w:rPr>
        <w:t>export parity check</w:t>
      </w:r>
      <w:r>
        <w:t xml:space="preserve"> (Section 3.2.8) passed at a maximum absolute difference of well under the 1×10⁻⁵ threshold across 100 random inputs (PyTorch vs. exported ONNX), and the </w:t>
      </w:r>
      <w:r>
        <w:rPr>
          <w:b/>
        </w:rPr>
        <w:t>static QDQ int8 quantization</w:t>
      </w:r>
      <w:r>
        <w:t xml:space="preserve"> cost 0.0015 macro-F1 on Test (0.2475 → 0.2460) for a 2.7× size reduction — the browser-execution smoke test (Section 2.5.2) confirmed the quantized graph loads and runs correctly inside </w:t>
      </w:r>
      <w:r>
        <w:rPr>
          <w:rFonts w:ascii="Consolas" w:hAnsi="Consolas"/>
          <w:sz w:val="20"/>
        </w:rPr>
        <w:t>onnxruntime-web</w:t>
      </w:r>
      <w:r>
        <w:t>'s WASM backend, with a measured in-browser inference p50 latency of 0.4 ms (Experiment 5).</w:t>
      </w:r>
    </w:p>
    <w:p>
      <w:pPr>
        <w:pStyle w:val="Heading3"/>
      </w:pPr>
      <w:r>
        <w:t>4.3.3 Evaluation and Discussion</w:t>
      </w:r>
    </w:p>
    <w:p>
      <w:pPr>
        <w:spacing w:after="160"/>
      </w:pPr>
      <w:r>
        <w:t>The temporal model beats both classical baselines on validation macro-F1 (0.3061 vs. 0.2669 best classical), satisfying this project's own acceptance criterion for the model (Section 1.4, O2) and providing direct, measured evidence — not an assumption — that the additional temporal structure a TCN exploits over a fixed aggregate-statistics representation is worth the added deployment complexity Section 3.2.9 describes. The gap narrows somewhat on Test (macro-F1 0.2475 versus classical 0.2643/0.2479) — the validation-set advantage does not fully carry over, a genuine and reported finding rather than a discrepancy to explain away, and plausibly connected to the same class-0 sparsity discussed next: with only 32 test windows in the rarest class, a handful of hard or ambiguous examples can move the test macro-F1 substantially in either direction, in a way 11,432 validation windows average out more reliably.</w:t>
      </w:r>
    </w:p>
    <w:p>
      <w:pPr>
        <w:spacing w:after="160"/>
      </w:pPr>
      <w:r>
        <w:t xml:space="preserve">The </w:t>
      </w:r>
      <w:r>
        <w:rPr>
          <w:b/>
        </w:rPr>
        <w:t>class-0 result (F1 = 0.000 on Test) is the honest limitation this report states plainly rather than minimises</w:t>
      </w:r>
      <w:r>
        <w:t xml:space="preserve">, consistent with the position taken in Section 1.5 and Section 2.4.2: with only 4 clips (32 windows) of "very low engagement" in the entire test split, a single model getting zero of them right is not strong evidence the model has </w:t>
      </w:r>
      <w:r>
        <w:rPr>
          <w:i/>
        </w:rPr>
        <w:t>no</w:t>
      </w:r>
      <w: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t xml:space="preserve">Set against the closest directly comparable prior work — Abedi and Khan's (2021) ResNet+TCN hybrid, 63.9% </w:t>
      </w:r>
      <w:r>
        <w:rPr>
          <w:i/>
        </w:rPr>
        <w:t>accuracy</w:t>
      </w:r>
      <w: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t>Rather than asserting the "no data leaves the device" claim, three independent forms of evidence were collected: (a) a source-level audit of every network-capable browser API (</w:t>
      </w:r>
      <w:r>
        <w:rPr>
          <w:rFonts w:ascii="Consolas" w:hAnsi="Consolas"/>
          <w:sz w:val="20"/>
        </w:rPr>
        <w:t>fetch</w:t>
      </w:r>
      <w:r>
        <w:t xml:space="preserve">, </w:t>
      </w:r>
      <w:r>
        <w:rPr>
          <w:rFonts w:ascii="Consolas" w:hAnsi="Consolas"/>
          <w:sz w:val="20"/>
        </w:rPr>
        <w:t>XMLHttpRequest</w:t>
      </w:r>
      <w:r>
        <w:t xml:space="preserve">, </w:t>
      </w:r>
      <w:r>
        <w:rPr>
          <w:rFonts w:ascii="Consolas" w:hAnsi="Consolas"/>
          <w:sz w:val="20"/>
        </w:rPr>
        <w:t>WebSocket</w:t>
      </w:r>
      <w:r>
        <w:t xml:space="preserve">, </w:t>
      </w:r>
      <w:r>
        <w:rPr>
          <w:rFonts w:ascii="Consolas" w:hAnsi="Consolas"/>
          <w:sz w:val="20"/>
        </w:rPr>
        <w:t>EventSource</w:t>
      </w:r>
      <w:r>
        <w:t xml:space="preserve">, </w:t>
      </w:r>
      <w:r>
        <w:rPr>
          <w:rFonts w:ascii="Consolas" w:hAnsi="Consolas"/>
          <w:sz w:val="20"/>
        </w:rPr>
        <w:t>sendBeacon</w:t>
      </w:r>
      <w: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t xml:space="preserve">The source audit found exactly two network-capable calls in the entire application, both </w:t>
      </w:r>
      <w:r>
        <w:rPr>
          <w:rFonts w:ascii="Consolas" w:hAnsi="Consolas"/>
          <w:sz w:val="20"/>
        </w:rPr>
        <w:t>fetch</w:t>
      </w:r>
      <w: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sz w:val="20"/>
        </w:rPr>
        <w:t>POST</w:t>
      </w:r>
      <w:r>
        <w:t xml:space="preserve"> to </w:t>
      </w:r>
      <w:r>
        <w:rPr>
          <w:rFonts w:ascii="Consolas" w:hAnsi="Consolas"/>
          <w:sz w:val="20"/>
        </w:rPr>
        <w:t>odml.pa.googleapis.com</w:t>
      </w:r>
      <w:r>
        <w:t xml:space="preserve">, firing on a 60-second interval, originating from inside the third-party </w:t>
      </w:r>
      <w:r>
        <w:rPr>
          <w:rFonts w:ascii="Consolas" w:hAnsi="Consolas"/>
          <w:sz w:val="20"/>
        </w:rPr>
        <w:t>@mediapipe/tasks-vision</w:t>
      </w:r>
      <w:r>
        <w:t xml:space="preserve"> package itself — undocumented, containing only a library version string and a handful of small integers (not frame or landmark data), and with no public opt-out exposed by that library's configuration surface.</w:t>
      </w:r>
    </w:p>
    <w:p>
      <w:pPr>
        <w:spacing w:after="160"/>
      </w:pPr>
      <w:r>
        <w:t xml:space="preserve">A </w:t>
      </w:r>
      <w:r>
        <w:rPr>
          <w:rFonts w:ascii="Consolas" w:hAnsi="Consolas"/>
          <w:sz w:val="20"/>
        </w:rPr>
        <w:t>Content-Security-Policy: connect-src 'self'</w:t>
      </w:r>
      <w:r>
        <w:t xml:space="preserve"> header was added (</w:t>
      </w:r>
      <w:r>
        <w:rPr>
          <w:rFonts w:ascii="Consolas" w:hAnsi="Consolas"/>
          <w:sz w:val="20"/>
        </w:rPr>
        <w:t>next.config.mjs</w:t>
      </w:r>
      <w:r>
        <w:t xml:space="preserve">) and the 65-second recording repeated: zero requests reached </w:t>
      </w:r>
      <w:r>
        <w:rPr>
          <w:rFonts w:ascii="Consolas" w:hAnsi="Consolas"/>
          <w:sz w:val="20"/>
        </w:rPr>
        <w:t>googleapis.com</w:t>
      </w:r>
      <w: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rPr>
        <w:t>not</w:t>
      </w:r>
      <w:r>
        <w:t xml:space="preserve"> to patch around the one call found, but to install a browser-enforced policy that fails closed against </w:t>
      </w:r>
      <w:r>
        <w:rPr>
          <w:i/>
        </w:rPr>
        <w:t>any</w:t>
      </w:r>
      <w:r>
        <w:t xml:space="preserve"> current or future cross-origin request, from this code or any dependency — converting the privacy claim from something that has to be re-audited after every dependency update into something the browser itself guarantees regardless. The scope of that guarantee is stated precisely rather than oversold: it covers the single-origin deployment tested; a future multi-subdomain deployment would need the policy's </w:t>
      </w:r>
      <w:r>
        <w:rPr>
          <w:rFonts w:ascii="Consolas" w:hAnsi="Consolas"/>
          <w:sz w:val="20"/>
        </w:rPr>
        <w:t>connect-src</w:t>
      </w:r>
      <w:r>
        <w:t xml:space="preserve"> directive extended explicitly rather than continuing to rely on </w:t>
      </w:r>
      <w:r>
        <w:rPr>
          <w:rFonts w:ascii="Consolas" w:hAnsi="Consolas"/>
          <w:sz w:val="20"/>
        </w:rPr>
        <w:t>'self'</w:t>
      </w:r>
      <w:r>
        <w:t>.</w:t>
      </w:r>
    </w:p>
    <w:p>
      <w:pPr>
        <w:pStyle w:val="Heading2"/>
      </w:pPr>
      <w:r>
        <w:t>4.5 Experiment 5 — In-Browser Performance Benchmark</w:t>
      </w:r>
    </w:p>
    <w:p>
      <w:pPr>
        <w:pStyle w:val="Heading3"/>
      </w:pPr>
      <w:r>
        <w:t>4.5.1 Set-up</w:t>
      </w:r>
    </w:p>
    <w:p>
      <w:pPr>
        <w:spacing w:after="160"/>
      </w:pPr>
      <w:r>
        <w:t>The shipped application includes a self-contained benchmark (</w:t>
      </w:r>
      <w:r>
        <w:rPr>
          <w:rFonts w:ascii="Consolas" w:hAnsi="Consolas"/>
          <w:sz w:val="20"/>
        </w:rPr>
        <w:t>lib/benchmark.ts</w:t>
      </w:r>
      <w:r>
        <w:t xml:space="preserve">): 300 inference cycles against the shipped int8 model, reporting mean/p50/p95/p99 latency, mean throughput, and JS heap delta, together with </w:t>
      </w:r>
      <w:r>
        <w:rPr>
          <w:rFonts w:ascii="Consolas" w:hAnsi="Consolas"/>
          <w:sz w:val="20"/>
        </w:rPr>
        <w:t>navigator.hardwareConcurrency</w:t>
      </w:r>
      <w:r>
        <w:t xml:space="preserve"> and </w:t>
      </w:r>
      <w:r>
        <w:rPr>
          <w:rFonts w:ascii="Consolas" w:hAnsi="Consolas"/>
          <w:sz w:val="20"/>
        </w:rPr>
        <w:t>navigator.deviceMemory</w:t>
      </w:r>
      <w:r>
        <w:t xml:space="preserve"> as rough hardware-context hints. A Playwright-driven collector (</w:t>
      </w:r>
      <w:r>
        <w:rPr>
          <w:rFonts w:ascii="Consolas" w:hAnsi="Consolas"/>
          <w:sz w:val="20"/>
        </w:rPr>
        <w:t>ml/scripts/collect_benchmark.py</w:t>
      </w:r>
      <w:r>
        <w:t>) runs this against a genuine production build (</w:t>
      </w:r>
      <w:r>
        <w:rPr>
          <w:rFonts w:ascii="Consolas" w:hAnsi="Consolas"/>
          <w:sz w:val="20"/>
        </w:rPr>
        <w:t>npm run build &amp;&amp; npm start</w:t>
      </w:r>
      <w:r>
        <w:t>) headlessly and archives the labelled result.</w:t>
      </w:r>
    </w:p>
    <w:p>
      <w:pPr>
        <w:pStyle w:val="Heading3"/>
      </w:pPr>
      <w:r>
        <w:t>4.5.2 Results</w:t>
      </w:r>
    </w:p>
    <w:p>
      <w:pPr>
        <w:spacing w:after="160"/>
      </w:pPr>
      <w:r>
        <w:t xml:space="preserve">On the development machine used throughout this project (13th Gen Intel Core i7-13700H, 16 GB RAM, 20 logical threads): mean inference latency </w:t>
      </w:r>
      <w:r>
        <w:rPr>
          <w:b/>
        </w:rPr>
        <w:t>0.567 ms</w:t>
      </w:r>
      <w:r>
        <w:t xml:space="preserve">, p50 </w:t>
      </w:r>
      <w:r>
        <w:rPr>
          <w:b/>
        </w:rPr>
        <w:t>0.475 ms</w:t>
      </w:r>
      <w:r>
        <w:t xml:space="preserve">, p95 </w:t>
      </w:r>
      <w:r>
        <w:rPr>
          <w:b/>
        </w:rPr>
        <w:t>1.165 ms</w:t>
      </w:r>
      <w:r>
        <w:t xml:space="preserve">, p99 </w:t>
      </w:r>
      <w:r>
        <w:rPr>
          <w:b/>
        </w:rPr>
        <w:t>2.115 ms</w:t>
      </w:r>
      <w:r>
        <w:t>, mean throughput ≈1,762 inferences/second, zero measured JS heap growth over the 300-cycle run, WASM backend confirmed running with 20 threads.</w:t>
      </w:r>
    </w:p>
    <w:p>
      <w:r>
        <w:rPr>
          <w:i/>
          <w:color w:val="606060"/>
        </w:rPr>
        <w:t>[Table 4.4: full benchmark JSON, `docs/benchmarks/benchmark-dev-i7-13700H-16GB.json` — insert here]</w:t>
      </w:r>
    </w:p>
    <w:p>
      <w:pPr>
        <w:pStyle w:val="Heading3"/>
      </w:pPr>
      <w:r>
        <w:t>4.5.3 Evaluation and Discussion</w:t>
      </w:r>
    </w:p>
    <w:p>
      <w:pPr>
        <w:spacing w:after="160"/>
      </w:pPr>
      <w:r>
        <w:t>At a real-world inference cadence of one prediction per 3.0-second window (</w:t>
      </w:r>
      <w:r>
        <w:rPr>
          <w:rFonts w:ascii="Consolas" w:hAnsi="Consolas"/>
          <w:sz w:val="20"/>
        </w:rPr>
        <w:t>CONTRACT.md</w:t>
      </w:r>
      <w: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t xml:space="preserve">Six checks, each exercising the complete live pipeline (not a unit in isolation), all driven via Playwright against a genuinely fresh </w:t>
      </w:r>
      <w:r>
        <w:rPr>
          <w:rFonts w:ascii="Consolas" w:hAnsi="Consolas"/>
          <w:sz w:val="20"/>
        </w:rPr>
        <w:t>git clone</w:t>
      </w:r>
      <w: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 engines (Chrome, Edge, Firefox); (iv) no face in frame; (v) two faces simultaneously in frame; (vi) degraded lighting and eyewear glare.</w:t>
      </w:r>
    </w:p>
    <w:p>
      <w:pPr>
        <w:pStyle w:val="Heading3"/>
      </w:pPr>
      <w:r>
        <w:t>4.6.2 Results</w:t>
      </w:r>
    </w:p>
    <w:p>
      <w:pPr>
        <w:spacing w:after="160"/>
      </w:pPr>
      <w:r>
        <w:rPr>
          <w:b/>
        </w:rPr>
        <w:t>(i) End-to-end integration.</w:t>
      </w:r>
      <w:r>
        <w:t xml:space="preserve"> After the same live-landmarker split introduced in Experiment 1 (§4.1.2), a fake-webcam run against a rebuilt debug hook (</w:t>
      </w:r>
      <w:r>
        <w:rPr>
          <w:rFonts w:ascii="Consolas" w:hAnsi="Consolas"/>
          <w:sz w:val="20"/>
        </w:rPr>
        <w:t>window.__ENGINE_STATE</w:t>
      </w:r>
      <w: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sz w:val="20"/>
        </w:rPr>
        <w:t>live</w:t>
      </w:r>
      <w:r>
        <w:t xml:space="preserve"> — confirming the full chain (webcam → landmarker → features → scaler → ONNX → UI) functions correctly end to end on the current, merged codebase.</w:t>
      </w:r>
    </w:p>
    <w:p>
      <w:pPr>
        <w:spacing w:after="160"/>
      </w:pPr>
      <w:r>
        <w:rPr>
          <w:b/>
        </w:rPr>
        <w:t>(ii) Clean-machine install.</w:t>
      </w:r>
      <w:r>
        <w:t xml:space="preserve"> Following the documented setup instructions verbatim on a fresh clone surfaced one genuine documentation defect: </w:t>
      </w:r>
      <w:r>
        <w:rPr>
          <w:rFonts w:ascii="Consolas" w:hAnsi="Consolas"/>
          <w:sz w:val="20"/>
        </w:rPr>
        <w:t>pip install -r ml/requirements.txt</w:t>
      </w:r>
      <w:r>
        <w:t>, run exactly as first documented, failed outright (</w:t>
      </w:r>
      <w:r>
        <w:rPr>
          <w:rFonts w:ascii="Consolas" w:hAnsi="Consolas"/>
          <w:sz w:val="20"/>
        </w:rPr>
        <w:t>torch==2.13.0+cpu</w:t>
      </w:r>
      <w:r>
        <w:t xml:space="preserve"> could not be resolved from the default package index) — the correct invocation requires an additional </w:t>
      </w:r>
      <w:r>
        <w:rPr>
          <w:rFonts w:ascii="Consolas" w:hAnsi="Consolas"/>
          <w:sz w:val="20"/>
        </w:rPr>
        <w:t>--extra-index-url</w:t>
      </w:r>
      <w:r>
        <w:t xml:space="preserve"> flag that had been documented only as a conditional fallback, not the primary instruction. This was corrected at the source. With the correction applied, the full documented sequence (</w:t>
      </w:r>
      <w:r>
        <w:rPr>
          <w:rFonts w:ascii="Consolas" w:hAnsi="Consolas"/>
          <w:sz w:val="20"/>
        </w:rPr>
        <w:t>pip install ...</w:t>
      </w:r>
      <w:r>
        <w:t xml:space="preserve">, </w:t>
      </w:r>
      <w:r>
        <w:rPr>
          <w:rFonts w:ascii="Consolas" w:hAnsi="Consolas"/>
          <w:sz w:val="20"/>
        </w:rPr>
        <w:t>npm install</w:t>
      </w:r>
      <w:r>
        <w:t xml:space="preserve">, </w:t>
      </w:r>
      <w:r>
        <w:rPr>
          <w:rFonts w:ascii="Consolas" w:hAnsi="Consolas"/>
          <w:sz w:val="20"/>
        </w:rPr>
        <w:t>npm run build</w:t>
      </w:r>
      <w:r>
        <w:t xml:space="preserve">, </w:t>
      </w:r>
      <w:r>
        <w:rPr>
          <w:rFonts w:ascii="Consolas" w:hAnsi="Consolas"/>
          <w:sz w:val="20"/>
        </w:rPr>
        <w:t>npm start</w:t>
      </w:r>
      <w:r>
        <w:t>) succeeded and produced real, correct predictions against a fake webcam feed.</w:t>
      </w:r>
    </w:p>
    <w:p>
      <w:pPr>
        <w:spacing w:after="160"/>
      </w:pPr>
      <w:r>
        <w:rPr>
          <w:b/>
        </w:rPr>
        <w:t>(iii) Cross-browser.</w:t>
      </w:r>
      <w:r>
        <w:t xml:space="preserve"> Chrome and Edge (both Chromium-based) produced identical results: full 478-landmark detection, valid predictions, and </w:t>
      </w:r>
      <w:r>
        <w:rPr>
          <w:rFonts w:ascii="Consolas" w:hAnsi="Consolas"/>
          <w:sz w:val="20"/>
        </w:rPr>
        <w:t>wasm×20</w:t>
      </w:r>
      <w: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rPr>
        <w:t>(iv)–(vi) Adverse camera conditions.</w:t>
      </w:r>
      <w:r>
        <w:t xml:space="preserve"> No face in frame produced all-zero features with </w:t>
      </w:r>
      <w:r>
        <w:rPr>
          <w:rFonts w:ascii="Consolas" w:hAnsi="Consolas"/>
          <w:sz w:val="20"/>
        </w:rPr>
        <w:t>face_present = 0</w:t>
      </w:r>
      <w:r>
        <w:t>, exactly per the missing-face rule (Section 3.2.2), with the dashboard remaining live and responsive rather than freezing. 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i/>
        </w:rPr>
        <w:t>test method</w:t>
      </w:r>
      <w:r>
        <w:t xml:space="preserve">, not a confirmed limitation of the </w:t>
      </w:r>
      <w:r>
        <w:rPr>
          <w:i/>
        </w:rPr>
        <w:t>application</w:t>
      </w:r>
      <w:r>
        <w:t xml:space="preserve"> — a manual, real-webcam check in Firefox remains outstanding and is named as such rather than assumed to be fine by extrapolation from Chrome/Edge. The absence of a dedicated on-screen "no face currently visible" indicator, distinct from the camera's own hardware-error states, is a minor interface observation rather than a defect (Section 5.2.2): the zeroed feature panel is technically sufficient signal, but a live audience unfamiliar with the system could plausibly mistake a genuinely no-face frame for a frozen application, which is worth a spoken callout during any live demonstration rather than a silent assumption that the dashboard is self-explanatory in the moment.</w:t>
      </w:r>
    </w:p>
    <w:p>
      <w:r>
        <w:br w:type="page"/>
      </w:r>
    </w:p>
    <w:p>
      <w:pPr>
        <w:pStyle w:val="Heading1"/>
      </w:pPr>
      <w:r>
        <w:t>5. Conclusion</w:t>
      </w:r>
    </w:p>
    <w:p>
      <w:pPr>
        <w:pStyle w:val="Heading2"/>
      </w:pPr>
      <w:r>
        <w:t>5.1 Summary of Results</w:t>
      </w:r>
    </w:p>
    <w:p>
      <w:pPr>
        <w:spacing w:after="160"/>
      </w:pPr>
      <w:r>
        <w:t>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(worst-case difference 0.0157, Section 4.1) — and the process of properly verifying that equivalence caught and fixed a real production regression that a less rigorous test would have missed entirely. A temporal convolutional network of 41,544 parameters, trained with class-weighted loss to counteract DAiSEE's severe engagement-class imbalance, beats both a majority-class floor and two classical-ML baselines on validation macro-F1 (0.3061 versus 0.2669 best classical, Section 4.3),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reproducible network evidence rather than assertion, including disclosure of one genuine third-party telemetry call found and mitigated at the browser-policy level (Section 4.4). The system was verified, not merely built, to survive a clean install on unfamiliar hardware, three of the major browser engines, and five deliberately adverse camera conditions, with every finding — favourable or not — recorded honestly (Section 4.6).</w:t>
      </w:r>
    </w:p>
    <w:p>
      <w:pPr>
        <w:spacing w:after="160"/>
      </w:pPr>
      <w:r>
        <w:t xml:space="preserve">The one number a reader unfamiliar with the class-imbalance context might reasonably question is the shipped model's absolute test macro-F1 of 0.246. This report has been explicit throughout, not defensive after the fact, about what that number does and does not mean: it substantially exceeds the majority-class floor (0.1655) and is directly comparable, on the same metric and the same official test split, to this project's own classical baselines; it is well below the </w:t>
      </w:r>
      <w:r>
        <w:rPr>
          <w:i/>
        </w:rPr>
        <w:t>accuracy</w:t>
      </w:r>
      <w:r>
        <w:t xml:space="preserve"> figures reported by prior work using considerably heavier, non-edge-deployable architectures on the same dataset (Section 4.3.3); and it is measurably suppressed by a single engagement class with only 4 clips in the entire test split, a statistical reality of the dataset rather than a modelling failure, which this report surfaces via a secondary 3-class-merged metric (0.3318) rather than concealing behind the single headline figure.</w:t>
      </w:r>
    </w:p>
    <w:p>
      <w:pPr>
        <w:spacing w:after="160"/>
      </w:pPr>
      <w: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meaningfully outperform naive and classical baselines, while falling well short of the ceiling heavier, non-privacy-constrained architectures reach on the same task (Section 4.3.3, Section 5.2.2). None of these three qualified answers were available before this project produced the working system and the evidence to interrogate it; that gap — between a plausible architectural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i/>
        </w:rPr>
        <w:t>actual deployed system</w:t>
      </w:r>
      <w:r>
        <w:t>, rather than a convenient stand-in for it, found a real defect that a less faithful test — the one previously on record — structurally could not have found. The decision to treat verification (feature parity, export parity, browser-execution smoke tests, end-to-end integration) as integrated CI-gated methodology rather than optional post-hoc QA is the direct cause of that defect being caught before submission rather than during a live demonstration. Reporting practice throughout this project treats an honestly-analysed weak or partial result as acceptable and a concealed one as not (Section 1.5, Section 4.3.3, Section 4.6.3) — visible in the class-0 discussion, the single-machine benchmark caveat, and the untested-in-Firefox caveat, none of which were smoothed over to present a cleaner narrative.</w:t>
      </w:r>
    </w:p>
    <w:p>
      <w:pPr>
        <w:pStyle w:val="Heading3"/>
      </w:pPr>
      <w:r>
        <w:t>5.2.2 Methodology Weaknesses</w:t>
      </w:r>
    </w:p>
    <w:p>
      <w:pPr>
        <w:spacing w:after="160"/>
      </w:pPr>
      <w:r>
        <w:t>The geometric-feature representation (Section 2.1.2, Section 3.2.2), chosen specifically for its edge-deployability and cross-language verifiability, is also the most defensible candidate for this project's absolute accuracy ceiling: it necessarily discards spatial texture information a learned CNN/ResNet frontend retains, and the gap to Abedi and Khan's (2021) considerably heavier ResNet+TCN hybrid (Section 4.3.3) is consistent with, though not proven to be fully explained by, that discarded information. Firefox's real-face detection remains unverified by direct test, for a genuine tooling limitation (no file-backed fake-camera mechanism in Playwright for that engine) rather than a discovered defect, but the distinction does not remove the gap in evidence (Section 4.6.3). Only one of the three benchmark machines required to make a defensible hardware-comparability claim has been measured (Section 4.5.3). The class-0 statistical unreliability (Section 1.5, Section 4.3.3) is a property of the dataset this project did not create and could not resolve within its scope, but it does mean the headline macro-F1 figure should always be read alongside its supporting per-class and 3-class-merged context, never quoted alone.</w:t>
      </w:r>
    </w:p>
    <w:p>
      <w:pPr>
        <w:pStyle w:val="Heading3"/>
      </w:pPr>
      <w:r>
        <w:t>5.2.3 Augmentations and Alternate Approaches</w:t>
      </w:r>
    </w:p>
    <w:p>
      <w:pPr>
        <w:spacing w:after="160"/>
      </w:pPr>
      <w:r>
        <w:t xml:space="preserve">Three concrete alternatives, each considered and each rejected for a specific, stated reason rather than left unexamined: </w:t>
      </w:r>
      <w:r>
        <w:rPr>
          <w:b/>
        </w:rPr>
        <w:t>(a)</w:t>
      </w:r>
      <w: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rPr>
        <w:t>(b)</w:t>
      </w:r>
      <w: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 an empirical comparison between the two remedies on this exact dataset and feature set would be a natural, well-scoped follow-up rather than a settled question; </w:t>
      </w:r>
      <w:r>
        <w:rPr>
          <w:b/>
        </w:rPr>
        <w:t>(c)</w:t>
      </w:r>
      <w: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t>In descending order of how directly each follows from a limitation already named in this report, rather than being a speculative extension. This ordering is itself a methodological choice worth stating explicitly: each item below traces to a specific, evidenced gap identified in Section 4 or Section 5.2, rather than to a generic "directions for further research" list assembled independently of what this project actually found.</w:t>
      </w:r>
    </w:p>
    <w:p>
      <w:pPr>
        <w:pStyle w:val="ListNumber"/>
      </w:pPr>
      <w:r>
        <w:rPr>
          <w:b/>
        </w:rPr>
        <w:t>Complete the multi-machine benchmark</w:t>
      </w:r>
      <w:r>
        <w:t xml:space="preserve"> (Section 4.5.3) — at least two further machines spanning different hardware tiers, using the runbook already prepared for this purpose, to make the hardware-comparability claim this report's own cited literature insists on ("X FPS is meaningless without stating the hardware") actually defensible rather than partially evidenced.</w:t>
      </w:r>
    </w:p>
    <w:p>
      <w:pPr>
        <w:pStyle w:val="ListNumber"/>
      </w:pPr>
      <w:r>
        <w:rPr>
          <w:b/>
        </w:rPr>
        <w:t>Manually verify real-face detection in Firefox</w:t>
      </w:r>
      <w:r>
        <w:t xml:space="preserve"> (Section 4.6.3) with an actual webcam and a human subject, closing the one gap in this project's cross-browser evidence that automated tooling could not close on its own.</w:t>
      </w:r>
    </w:p>
    <w:p>
      <w:pPr>
        <w:pStyle w:val="ListNumber"/>
      </w:pPr>
      <w:r>
        <w:rPr>
          <w:b/>
        </w:rPr>
        <w:t>A controlled comparison of class-imbalance remedies</w:t>
      </w:r>
      <w:r>
        <w:t xml:space="preserve"> on this exact feature representation and dataset split — inverse-frequency weighting (used here), focal loss (tried and underperformed here, Section 4.3.2), and SMOTE-style oversampling (used by prior work, Section 5.2.3(b)) — to move from "this project's choice outperformed the alternatives it tried" to a properly controlled ablation.</w:t>
      </w:r>
    </w:p>
    <w:p>
      <w:pPr>
        <w:pStyle w:val="ListNumber"/>
      </w:pPr>
      <w:r>
        <w:rPr>
          <w:b/>
        </w:rPr>
        <w:t>A hybrid architecture study</w:t>
      </w:r>
      <w:r>
        <w:t>, adding a lightweight learned spatial encoder ahead of the existing TCN temporal head as an explicitly optional, higher-footprint configuration alongside (not replacing) the current geometric-feature model, to directly measure how much of the gap to Abedi and Khan (2021) is attributable to spatial-texture information versus other factors, rather than inferring it indirectly as this report currently does.</w:t>
      </w:r>
    </w:p>
    <w:p>
      <w:pPr>
        <w:pStyle w:val="ListNumber"/>
      </w:pPr>
      <w:r>
        <w:rPr>
          <w:b/>
        </w:rPr>
        <w:t>A larger, better-balanced evaluation set for the rarest engagement class specifically</w:t>
      </w:r>
      <w:r>
        <w:t xml:space="preserve"> — whether via additional annotated data, a stratified re-sampling of DAiSEE's existing test pool, or an explicitly separate held-out low-engagement evaluation set — to give the class-0 metric enough statistical power to be trusted on its own, rather than requiring the 3-class-merged fallback this report currently relies on.</w:t>
      </w:r>
    </w:p>
    <w:p>
      <w:r>
        <w:br w:type="page"/>
      </w:r>
    </w:p>
    <w:p>
      <w:pPr>
        <w:pStyle w:val="Heading2"/>
      </w:pPr>
      <w:r>
        <w:t>References</w:t>
      </w:r>
    </w:p>
    <w:p>
      <w:pPr>
        <w:spacing w:after="160"/>
      </w:pPr>
      <w:r>
        <w:t xml:space="preserve">Abedi, A. and Khan, S.S. (2021) 'Improving state-of-the-art in detecting student engagement with ResNet and TCN hybrid network', in </w:t>
      </w:r>
      <w:r>
        <w:rPr>
          <w:i/>
        </w:rPr>
        <w:t>2021 18th Conference on Robots and Vision (CRV)</w:t>
      </w:r>
      <w:r>
        <w:t>. IEEE. Available at: https://arxiv.org/abs/2104.10122 (Accessed: 9 August 2026).</w:t>
      </w:r>
    </w:p>
    <w:p>
      <w:pPr>
        <w:spacing w:after="160"/>
      </w:pPr>
      <w:r>
        <w:t xml:space="preserve">Bai, S., Kolter, J.Z. and Koltun, V. (2018) 'An empirical evaluation of generic convolutional and recurrent networks for sequence modeling', </w:t>
      </w:r>
      <w:r>
        <w:rPr>
          <w:i/>
        </w:rPr>
        <w:t>arXiv preprint arXiv:1803.01271</w:t>
      </w:r>
      <w:r>
        <w:t>. Available at: https://arxiv.org/abs/1803.01271 (Accessed: 9 August 2026).</w:t>
      </w:r>
    </w:p>
    <w:p>
      <w:pPr>
        <w:spacing w:after="160"/>
      </w:pPr>
      <w:r>
        <w:t xml:space="preserve">Dewan, M.A.A., Murshed, M. and Lin, F. (2019) 'Engagement detection in online learning: a review', </w:t>
      </w:r>
      <w:r>
        <w:rPr>
          <w:i/>
        </w:rPr>
        <w:t>Smart Learning Environments</w:t>
      </w:r>
      <w:r>
        <w:t>, 6(1), article 1. Available at: https://slejournal.springeropen.com/articles/10.1186/s40561-018-0080-z (Accessed: 9 August 2026).</w:t>
      </w:r>
    </w:p>
    <w:p>
      <w:pPr>
        <w:spacing w:after="160"/>
      </w:pPr>
      <w:r>
        <w:t xml:space="preserve">Gupta, A., D'Cunha, A., Awasthi, K. and Balasubramanian, V. (2016) 'DAiSEE: towards user engagement recognition in the wild', </w:t>
      </w:r>
      <w:r>
        <w:rPr>
          <w:i/>
        </w:rPr>
        <w:t>arXiv preprint arXiv:1609.01885</w:t>
      </w:r>
      <w:r>
        <w:t>. Available at: https://arxiv.org/abs/1609.01885 (Accessed: 1 August 2026).</w:t>
      </w:r>
    </w:p>
    <w:p>
      <w:pPr>
        <w:spacing w:after="160"/>
      </w:pPr>
      <w:r>
        <w:t xml:space="preserve">Jacob, B., Kligys, S., Chen, B., Zhu, M., Tang, M., Howard, A., Adam, H. and Kalenichenko, D. (2018) 'Quantization and training of neural networks for efficient integer-arithmetic-only inference', in </w:t>
      </w:r>
      <w:r>
        <w:rPr>
          <w:i/>
        </w:rPr>
        <w:t>Proceedings of the IEEE Conference on Computer Vision and Pattern Recognition (CVPR)</w:t>
      </w:r>
      <w:r>
        <w:t>. IEEE, pp. 2704–2713. Available at: https://arxiv.org/abs/1712.05877 (Accessed: 9 August 2026).</w:t>
      </w:r>
    </w:p>
    <w:p>
      <w:pPr>
        <w:spacing w:after="160"/>
      </w:pPr>
      <w:r>
        <w:t xml:space="preserve">Kamath, A., Biswas, A. and Balasubramanian, V. (2016) 'A crowdsourced approach to student engagement recognition in e-learning environments', in </w:t>
      </w:r>
      <w:r>
        <w:rPr>
          <w:i/>
        </w:rPr>
        <w:t>2016 IEEE Winter Conference on Applications of Computer Vision (WACV)</w:t>
      </w:r>
      <w:r>
        <w:t>. IEEE.</w:t>
      </w:r>
    </w:p>
    <w:p>
      <w:pPr>
        <w:spacing w:after="160"/>
      </w:pPr>
      <w:r>
        <w:t xml:space="preserve">Karimah, S.N. and Hasegawa, S. (2022) 'Automatic engagement estimation in smart education/learning settings: a systematic review of engagement definitions, datasets, and methods', </w:t>
      </w:r>
      <w:r>
        <w:rPr>
          <w:i/>
        </w:rPr>
        <w:t>Smart Learning Environments</w:t>
      </w:r>
      <w:r>
        <w:t>, 9, article 31. Available at: https://slejournal.springeropen.com/articles/10.1186/s40561-022-00212-y (Accessed: 9 August 2026).</w:t>
      </w:r>
    </w:p>
    <w:p>
      <w:pPr>
        <w:spacing w:after="160"/>
      </w:pPr>
      <w:r>
        <w:t xml:space="preserve">Kartynnik, Y., Ablavatski, A., Grishchenko, I. and Grundmann, M. (2019) 'Real-time facial surface geometry from monocular video on mobile GPUs', </w:t>
      </w:r>
      <w:r>
        <w:rPr>
          <w:i/>
        </w:rPr>
        <w:t>arXiv preprint arXiv:1907.06724</w:t>
      </w:r>
      <w:r>
        <w:t>. Available at: https://arxiv.org/abs/1907.06724 (Accessed: 9 August 2026).</w:t>
      </w:r>
    </w:p>
    <w:p>
      <w:pPr>
        <w:spacing w:after="160"/>
      </w:pPr>
      <w:r>
        <w:t xml:space="preserve">Khan, S.S., Abedi, A. and Colella, T.J.F. (2022) 'Inconsistencies in the definition and annotation of student engagement in virtual learning datasets: a critical review', </w:t>
      </w:r>
      <w:r>
        <w:rPr>
          <w:i/>
        </w:rPr>
        <w:t>arXiv preprint arXiv:2208.04548</w:t>
      </w:r>
      <w:r>
        <w:t>. Available at: https://arxiv.org/abs/2208.04548 (Accessed: 9 August 2026).</w:t>
      </w:r>
    </w:p>
    <w:p>
      <w:pPr>
        <w:spacing w:after="160"/>
      </w:pPr>
      <w:r>
        <w:t xml:space="preserve">Lepetit, V., Moreno-Noguer, F. and Fua, P. (2009) 'EPnP: an accurate O(n) solution to the PnP problem', </w:t>
      </w:r>
      <w:r>
        <w:rPr>
          <w:i/>
        </w:rPr>
        <w:t>International Journal of Computer Vision</w:t>
      </w:r>
      <w:r>
        <w:t>, 81(2), pp. 155–166.</w:t>
      </w:r>
    </w:p>
    <w:p>
      <w:pPr>
        <w:spacing w:after="160"/>
      </w:pPr>
      <w:r>
        <w:t xml:space="preserve">Lin, T.Y., Goyal, P., Girshick, R., He, K. and Dollár, P. (2017) 'Focal loss for dense object detection', in </w:t>
      </w:r>
      <w:r>
        <w:rPr>
          <w:i/>
        </w:rPr>
        <w:t>Proceedings of the IEEE International Conference on Computer Vision (ICCV)</w:t>
      </w:r>
      <w:r>
        <w:t>. IEEE, pp. 2980–2988. Available at: https://openaccess.thecvf.com/content_iccv_2017/html/Lin_Focal_Loss_for_ICCV_2017_paper.html (Accessed: 9 August 2026).</w:t>
      </w:r>
    </w:p>
    <w:p>
      <w:pPr>
        <w:spacing w:after="160"/>
      </w:pPr>
      <w:r>
        <w:t xml:space="preserve">Lugaresi, C., Tang, J., Nash, H., McClanahan, C., Uboweja, E., Hays, M., Zhang, F., Chang, C.L., Yong, M.G., Lee, J., Chang, W.T., Hua, W., Georg, M. and Grundmann, M. (2019) 'MediaPipe: a framework for building perception pipelines', </w:t>
      </w:r>
      <w:r>
        <w:rPr>
          <w:i/>
        </w:rPr>
        <w:t>arXiv preprint arXiv:1906.08172</w:t>
      </w:r>
      <w:r>
        <w:t>. Available at: https://arxiv.org/abs/1906.08172 (Accessed: 9 August 2026).</w:t>
      </w:r>
    </w:p>
    <w:p>
      <w:pPr>
        <w:spacing w:after="160"/>
      </w:pPr>
      <w:r>
        <w:t xml:space="preserve">Santoni, M.M., Basaruddin, T. and Junus, K. (2023) 'Convolutional neural network model based students' engagement detection in imbalanced DAiSEE dataset', </w:t>
      </w:r>
      <w:r>
        <w:rPr>
          <w:i/>
        </w:rPr>
        <w:t>International Journal of Advanced Computer Science and Applications</w:t>
      </w:r>
      <w:r>
        <w:t>, 14(3). Available at: https://doi.org/10.14569/IJACSA.2023.0140371 (Accessed: 9 August 2026).</w:t>
      </w:r>
    </w:p>
    <w:p>
      <w:pPr>
        <w:spacing w:after="160"/>
      </w:pPr>
      <w:r>
        <w:t xml:space="preserve">Soukupová, T. and Čech, J. (2016) 'Real-time eye blink detection using facial landmarks', in </w:t>
      </w:r>
      <w:r>
        <w:rPr>
          <w:i/>
        </w:rPr>
        <w:t>21st Computer Vision Winter Workshop</w:t>
      </w:r>
      <w:r>
        <w:t>. Rimske Toplice, Slovenia.</w:t>
      </w:r>
    </w:p>
    <w:p>
      <w:r>
        <w:br w:type="page"/>
      </w:r>
    </w:p>
    <w:p>
      <w:pPr>
        <w:pStyle w:val="Heading2"/>
      </w:pPr>
      <w:r>
        <w:t>Appendices</w:t>
      </w:r>
    </w:p>
    <w:p>
      <w:pPr>
        <w:spacing w:after="160"/>
      </w:pPr>
      <w:r>
        <w:rPr>
          <w:b/>
        </w:rPr>
        <w:t>Appendix A — Feature vector specification.</w:t>
      </w:r>
      <w:r>
        <w:t xml:space="preserve"> Full 13-feature table with landmark indices, formulae, and sign conventions: </w:t>
      </w:r>
      <w:r>
        <w:rPr>
          <w:rFonts w:ascii="Consolas" w:hAnsi="Consolas"/>
          <w:sz w:val="20"/>
        </w:rPr>
        <w:t>CONTRACT.md</w:t>
      </w:r>
      <w:r>
        <w:t xml:space="preserve"> §2–4 (this project's repository).</w:t>
      </w:r>
    </w:p>
    <w:p>
      <w:pPr>
        <w:spacing w:after="160"/>
      </w:pPr>
      <w:r>
        <w:rPr>
          <w:b/>
        </w:rPr>
        <w:t>Appendix B — Model I/O contract.</w:t>
      </w:r>
      <w:r>
        <w:t xml:space="preserve"> ONNX input/output tensor names, shapes, and dtypes: </w:t>
      </w:r>
      <w:r>
        <w:rPr>
          <w:rFonts w:ascii="Consolas" w:hAnsi="Consolas"/>
          <w:sz w:val="20"/>
        </w:rPr>
        <w:t>CONTRACT.md</w:t>
      </w:r>
      <w:r>
        <w:t xml:space="preserve"> §5.</w:t>
      </w:r>
    </w:p>
    <w:p>
      <w:pPr>
        <w:spacing w:after="160"/>
      </w:pPr>
      <w:r>
        <w:rPr>
          <w:b/>
        </w:rPr>
        <w:t>Appendix C — Full evaluation artefacts.</w:t>
      </w:r>
      <w:r>
        <w:t xml:space="preserve"> </w:t>
      </w:r>
      <w:r>
        <w:rPr>
          <w:rFonts w:ascii="Consolas" w:hAnsi="Consolas"/>
          <w:sz w:val="20"/>
        </w:rPr>
        <w:t>docs/results/</w:t>
      </w:r>
      <w:r>
        <w:t xml:space="preserve">: </w:t>
      </w:r>
      <w:r>
        <w:rPr>
          <w:rFonts w:ascii="Consolas" w:hAnsi="Consolas"/>
          <w:sz w:val="20"/>
        </w:rPr>
        <w:t>metrics_validation.csv</w:t>
      </w:r>
      <w:r>
        <w:t xml:space="preserve">, </w:t>
      </w:r>
      <w:r>
        <w:rPr>
          <w:rFonts w:ascii="Consolas" w:hAnsi="Consolas"/>
          <w:sz w:val="20"/>
        </w:rPr>
        <w:t>metrics_test.csv</w:t>
      </w:r>
      <w:r>
        <w:t xml:space="preserve">, </w:t>
      </w:r>
      <w:r>
        <w:rPr>
          <w:rFonts w:ascii="Consolas" w:hAnsi="Consolas"/>
          <w:sz w:val="20"/>
        </w:rPr>
        <w:t>confusion_validation.png</w:t>
      </w:r>
      <w:r>
        <w:t xml:space="preserve">, </w:t>
      </w:r>
      <w:r>
        <w:rPr>
          <w:rFonts w:ascii="Consolas" w:hAnsi="Consolas"/>
          <w:sz w:val="20"/>
        </w:rPr>
        <w:t>confusion_test.png</w:t>
      </w:r>
      <w:r>
        <w:t xml:space="preserve">, </w:t>
      </w:r>
      <w:r>
        <w:rPr>
          <w:rFonts w:ascii="Consolas" w:hAnsi="Consolas"/>
          <w:sz w:val="20"/>
        </w:rPr>
        <w:t>roc_validation.png</w:t>
      </w:r>
      <w:r>
        <w:t xml:space="preserve">, </w:t>
      </w:r>
      <w:r>
        <w:rPr>
          <w:rFonts w:ascii="Consolas" w:hAnsi="Consolas"/>
          <w:sz w:val="20"/>
        </w:rPr>
        <w:t>roc_test.png</w:t>
      </w:r>
      <w:r>
        <w:t xml:space="preserve">, </w:t>
      </w:r>
      <w:r>
        <w:rPr>
          <w:rFonts w:ascii="Consolas" w:hAnsi="Consolas"/>
          <w:sz w:val="20"/>
        </w:rPr>
        <w:t>quantization.csv</w:t>
      </w:r>
      <w:r>
        <w:t xml:space="preserve">, </w:t>
      </w:r>
      <w:r>
        <w:rPr>
          <w:rFonts w:ascii="Consolas" w:hAnsi="Consolas"/>
          <w:sz w:val="20"/>
        </w:rPr>
        <w:t>baselines.csv</w:t>
      </w:r>
      <w:r>
        <w:t xml:space="preserve">, </w:t>
      </w:r>
      <w:r>
        <w:rPr>
          <w:rFonts w:ascii="Consolas" w:hAnsi="Consolas"/>
          <w:sz w:val="20"/>
        </w:rPr>
        <w:t>class_dist.png</w:t>
      </w:r>
      <w:r>
        <w:t xml:space="preserve">, </w:t>
      </w:r>
      <w:r>
        <w:rPr>
          <w:rFonts w:ascii="Consolas" w:hAnsi="Consolas"/>
          <w:sz w:val="20"/>
        </w:rPr>
        <w:t>extraction_stats.json</w:t>
      </w:r>
      <w:r>
        <w:t xml:space="preserve">, </w:t>
      </w:r>
      <w:r>
        <w:rPr>
          <w:rFonts w:ascii="Consolas" w:hAnsi="Consolas"/>
          <w:sz w:val="20"/>
        </w:rPr>
        <w:t>parity_report.json</w:t>
      </w:r>
      <w:r>
        <w:t xml:space="preserve">, </w:t>
      </w:r>
      <w:r>
        <w:rPr>
          <w:rFonts w:ascii="Consolas" w:hAnsi="Consolas"/>
          <w:sz w:val="20"/>
        </w:rPr>
        <w:t>parity_report_gpu.json</w:t>
      </w:r>
      <w:r>
        <w:t>.</w:t>
      </w:r>
    </w:p>
    <w:p>
      <w:pPr>
        <w:spacing w:after="160"/>
      </w:pPr>
      <w:r>
        <w:rPr>
          <w:b/>
        </w:rPr>
        <w:t>Appendix D — Privacy verification evidence.</w:t>
      </w:r>
      <w:r>
        <w:t xml:space="preserve"> </w:t>
      </w:r>
      <w:r>
        <w:rPr>
          <w:rFonts w:ascii="Consolas" w:hAnsi="Consolas"/>
          <w:sz w:val="20"/>
        </w:rPr>
        <w:t>docs/privacy.md</w:t>
      </w:r>
      <w:r>
        <w:t xml:space="preserve"> — full code walkthrough, network recordings, and the telemetry-call finding in detail.</w:t>
      </w:r>
    </w:p>
    <w:p>
      <w:pPr>
        <w:spacing w:after="160"/>
      </w:pPr>
      <w:r>
        <w:rPr>
          <w:b/>
        </w:rPr>
        <w:t>Appendix E — Demo hardening evidence.</w:t>
      </w:r>
      <w:r>
        <w:t xml:space="preserve"> </w:t>
      </w:r>
      <w:r>
        <w:rPr>
          <w:rFonts w:ascii="Consolas" w:hAnsi="Consolas"/>
          <w:sz w:val="20"/>
        </w:rPr>
        <w:t>docs/demo-failure-modes.md</w:t>
      </w:r>
      <w:r>
        <w:t xml:space="preserve"> — cross-browser and adverse-condition test results in full; </w:t>
      </w:r>
      <w:r>
        <w:rPr>
          <w:rFonts w:ascii="Consolas" w:hAnsi="Consolas"/>
          <w:sz w:val="20"/>
        </w:rPr>
        <w:t>docs/dry-run-checklist.md</w:t>
      </w:r>
      <w:r>
        <w:t xml:space="preserve"> — the live-rehearsal script derived from them.</w:t>
      </w:r>
    </w:p>
    <w:p>
      <w:pPr>
        <w:spacing w:after="160"/>
      </w:pPr>
      <w:r>
        <w:rPr>
          <w:b/>
        </w:rPr>
        <w:t>Appendix F — Development process record.</w:t>
      </w:r>
      <w:r>
        <w:t xml:space="preserve"> </w:t>
      </w:r>
      <w:r>
        <w:rPr>
          <w:rFonts w:ascii="Consolas" w:hAnsi="Consolas"/>
          <w:sz w:val="20"/>
        </w:rPr>
        <w:t>docs/PROGRESS.md</w:t>
      </w:r>
      <w:r>
        <w:t xml:space="preserve"> — full day-by-day project history; </w:t>
      </w:r>
      <w:r>
        <w:rPr>
          <w:rFonts w:ascii="Consolas" w:hAnsi="Consolas"/>
          <w:sz w:val="20"/>
        </w:rPr>
        <w:t>BUILD_PLAN_1.md</w:t>
      </w:r>
      <w:r>
        <w:t xml:space="preserve"> — original 20-day build plan with retrospective status annotations; </w:t>
      </w:r>
      <w:r>
        <w:rPr>
          <w:rFonts w:ascii="Consolas" w:hAnsi="Consolas"/>
          <w:sz w:val="20"/>
        </w:rPr>
        <w:t>GAP_CLOSURE_PLAN.md</w:t>
      </w:r>
      <w:r>
        <w:t xml:space="preserve"> — the mid-project self-audit and remediation plan referenced in Section 4.1; </w:t>
      </w:r>
      <w:r>
        <w:rPr>
          <w:rFonts w:ascii="Consolas" w:hAnsi="Consolas"/>
          <w:sz w:val="20"/>
        </w:rPr>
        <w:t>PROJECT_COMPLETION_PLAN.md</w:t>
      </w:r>
      <w:r>
        <w:t xml:space="preserve"> — the phased plan this report's own Experimentation chapter is structured against.</w:t>
      </w:r>
    </w:p>
    <w:p>
      <w:pPr>
        <w:spacing w:after="160"/>
      </w:pPr>
      <w:r>
        <w:rPr>
          <w:b/>
        </w:rPr>
        <w:t>Appendix G — Source code.</w:t>
      </w:r>
      <w:r>
        <w:t xml:space="preserve"> Full repository, including CI configuration (</w:t>
      </w:r>
      <w:r>
        <w:rPr>
          <w:rFonts w:ascii="Consolas" w:hAnsi="Consolas"/>
          <w:sz w:val="20"/>
        </w:rPr>
        <w:t>.github/workflows/ci.yml</w:t>
      </w:r>
      <w:r>
        <w:t xml:space="preserve">): </w:t>
      </w:r>
      <w:r>
        <w:rPr>
          <w:i/>
        </w:rPr>
        <w:t>[repository URL / submission archive reference — fill in]</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