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jc w:val="center"/>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This report is written from the completed project repository and its version-controlled implementation, contract, evaluation artefacts, and verification documentation. All figures, tables, and code references are drawn directly from artefacts produced by the project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committed, re-runnable network trace of a 75-second live session against the production build under a full Content Security Policy records all 39 requests as same-origin, with no external request of any kind — and disclosed one genuine finding along the way: an undisclosed telemetry call inside a third-party dependency, caught and blocked at the browser-policy level, not patched around. A rebuilt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technical tracks against a frozen interface contract; the cross-language parity gate described in Chapter 4 ensured that the Python and TypeScript implementations remained aligned.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and responsibility for the final content of this report remain the author's.</w:t>
      </w:r>
    </w:p>
    <w:p>
      <w:r>
        <w:br w:type="page"/>
      </w:r>
    </w:p>
    <w:p>
      <w:r>
        <w:rPr>
          <w:b/>
          <w:color w:val="1F3864"/>
          <w:sz w:val="26"/>
        </w:rP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numPr>
          <w:ilvl w:val="0"/>
          <w:numId w:val="10"/>
        </w:numP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numPr>
          <w:ilvl w:val="0"/>
          <w:numId w:val="11"/>
        </w:numP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numPr>
          <w:ilvl w:val="0"/>
          <w:numId w:val="12"/>
        </w:numP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during the initial build and subsequent verification/hardening passes:</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 (Kamath, Biswas and Balasubramanian, 2016).</w:t>
      </w:r>
    </w:p>
    <w:p>
      <w:pPr>
        <w:spacing w:after="160"/>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from the label CSVs (8,571 clips; the downstream corpus also requires a successful extraction, so one Train clip differs).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(Lugaresi </w:t>
      </w:r>
      <w:r>
        <w:rPr>
          <w:b w:val="0"/>
          <w:i/>
        </w:rPr>
        <w:t>et al.</w:t>
      </w:r>
      <w:r>
        <w:rPr>
          <w:b w:val="0"/>
          <w:i w:val="0"/>
        </w:rPr>
        <w:t xml:space="preserve">, 2019).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p>
      <w:pPr>
        <w:pStyle w:val="TableCaption"/>
      </w:pPr>
      <w:r>
        <w:rPr>
          <w:b w:val="0"/>
          <w:i w:val="0"/>
        </w:rPr>
        <w:t>Table 3.1 — Functional and non-functional requirements, each traced to the dataset property or prior-work gap that motivates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methodology is </w:t>
      </w:r>
      <w:r>
        <w:rPr>
          <w:b/>
          <w:i w:val="0"/>
        </w:rPr>
        <w:t>"contract-driven parallel development"</w:t>
      </w:r>
      <w:r>
        <w:rPr>
          <w:b w:val="0"/>
          <w:i w:val="0"/>
        </w:rPr>
        <w:t>: rather than a single linear pipeline, two technical tracks — a Python training pipeline ("Track A") and a TypeScript browser-inference pipeline ("Track B") — are built against a single frozen specification document (</w:t>
      </w:r>
      <w:r>
        <w:rPr>
          <w:rFonts w:ascii="Consolas" w:hAnsi="Consolas"/>
          <w:b w:val="0"/>
          <w:i w:val="0"/>
          <w:sz w:val="20"/>
        </w:rPr>
        <w:t>CONTRACT.md</w:t>
      </w:r>
      <w:r>
        <w:rPr>
          <w:b w:val="0"/>
          <w:i w:val="0"/>
        </w:rPr>
        <w:t>), with an automated numerical-equivalence test (R1) as the mechanism that keeps both implementations compatible. This is closer to a contract-first API-development pattern borrowed from software engineering than to a conventional single-track ML pipeline, and it is the direct methodological answer to the train/serve-skew risk identified during the project's design review.</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p>
      <w:pPr>
        <w:pStyle w:val="TableCaption"/>
      </w:pPr>
      <w:r>
        <w:rPr>
          <w:b w:val="0"/>
          <w:i w:val="0"/>
        </w:rPr>
        <w:t xml:space="preserve">Table 3.2 — The 13-dimensional per-frame feature vector, in the frozen contract order (source: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xml:space="preserve">, driving the on-screen overlay only) — restored the 0.0157 result while preserving the multi-face UI feature, at the cost of a second WASM detection pass per sampled frame. The same gate records a related finding: with MediaPipe's GPU delegate the identical frames give a worst case of 0.050 on </w:t>
      </w:r>
      <w:r>
        <w:rPr>
          <w:rFonts w:ascii="Consolas" w:hAnsi="Consolas"/>
          <w:b w:val="0"/>
          <w:i w:val="0"/>
          <w:sz w:val="20"/>
        </w:rPr>
        <w:t>gaze_y</w:t>
      </w:r>
      <w:r>
        <w:rPr>
          <w:b w:val="0"/>
          <w:i w:val="0"/>
        </w:rPr>
        <w:t xml:space="preserve">, 2.5× tolerance, which is why </w:t>
      </w:r>
      <w:r>
        <w:rPr>
          <w:rFonts w:ascii="Consolas" w:hAnsi="Consolas"/>
          <w:b w:val="0"/>
          <w:i w:val="0"/>
          <w:sz w:val="20"/>
        </w:rPr>
        <w:t>web/lib/faceLandmarker.ts</w:t>
      </w:r>
      <w:r>
        <w:rPr>
          <w:b w:val="0"/>
          <w:i w:val="0"/>
        </w:rPr>
        <w:t xml:space="preserve"> pins </w:t>
      </w:r>
      <w:r>
        <w:rPr>
          <w:rFonts w:ascii="Consolas" w:hAnsi="Consolas"/>
          <w:b w:val="0"/>
          <w:i w:val="0"/>
          <w:sz w:val="20"/>
        </w:rPr>
        <w:t>delegate: 'CPU'</w:t>
      </w:r>
      <w:r>
        <w:rPr>
          <w:b w:val="0"/>
          <w:i w:val="0"/>
        </w:rPr>
        <w:t xml:space="preserve">. That failing run is committed as </w:t>
      </w:r>
      <w:r>
        <w:rPr>
          <w:rFonts w:ascii="Consolas" w:hAnsi="Consolas"/>
          <w:b w:val="0"/>
          <w:i w:val="0"/>
          <w:sz w:val="20"/>
        </w:rPr>
        <w:t>docs/results/parity_report_gpu.json</w:t>
      </w:r>
      <w:r>
        <w:rPr>
          <w:b w:val="0"/>
          <w:i w:val="0"/>
        </w:rPr>
        <w:t xml:space="preserve"> (</w:t>
      </w:r>
      <w:r>
        <w:rPr>
          <w:rFonts w:ascii="Consolas" w:hAnsi="Consolas"/>
          <w:b w:val="0"/>
          <w:i w:val="0"/>
          <w:sz w:val="20"/>
        </w:rPr>
        <w:t>ok: false</w:t>
      </w:r>
      <w:r>
        <w:rPr>
          <w:b w:val="0"/>
          <w:i w:val="0"/>
        </w:rPr>
        <w:t>) — a documented negative result, not a discarded one.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Lin </w:t>
      </w:r>
      <w:r>
        <w:rPr>
          <w:b w:val="0"/>
          <w:i/>
        </w:rPr>
        <w:t>et al.</w:t>
      </w:r>
      <w:r>
        <w:rPr>
          <w:b w:val="0"/>
          <w:i w:val="0"/>
        </w:rPr>
        <w:t>, 2017),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p>
      <w:pPr>
        <w:pStyle w:val="TableCaption"/>
      </w:pPr>
      <w:r>
        <w:rPr>
          <w:b w:val="0"/>
          <w:i w:val="0"/>
        </w:rPr>
        <w:t xml:space="preserve">Table 4.3 — Test-split headline metrics, fp32 against the shipped int8 model (source: </w:t>
      </w:r>
      <w:r>
        <w:rPr>
          <w:rFonts w:ascii="Consolas" w:hAnsi="Consolas"/>
          <w:b w:val="0"/>
          <w:i w:val="0"/>
          <w:sz w:val="20"/>
        </w:rPr>
        <w:t>docs/results/quantization_test.csv</w:t>
      </w:r>
      <w:r>
        <w:rPr>
          <w:b w:val="0"/>
          <w:i w:val="0"/>
        </w:rPr>
        <w:t xml:space="preserv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4.4,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4.4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p>
      <w:pPr>
        <w:pStyle w:val="TableCaption"/>
      </w:pPr>
      <w:r>
        <w:rPr>
          <w:b w:val="0"/>
          <w:i w:val="0"/>
        </w:rPr>
        <w:t xml:space="preserve">Table 4.5 — Secondary states head, per-state screening performance on the Validation split, after the head's dedicated retraining with per-channel positive-class weighting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4.6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browsers spanning two rendering engines (Chrome and Edge on Blink, Firefox on Gecko);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no-face condition was originally signalled only through the zeroed feature panel — technically sufficient, but a live audience unfamiliar with the system could plausibly mistake a genuinely no-face frame for a frozen application. The 2026-08-29 live rehearsal closed that gap: </w:t>
      </w:r>
      <w:r>
        <w:rPr>
          <w:rFonts w:ascii="Consolas" w:hAnsi="Consolas"/>
          <w:b w:val="0"/>
          <w:i w:val="0"/>
          <w:sz w:val="20"/>
        </w:rPr>
        <w:t>PredictionPanel</w:t>
      </w:r>
      <w:r>
        <w:rPr>
          <w:b w:val="0"/>
          <w:i w:val="0"/>
        </w:rPr>
        <w:t xml:space="preserve"> now suppresses model output entirely on no-face windows and renders an explicit "No face detected" explanation with em-dash placeholders (Figure 4.4), and the trend chart skips no-face points.</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 xml:space="preserve">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The TCN remains the shipped model for a deployment reason, not an accuracy one: it had already passed export, int8 quantization and the </w:t>
      </w:r>
      <w:r>
        <w:rPr>
          <w:rFonts w:ascii="Consolas" w:hAnsi="Consolas"/>
          <w:b w:val="0"/>
          <w:i w:val="0"/>
          <w:sz w:val="20"/>
        </w:rPr>
        <w:t>onnxruntime-web</w:t>
      </w:r>
      <w:r>
        <w:rPr>
          <w:b w:val="0"/>
          <w:i w:val="0"/>
        </w:rPr>
        <w:t xml:space="preserve"> WASM operator check before this comparison ran, and the Transformer had passed none of them — the same class of gate that ruled out dynamic quantization in Section 2.5.2. A feature-ablation result in which a pose-free subset (geometric+gaze) beat the full 13 features — reproduced across all three seeds, with non-overlapping ranges (0.3252 / 0.3122 / 0.3083 against the full set's 0.3061 / 0.3019 / 0.2964; </w:t>
      </w:r>
      <w:r>
        <w:rPr>
          <w:rFonts w:ascii="Consolas" w:hAnsi="Consolas"/>
          <w:b w:val="0"/>
          <w:i w:val="0"/>
          <w:sz w:val="20"/>
        </w:rPr>
        <w:t>docs/results/multi_seed_robustness.csv</w:t>
      </w:r>
      <w:r>
        <w:rPr>
          <w:b w:val="0"/>
          <w:i w:val="0"/>
        </w:rPr>
        <w:t>) — is revisited and overturned in Experiment 8, where subject-grouped cross-validation dissolves it entirely.</w:t>
      </w:r>
    </w:p>
    <w:p>
      <w:pPr>
        <w:pStyle w:val="TableCaption"/>
      </w:pPr>
      <w:r>
        <w:rPr>
          <w:b w:val="0"/>
          <w:i w:val="0"/>
        </w:rPr>
        <w:t xml:space="preserve">Table 4.7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4.8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(20 completed, 20 pruned; the committed trial log also carries 7 trials interrupted before scoring)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4.9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4.10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two of the major browser engines across three browsers,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behind only an ε guard, so the denominator approaches zero as the eyelids close and the feature spikes without a formula-imposed bound (observed in the 2026-08-29 code audit; its one-off tabulation was not committed, so no magnitude is quoted)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numPr>
          <w:ilvl w:val="0"/>
          <w:numId w:val="13"/>
        </w:numP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numPr>
          <w:ilvl w:val="0"/>
          <w:numId w:val="14"/>
        </w:numP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numPr>
          <w:ilvl w:val="0"/>
          <w:numId w:val="15"/>
        </w:numP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numPr>
          <w:ilvl w:val="0"/>
          <w:numId w:val="16"/>
        </w:numP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numPr>
          <w:ilvl w:val="0"/>
          <w:numId w:val="17"/>
        </w:numP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numPr>
          <w:ilvl w:val="0"/>
          <w:numId w:val="18"/>
        </w:numP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(the GPU-delegate variant, a deliberate recorded FAIL — see Section 4.1.2), </w:t>
      </w:r>
      <w:r>
        <w:rPr>
          <w:rFonts w:ascii="Consolas" w:hAnsi="Consolas"/>
          <w:b w:val="0"/>
          <w:i w:val="0"/>
          <w:sz w:val="20"/>
        </w:rPr>
        <w:t>quantization_test.csv</w:t>
      </w:r>
      <w:r>
        <w:rPr>
          <w:b w:val="0"/>
          <w:i w:val="0"/>
        </w:rPr>
        <w:t xml:space="preserve">, </w:t>
      </w:r>
      <w:r>
        <w:rPr>
          <w:rFonts w:ascii="Consolas" w:hAnsi="Consolas"/>
          <w:b w:val="0"/>
          <w:i w:val="0"/>
          <w:sz w:val="20"/>
        </w:rPr>
        <w:t>privacy_trace.json</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 xml:space="preserve">; and </w:t>
      </w:r>
      <w:r>
        <w:rPr>
          <w:rFonts w:ascii="Consolas" w:hAnsi="Consolas"/>
          <w:b w:val="0"/>
          <w:i w:val="0"/>
          <w:sz w:val="20"/>
        </w:rPr>
        <w:t>docs/benchmarks/</w:t>
      </w:r>
      <w:r>
        <w:rPr>
          <w:b w:val="0"/>
          <w:i w:val="0"/>
        </w:rPr>
        <w:t xml:space="preserve"> for the J3 hardware runs;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Verification record.</w:t>
      </w:r>
      <w:r>
        <w:rPr>
          <w:b w:val="0"/>
          <w:i w:val="0"/>
        </w:rPr>
        <w:t xml:space="preserve"> The repository's implementation, contract, evaluation artefacts, privacy evidence, and demo verification documents provide the reproducibility record for this report.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accompanies this report.</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Cognitive Engagement Detection from Webcam Video Using an Edge-Deployed Temporal Convolutional Network</dc:title>
  <dc:subject>MSc Data Science dissertation, University of Greenwich</dc:subject>
  <dc:creator>Ibtissam Merzouqi</dc:creator>
  <cp:keywords>engagement detection; edge machine learning; in-browser inference; temporal convolutional network; DAiSEE; privacy-preserving computer vision</cp:keywords>
  <dc:description/>
  <cp:lastModifiedBy>Ibtissam Merzouqi</cp:lastModifiedBy>
  <cp:revision>1</cp:revision>
  <dcterms:created xsi:type="dcterms:W3CDTF">2026-09-05T18:33:11Z</dcterms:created>
  <dcterms:modified xsi:type="dcterms:W3CDTF">2026-09-05T18:33:11Z</dcterms:modified>
  <cp:category/>
</cp:coreProperties>
</file>