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FFFFFF" w:val="clear"/>
            <w:tcMar>
              <w:top w:type="dxa" w:w="0"/>
              <w:left w:type="dxa" w:w="0"/>
              <w:bottom w:type="dxa" w:w="0"/>
              <w:right w:type="dxa" w:w="0"/>
            </w:tcMar>
          </w:tcPr>
          <w:p>
            <w:pPr>
              <w:spacing w:after="0" w:before="1600"/>
              <w:jc w:val="center"/>
            </w:pPr>
            <w:r>
              <w:drawing>
                <wp:inline distT="0" distB="0" distL="0" distR="0">
                  <wp:extent cx="3238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438275"/>
                          </a:xfrm>
                          <a:prstGeom prst="rect">
                            <a:avLst/>
                          </a:prstGeom>
                        </pic:spPr>
                      </pic:pic>
                    </a:graphicData>
                  </a:graphic>
                </wp:inline>
              </w:drawing>
            </w:r>
          </w:p>
          <w:p>
            <w:pPr>
              <w:spacing w:after="0" w:before="900"/>
              <w:jc w:val="center"/>
            </w:pPr>
            <w:r>
              <w:rPr>
                <w:rFonts w:ascii="Calibri" w:cs="Calibri" w:eastAsia="Calibri" w:hAnsi="Calibri"/>
                <w:b/>
                <w:bCs/>
                <w:color w:val="0B1830"/>
                <w:spacing w:val="30"/>
                <w:sz w:val="32"/>
                <w:szCs w:val="32"/>
              </w:rPr>
              <w:t xml:space="preserve">COMPANY PROFILE</w:t>
            </w:r>
          </w:p>
          <w:p>
            <w:pPr>
              <w:spacing w:after="0" w:before="120"/>
              <w:jc w:val="center"/>
            </w:pPr>
            <w:r>
              <w:rPr>
                <w:rFonts w:ascii="Calibri" w:cs="Calibri" w:eastAsia="Calibri" w:hAnsi="Calibri"/>
                <w:b w:val="false"/>
                <w:bCs w:val="false"/>
                <w:color w:val="44515F"/>
                <w:spacing w:val="20"/>
                <w:sz w:val="22"/>
                <w:szCs w:val="22"/>
              </w:rPr>
              <w:t xml:space="preserve">SERVICE SCOPE &amp; CAPABILITIES</w:t>
            </w:r>
          </w:p>
          <w:p>
            <w:pPr>
              <w:pBdr>
                <w:top w:val="single" w:color="E23A1E" w:sz="12" w:space="10"/>
              </w:pBdr>
              <w:spacing w:after="0" w:before="700"/>
              <w:jc w:val="center"/>
            </w:pPr>
            <w:r>
              <w:t xml:space="preserve"/>
            </w:r>
          </w:p>
          <w:p>
            <w:pPr>
              <w:spacing w:after="0" w:before="260"/>
              <w:jc w:val="center"/>
            </w:pPr>
            <w:r>
              <w:rPr>
                <w:rFonts w:ascii="Calibri" w:cs="Calibri" w:eastAsia="Calibri" w:hAnsi="Calibri"/>
                <w:color w:val="44515F"/>
                <w:sz w:val="19"/>
                <w:szCs w:val="19"/>
              </w:rPr>
              <w:t xml:space="preserve">AI &amp; Automation  •  Web &amp; Custom Software  •  Mobile Applications  •  Data Analytics</w:t>
            </w:r>
          </w:p>
          <w:p>
            <w:pPr>
              <w:spacing w:after="0" w:before="2000"/>
              <w:jc w:val="center"/>
            </w:pPr>
            <w:r>
              <w:rPr>
                <w:rFonts w:ascii="Calibri" w:cs="Calibri" w:eastAsia="Calibri" w:hAnsi="Calibri"/>
                <w:color w:val="8B96A3"/>
                <w:sz w:val="18"/>
                <w:szCs w:val="18"/>
              </w:rPr>
              <w:t xml:space="preserve">August 2026</w:t>
            </w:r>
          </w:p>
        </w:tc>
      </w:tr>
    </w:tbl>
    <w:p>
      <w:pPr>
        <w:sectPr>
          <w:pgSz w:w="12240" w:h="15840" w:orient="portrait"/>
          <w:pgMar w:top="0" w:right="0" w:bottom="0" w:left="0" w:header="708" w:footer="708" w:gutter="0"/>
          <w:pgNumType/>
          <w:docGrid w:linePitch="360"/>
        </w:sectPr>
      </w:pPr>
    </w:p>
    <w:p>
      <w:pPr>
        <w:pBdr>
          <w:bottom w:val="single" w:color="E23A1E" w:sz="10" w:space="4"/>
        </w:pBdr>
        <w:spacing w:after="140" w:before="320"/>
      </w:pPr>
      <w:r>
        <w:rPr>
          <w:rFonts w:ascii="Calibri" w:cs="Calibri" w:eastAsia="Calibri" w:hAnsi="Calibri"/>
          <w:b/>
          <w:bCs/>
          <w:color w:val="0B1830"/>
          <w:spacing w:val="12"/>
          <w:sz w:val="26"/>
          <w:szCs w:val="26"/>
        </w:rPr>
        <w:t xml:space="preserve">ABOUT RBIX TECHNOLOGIES</w:t>
      </w:r>
    </w:p>
    <w:p>
      <w:pPr>
        <w:spacing w:after="140" w:line="300"/>
      </w:pPr>
      <w:r>
        <w:rPr>
          <w:rFonts w:ascii="Calibri" w:cs="Calibri" w:eastAsia="Calibri" w:hAnsi="Calibri"/>
          <w:color w:val="44515F"/>
          <w:sz w:val="21"/>
          <w:szCs w:val="21"/>
        </w:rPr>
        <w:t xml:space="preserve">RBiX Technologies is an AI and software agency helping businesses replace manual, disconnected workflows with automated, data-driven systems. We work across four core service lines — AI &amp; Automation, Web &amp; Custom Software Development, Mobile Application Development, and Data Analytics — and combine them into a single delivery stack for each client, rather than treating them as separate projects.</w:t>
      </w:r>
    </w:p>
    <w:p>
      <w:pPr>
        <w:spacing w:after="140" w:line="300"/>
      </w:pPr>
      <w:r>
        <w:rPr>
          <w:rFonts w:ascii="Calibri" w:cs="Calibri" w:eastAsia="Calibri" w:hAnsi="Calibri"/>
          <w:color w:val="44515F"/>
          <w:sz w:val="21"/>
          <w:szCs w:val="21"/>
        </w:rPr>
        <w:t xml:space="preserve">Our approach starts with automation: the fastest way for a business to see measurable return is to stop losing leads, appointments, and cash flow to manual follow-up. From there, we layer in reporting so owners can see what is actually happening in the business, and finally custom software and mobile apps once a workflow has proven itself and needs a dedicated system of its own.</w:t>
      </w:r>
    </w:p>
    <w:p>
      <w:pPr>
        <w:spacing w:after="140" w:line="300"/>
      </w:pPr>
      <w:r>
        <w:rPr>
          <w:rFonts w:ascii="Calibri" w:cs="Calibri" w:eastAsia="Calibri" w:hAnsi="Calibri"/>
          <w:color w:val="44515F"/>
          <w:sz w:val="21"/>
          <w:szCs w:val="21"/>
        </w:rPr>
        <w:t xml:space="preserve">This document outlines the full scope of services RBiX Technologies provides, organized by service line, along with the industries and business types we typically serve.</w:t>
      </w:r>
    </w:p>
    <w:p>
      <w:pPr>
        <w:pBdr>
          <w:bottom w:val="single" w:color="E23A1E" w:sz="10" w:space="4"/>
        </w:pBdr>
        <w:spacing w:after="140" w:before="320"/>
      </w:pPr>
      <w:r>
        <w:rPr>
          <w:rFonts w:ascii="Calibri" w:cs="Calibri" w:eastAsia="Calibri" w:hAnsi="Calibri"/>
          <w:b/>
          <w:bCs/>
          <w:color w:val="0B1830"/>
          <w:spacing w:val="12"/>
          <w:sz w:val="26"/>
          <w:szCs w:val="26"/>
        </w:rPr>
        <w:t xml:space="preserve">OUR SERVICE LINES</w:t>
      </w:r>
    </w:p>
    <w:p>
      <w:pPr>
        <w:spacing w:after="140" w:line="300"/>
      </w:pPr>
      <w:r>
        <w:rPr>
          <w:rFonts w:ascii="Calibri" w:cs="Calibri" w:eastAsia="Calibri" w:hAnsi="Calibri"/>
          <w:color w:val="44515F"/>
          <w:sz w:val="21"/>
          <w:szCs w:val="21"/>
        </w:rPr>
        <w:t xml:space="preserve">RBiX Technologies delivers four integrated service lines. Each can be engaged individually, but they are designed to build on one another — automation first, reporting alongside it, then custom software and mobile apps as the business scales.</w:t>
      </w:r>
    </w:p>
    <w:p>
      <w:pPr>
        <w:spacing w:after="40" w:before="400"/>
      </w:pPr>
      <w:r>
        <w:rPr>
          <w:rFonts w:ascii="Calibri" w:cs="Calibri" w:eastAsia="Calibri" w:hAnsi="Calibri"/>
          <w:b/>
          <w:bCs/>
          <w:color w:val="E23A1E"/>
          <w:sz w:val="24"/>
          <w:szCs w:val="24"/>
        </w:rPr>
        <w:t xml:space="preserve">01  </w:t>
      </w:r>
      <w:r>
        <w:rPr>
          <w:rFonts w:ascii="Calibri" w:cs="Calibri" w:eastAsia="Calibri" w:hAnsi="Calibri"/>
          <w:b/>
          <w:bCs/>
          <w:color w:val="0B1830"/>
          <w:spacing w:val="10"/>
          <w:sz w:val="24"/>
          <w:szCs w:val="24"/>
        </w:rPr>
        <w:t xml:space="preserve">AI &amp; AUTOMATION</w:t>
      </w:r>
    </w:p>
    <w:p>
      <w:pPr>
        <w:pBdr>
          <w:bottom w:val="single" w:color="D9DEE3" w:sz="6" w:space="6"/>
        </w:pBdr>
        <w:spacing w:after="140"/>
      </w:pPr>
      <w:r>
        <w:rPr>
          <w:rFonts w:ascii="Calibri" w:cs="Calibri" w:eastAsia="Calibri" w:hAnsi="Calibri"/>
          <w:i/>
          <w:iCs/>
          <w:color w:val="44515F"/>
          <w:sz w:val="20"/>
          <w:szCs w:val="20"/>
        </w:rPr>
        <w:t xml:space="preserve">Automated systems that respond to leads, reduce no-shows, recover lost revenue, and remove manual data entry — the foundation of every engagement.</w:t>
      </w: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Lead Response Engine</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Every inbound lead — from an ad, web form, or social/search message — receives a qualified WhatsApp or SMS reply within 60 seconds, 24/7. An AI-driven flow asks 2–3 qualifying questions, tags the lead hot/warm/cold in the CRM, and routes it to the right person, with automatic escalation if no one responds in 10 minutes.</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Any business relying on inbound leads from ads, forms, or social/search.</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No-Show Reduction Flow</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 scheduled reminder sequence (48h, 24h, and 2h before an appointment) with one-tap confirm/reschedule, so missed appointments drop without staff having to manually call or text.</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Clinics, salons, and any appointment-based business.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E-commerce Recovery Suite</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Automatically recovers abandoned carts with a follow-up message and product images, and confirms cash-on-delivery orders before dispatch to cut failed deliveries.</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E-commerce brands and online stores taking COD or facing cart abandonment.</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Invoice &amp; Receipt OCR</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 photo or PDF of an invoice/receipt — uploaded or forwarded by WhatsApp/email — is read by OCR and AI extraction, validated against basic rules, and pushed straight into accounting or compliance systems, with anything uncertain flagged for a human.</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SMEs and bookkeepers automating manual data entry and e-invoicing/tax compliance.</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Payment Chaser</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Automatically chases overdue invoices with escalating reminders and payment links at day 1, 7, 14, and 30 overdue, following a pre-approved script, then flags anything still unpaid to the owner.</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B2B businesses and practices managing overdue receivables.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Document Expiry &amp; Compliance Tracker</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Tracks licences, insurance, certifications, and filing deadlines against today's date, with escalating alerts at 60/30/14/3 days before anything lapses.</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Businesses tracking regulatory deadlines, renewals, or compliance filings across many clients or assets.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Quote Follow-Up Sequence</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Automatically works cold quotes for 30–90 days with a scheduled, varied follow-up cadence, pulling the lead out of sequence and alerting the assigned person the moment they reply.</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Contractors and B2B businesses with quotes that go cold before closing.</w:t>
            </w:r>
          </w:p>
        </w:tc>
      </w:tr>
    </w:tbl>
    <w:p>
      <w:pPr>
        <w:spacing w:after="40"/>
      </w:pPr>
    </w:p>
    <w:p>
      <w:pPr>
        <w:spacing w:after="40" w:before="400"/>
      </w:pPr>
      <w:r>
        <w:rPr>
          <w:rFonts w:ascii="Calibri" w:cs="Calibri" w:eastAsia="Calibri" w:hAnsi="Calibri"/>
          <w:b/>
          <w:bCs/>
          <w:color w:val="E23A1E"/>
          <w:sz w:val="24"/>
          <w:szCs w:val="24"/>
        </w:rPr>
        <w:t xml:space="preserve">02  </w:t>
      </w:r>
      <w:r>
        <w:rPr>
          <w:rFonts w:ascii="Calibri" w:cs="Calibri" w:eastAsia="Calibri" w:hAnsi="Calibri"/>
          <w:b/>
          <w:bCs/>
          <w:color w:val="0B1830"/>
          <w:spacing w:val="10"/>
          <w:sz w:val="24"/>
          <w:szCs w:val="24"/>
        </w:rPr>
        <w:t xml:space="preserve">WEB &amp; CUSTOM SOFTWARE DEVELOPMENT</w:t>
      </w:r>
    </w:p>
    <w:p>
      <w:pPr>
        <w:pBdr>
          <w:bottom w:val="single" w:color="D9DEE3" w:sz="6" w:space="6"/>
        </w:pBdr>
        <w:spacing w:after="140"/>
      </w:pPr>
      <w:r>
        <w:rPr>
          <w:rFonts w:ascii="Calibri" w:cs="Calibri" w:eastAsia="Calibri" w:hAnsi="Calibri"/>
          <w:i/>
          <w:iCs/>
          <w:color w:val="44515F"/>
          <w:sz w:val="20"/>
          <w:szCs w:val="20"/>
        </w:rPr>
        <w:t xml:space="preserve">From conversion-focused websites to full internal operating systems that replace spreadsheets and disconnected SaaS tools.</w:t>
      </w: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Conversion-Focused Business Website</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 fast, mobile-first site built to turn visitors into WhatsApp/SMS conversations rather than page views, with every key page carrying a click-to-chat button wired to the Lead Response Engine and automatic campaign/source attribution.</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Any business whose current site is outdated, static, or generating no leads.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E-commerce Storefront</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 branded storefront (Salla, Zid, Shopify, or headless) fully integrated with local payment and shipping options, syncing every order automatically into the E-commerce Recovery Suite and the reporting layer.</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Retail and product brands moving into or scaling online sales.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Practice / Clinic Management System</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Manages patients or customers, appointments, staff, and billing in one place — records follow the customer across every visit, appointments sync to a shared calendar, and billing generates directly from the appointment record.</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Multi-branch clinics, salons, and appointment-based service groups replacing spreadsheets.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Broker / Lead Desk (CRM)</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Pulls leads automatically from external portals or channels, qualifies and routes them by rule (area, budget, listing), schedules viewings/meetings directly into calendars, and rolls performance up into a weekly dashboard.</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Real estate brokerages and sales-driven businesses managing high lead volume.</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Internal Operations Dashboard (ERP-Lite)</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Connects or migrates existing spreadsheets, tools, and SaaS subscriptions into a single structured layer, so staff enter data once and the owner gets one login and one report instead of five disconnected ones.</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SMEs outgrowing spreadsheets or running several disconnected SaaS tools.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Client Self-Service Portal</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 secure web portal where clients log in with a phone number or email to view history, upcoming appointments/deadlines, invoices, and documents, upload files, and pay outstanding balances — all updating the same central system staff use.</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Practices and firms wanting clients to self-serve instead of calling in.</w:t>
            </w:r>
          </w:p>
        </w:tc>
      </w:tr>
    </w:tbl>
    <w:p>
      <w:pPr>
        <w:spacing w:after="40"/>
      </w:pPr>
    </w:p>
    <w:p>
      <w:pPr>
        <w:spacing w:after="40" w:before="400"/>
      </w:pPr>
      <w:r>
        <w:rPr>
          <w:rFonts w:ascii="Calibri" w:cs="Calibri" w:eastAsia="Calibri" w:hAnsi="Calibri"/>
          <w:b/>
          <w:bCs/>
          <w:color w:val="E23A1E"/>
          <w:sz w:val="24"/>
          <w:szCs w:val="24"/>
        </w:rPr>
        <w:t xml:space="preserve">03  </w:t>
      </w:r>
      <w:r>
        <w:rPr>
          <w:rFonts w:ascii="Calibri" w:cs="Calibri" w:eastAsia="Calibri" w:hAnsi="Calibri"/>
          <w:b/>
          <w:bCs/>
          <w:color w:val="0B1830"/>
          <w:spacing w:val="10"/>
          <w:sz w:val="24"/>
          <w:szCs w:val="24"/>
        </w:rPr>
        <w:t xml:space="preserve">MOBILE APPLICATION DEVELOPMENT</w:t>
      </w:r>
    </w:p>
    <w:p>
      <w:pPr>
        <w:pBdr>
          <w:bottom w:val="single" w:color="D9DEE3" w:sz="6" w:space="6"/>
        </w:pBdr>
        <w:spacing w:after="140"/>
      </w:pPr>
      <w:r>
        <w:rPr>
          <w:rFonts w:ascii="Calibri" w:cs="Calibri" w:eastAsia="Calibri" w:hAnsi="Calibri"/>
          <w:i/>
          <w:iCs/>
          <w:color w:val="44515F"/>
          <w:sz w:val="20"/>
          <w:szCs w:val="20"/>
        </w:rPr>
        <w:t xml:space="preserve">Purpose-built mobile apps for field teams and distributed staff, including offline-first support where connectivity can't be guaranteed.</w:t>
      </w: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Field Service &amp; Inspection App</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An offline-first app for site visits, inspections, and maintenance jobs. Staff complete a structured checklist with no internet connection required; photos are automatically GPS- and time-stamped and sync to the central system once back in signal range.</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Property management, construction, and field-service businesses needing documented inspections.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Staff Operations App</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Gives shift or field staff their roster, tasks, and communications in one app. Staff clock in/out, mark tasks complete, and flag issues with photos; managers see real-time completion status without calling around.</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Multi-branch or multi-location businesses coordinating distributed staff.</w:t>
            </w:r>
          </w:p>
        </w:tc>
      </w:tr>
    </w:tbl>
    <w:p>
      <w:pPr>
        <w:spacing w:after="40"/>
      </w:pPr>
    </w:p>
    <w:p>
      <w:pPr>
        <w:spacing w:after="40" w:before="400"/>
      </w:pPr>
      <w:r>
        <w:rPr>
          <w:rFonts w:ascii="Calibri" w:cs="Calibri" w:eastAsia="Calibri" w:hAnsi="Calibri"/>
          <w:b/>
          <w:bCs/>
          <w:color w:val="E23A1E"/>
          <w:sz w:val="24"/>
          <w:szCs w:val="24"/>
        </w:rPr>
        <w:t xml:space="preserve">04  </w:t>
      </w:r>
      <w:r>
        <w:rPr>
          <w:rFonts w:ascii="Calibri" w:cs="Calibri" w:eastAsia="Calibri" w:hAnsi="Calibri"/>
          <w:b/>
          <w:bCs/>
          <w:color w:val="0B1830"/>
          <w:spacing w:val="10"/>
          <w:sz w:val="24"/>
          <w:szCs w:val="24"/>
        </w:rPr>
        <w:t xml:space="preserve">DATA ANALYTICS &amp; BUSINESS INTELLIGENCE</w:t>
      </w:r>
    </w:p>
    <w:p>
      <w:pPr>
        <w:pBdr>
          <w:bottom w:val="single" w:color="D9DEE3" w:sz="6" w:space="6"/>
        </w:pBdr>
        <w:spacing w:after="140"/>
      </w:pPr>
      <w:r>
        <w:rPr>
          <w:rFonts w:ascii="Calibri" w:cs="Calibri" w:eastAsia="Calibri" w:hAnsi="Calibri"/>
          <w:i/>
          <w:iCs/>
          <w:color w:val="44515F"/>
          <w:sz w:val="20"/>
          <w:szCs w:val="20"/>
        </w:rPr>
        <w:t xml:space="preserve">Dashboards that turn scattered data into a single, daily-updated view of marketing performance, cash flow, and staff output.</w:t>
      </w: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Revenue &amp; Marketing Attribution Dashboard</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Tags every ad, post, and channel before launch, carries that tag through the CRM to the final booking or sale, and rolls it up by channel, campaign, and creative — updated daily — so the owner sees cost-per-lead and revenue-per-channel side by side.</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Any business running paid ads across multiple channels.</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Financial Health Dashboard</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One view of cash flow, receivables aging, and profitability by branch, client, or service line, syncing automatically from accounting and POS systems and flagging anything trending the wrong way.</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Multi-branch businesses and practices needing real-time financial visibility.</w:t>
            </w:r>
          </w:p>
        </w:tc>
      </w:tr>
    </w:tbl>
    <w:p>
      <w:pPr>
        <w:spacing w:after="160"/>
      </w:pPr>
    </w:p>
    <w:tbl>
      <w:tblPr>
        <w:tblW w:type="pct" w:w="100%"/>
        <w:tblBorders>
          <w:top w:val="single" w:color="D9DEE3" w:sz="4"/>
          <w:left w:val="single" w:color="D9DEE3" w:sz="4"/>
          <w:bottom w:val="single" w:color="D9DEE3" w:sz="4"/>
          <w:right w:val="single" w:color="D9DEE3" w:sz="4"/>
          <w:insideH w:val="single" w:color="D9DEE3" w:sz="4"/>
          <w:insideV w:val="single" w:color="D9DEE3" w:sz="4"/>
        </w:tblBorders>
      </w:tblPr>
      <w:tblGrid>
        <w:gridCol w:w="3200"/>
        <w:gridCol w:w="6600"/>
      </w:tblGrid>
      <w:tr>
        <w:tc>
          <w:tcPr>
            <w:tcW w:type="dxa" w:w="3200"/>
            <w:shd w:fill="F4F6F8" w:val="clear"/>
            <w:tcMar>
              <w:top w:type="dxa" w:w="140"/>
              <w:left w:type="dxa" w:w="160"/>
              <w:bottom w:type="dxa" w:w="140"/>
              <w:right w:type="dxa" w:w="120"/>
            </w:tcMar>
            <w:vAlign w:val="center"/>
          </w:tcPr>
          <w:p>
            <w:r>
              <w:rPr>
                <w:rFonts w:ascii="Calibri" w:cs="Calibri" w:eastAsia="Calibri" w:hAnsi="Calibri"/>
                <w:b/>
                <w:bCs/>
                <w:color w:val="0B1830"/>
                <w:sz w:val="20"/>
                <w:szCs w:val="20"/>
              </w:rPr>
              <w:t xml:space="preserve">Staff / Agent Performance Analytics</w:t>
            </w:r>
          </w:p>
        </w:tc>
        <w:tc>
          <w:tcPr>
            <w:tcW w:type="dxa" w:w="6600"/>
            <w:tcMar>
              <w:top w:type="dxa" w:w="140"/>
              <w:left w:type="dxa" w:w="160"/>
              <w:bottom w:type="dxa" w:w="140"/>
              <w:right w:type="dxa" w:w="160"/>
            </w:tcMar>
            <w:vAlign w:val="center"/>
          </w:tcPr>
          <w:p>
            <w:pPr>
              <w:spacing w:after="60"/>
            </w:pPr>
            <w:r>
              <w:rPr>
                <w:rFonts w:ascii="Calibri" w:cs="Calibri" w:eastAsia="Calibri" w:hAnsi="Calibri"/>
                <w:color w:val="44515F"/>
                <w:sz w:val="19"/>
                <w:szCs w:val="19"/>
              </w:rPr>
              <w:t xml:space="preserve">Logs every interaction against the responsible staff member and calculates response time, conversion rate, and revenue generated automatically, producing a weekly leaderboard and individual scorecards.</w:t>
            </w:r>
          </w:p>
          <w:p>
            <w:r>
              <w:rPr>
                <w:rFonts w:ascii="Calibri" w:cs="Calibri" w:eastAsia="Calibri" w:hAnsi="Calibri"/>
                <w:b/>
                <w:bCs/>
                <w:color w:val="E23A1E"/>
                <w:sz w:val="18"/>
                <w:szCs w:val="18"/>
              </w:rPr>
              <w:t xml:space="preserve">Best for: </w:t>
            </w:r>
            <w:r>
              <w:rPr>
                <w:rFonts w:ascii="Calibri" w:cs="Calibri" w:eastAsia="Calibri" w:hAnsi="Calibri"/>
                <w:i/>
                <w:iCs/>
                <w:color w:val="44515F"/>
                <w:sz w:val="18"/>
                <w:szCs w:val="18"/>
              </w:rPr>
              <w:t xml:space="preserve">Businesses with sales or service teams where performance varies by individual.</w:t>
            </w:r>
          </w:p>
        </w:tc>
      </w:tr>
    </w:tbl>
    <w:p>
      <w:pPr>
        <w:spacing w:after="40"/>
      </w:pPr>
    </w:p>
    <w:p>
      <w:pPr>
        <w:pBdr>
          <w:bottom w:val="single" w:color="E23A1E" w:sz="10" w:space="4"/>
        </w:pBdr>
        <w:spacing w:after="140" w:before="320"/>
      </w:pPr>
      <w:r>
        <w:rPr>
          <w:rFonts w:ascii="Calibri" w:cs="Calibri" w:eastAsia="Calibri" w:hAnsi="Calibri"/>
          <w:b/>
          <w:bCs/>
          <w:color w:val="0B1830"/>
          <w:spacing w:val="12"/>
          <w:sz w:val="26"/>
          <w:szCs w:val="26"/>
        </w:rPr>
        <w:t xml:space="preserve">INDUSTRIES WE SERVE</w:t>
      </w:r>
    </w:p>
    <w:p>
      <w:pPr>
        <w:spacing w:after="140" w:line="300"/>
      </w:pPr>
      <w:r>
        <w:rPr>
          <w:rFonts w:ascii="Calibri" w:cs="Calibri" w:eastAsia="Calibri" w:hAnsi="Calibri"/>
          <w:color w:val="44515F"/>
          <w:sz w:val="21"/>
          <w:szCs w:val="21"/>
        </w:rPr>
        <w:t xml:space="preserve">Our service lines are built around a reusable core, adapted to the workflow and compliance needs of each industry. Current focus areas include:</w:t>
      </w:r>
    </w:p>
    <w:tbl>
      <w:tblPr>
        <w:tblW w:type="pct" w:w="100%"/>
        <w:tblBorders>
          <w:top w:val="none"/>
          <w:left w:val="none"/>
          <w:bottom w:val="none"/>
          <w:right w:val="none"/>
          <w:insideH w:val="none"/>
          <w:insideV w:val="none"/>
        </w:tblBorders>
      </w:tblPr>
      <w:tblGrid>
        <w:gridCol w:w="4650"/>
        <w:gridCol w:w="4650"/>
      </w:tblGrid>
      <w:tr>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Clinics &amp; aesthetics</w:t>
            </w:r>
          </w:p>
          <w:p>
            <w:r>
              <w:rPr>
                <w:rFonts w:ascii="Calibri" w:cs="Calibri" w:eastAsia="Calibri" w:hAnsi="Calibri"/>
                <w:color w:val="44515F"/>
                <w:sz w:val="17"/>
                <w:szCs w:val="17"/>
              </w:rPr>
              <w:t xml:space="preserve">Dental, cosmetic, aesthetic, and veterinary practices</w:t>
            </w:r>
          </w:p>
        </w:tc>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Real estate</w:t>
            </w:r>
          </w:p>
          <w:p>
            <w:r>
              <w:rPr>
                <w:rFonts w:ascii="Calibri" w:cs="Calibri" w:eastAsia="Calibri" w:hAnsi="Calibri"/>
                <w:color w:val="44515F"/>
                <w:sz w:val="17"/>
                <w:szCs w:val="17"/>
              </w:rPr>
              <w:t xml:space="preserve">Brokerages and property/facility management firms</w:t>
            </w:r>
          </w:p>
        </w:tc>
      </w:tr>
      <w:tr>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E-commerce</w:t>
            </w:r>
          </w:p>
          <w:p>
            <w:r>
              <w:rPr>
                <w:rFonts w:ascii="Calibri" w:cs="Calibri" w:eastAsia="Calibri" w:hAnsi="Calibri"/>
                <w:color w:val="44515F"/>
                <w:sz w:val="17"/>
                <w:szCs w:val="17"/>
              </w:rPr>
              <w:t xml:space="preserve">Direct-to-consumer and retail brands selling online</w:t>
            </w:r>
          </w:p>
        </w:tc>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Home &amp; field services</w:t>
            </w:r>
          </w:p>
          <w:p>
            <w:r>
              <w:rPr>
                <w:rFonts w:ascii="Calibri" w:cs="Calibri" w:eastAsia="Calibri" w:hAnsi="Calibri"/>
                <w:color w:val="44515F"/>
                <w:sz w:val="17"/>
                <w:szCs w:val="17"/>
              </w:rPr>
              <w:t xml:space="preserve">Contractors, inspection, and maintenance businesses</w:t>
            </w:r>
          </w:p>
        </w:tc>
      </w:tr>
      <w:tr>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Professional services</w:t>
            </w:r>
          </w:p>
          <w:p>
            <w:r>
              <w:rPr>
                <w:rFonts w:ascii="Calibri" w:cs="Calibri" w:eastAsia="Calibri" w:hAnsi="Calibri"/>
                <w:color w:val="44515F"/>
                <w:sz w:val="17"/>
                <w:szCs w:val="17"/>
              </w:rPr>
              <w:t xml:space="preserve">Accounting, bookkeeping, and legal practices</w:t>
            </w:r>
          </w:p>
        </w:tc>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Construction &amp; engineering</w:t>
            </w:r>
          </w:p>
          <w:p>
            <w:r>
              <w:rPr>
                <w:rFonts w:ascii="Calibri" w:cs="Calibri" w:eastAsia="Calibri" w:hAnsi="Calibri"/>
                <w:color w:val="44515F"/>
                <w:sz w:val="17"/>
                <w:szCs w:val="17"/>
              </w:rPr>
              <w:t xml:space="preserve">Firms managing tenders, site work, and certifications</w:t>
            </w:r>
          </w:p>
        </w:tc>
      </w:tr>
      <w:tr>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Retail &amp; hospitality</w:t>
            </w:r>
          </w:p>
          <w:p>
            <w:r>
              <w:rPr>
                <w:rFonts w:ascii="Calibri" w:cs="Calibri" w:eastAsia="Calibri" w:hAnsi="Calibri"/>
                <w:color w:val="44515F"/>
                <w:sz w:val="17"/>
                <w:szCs w:val="17"/>
              </w:rPr>
              <w:t xml:space="preserve">Multi-branch retail, salons, and appointment-based venues</w:t>
            </w:r>
          </w:p>
        </w:tc>
        <w:tc>
          <w:tcPr>
            <w:tcW w:type="dxa" w:w="4650"/>
            <w:tcBorders>
              <w:top w:val="single" w:color="D9DEE3" w:sz="4"/>
              <w:left w:val="single" w:color="D9DEE3" w:sz="4"/>
              <w:bottom w:val="single" w:color="D9DEE3" w:sz="4"/>
              <w:right w:val="single" w:color="D9DEE3" w:sz="4"/>
            </w:tcBorders>
            <w:shd w:fill="F4F6F8" w:val="clear"/>
            <w:tcMar>
              <w:top w:type="dxa" w:w="140"/>
              <w:left w:type="dxa" w:w="160"/>
              <w:bottom w:type="dxa" w:w="140"/>
              <w:right w:type="dxa" w:w="160"/>
            </w:tcMar>
          </w:tcPr>
          <w:p>
            <w:pPr>
              <w:spacing w:after="40"/>
            </w:pPr>
            <w:r>
              <w:rPr>
                <w:rFonts w:ascii="Calibri" w:cs="Calibri" w:eastAsia="Calibri" w:hAnsi="Calibri"/>
                <w:b/>
                <w:bCs/>
                <w:color w:val="0B1830"/>
                <w:sz w:val="19"/>
                <w:szCs w:val="19"/>
              </w:rPr>
              <w:t xml:space="preserve">Financial &amp; compliance-driven SMEs</w:t>
            </w:r>
          </w:p>
          <w:p>
            <w:r>
              <w:rPr>
                <w:rFonts w:ascii="Calibri" w:cs="Calibri" w:eastAsia="Calibri" w:hAnsi="Calibri"/>
                <w:color w:val="44515F"/>
                <w:sz w:val="17"/>
                <w:szCs w:val="17"/>
              </w:rPr>
              <w:t xml:space="preserve">Businesses managing invoicing, tax, or regulatory deadlines</w:t>
            </w:r>
          </w:p>
        </w:tc>
      </w:tr>
    </w:tbl>
    <w:p>
      <w:pPr>
        <w:spacing w:after="80"/>
      </w:pPr>
    </w:p>
    <w:p>
      <w:pPr>
        <w:pBdr>
          <w:bottom w:val="single" w:color="E23A1E" w:sz="10" w:space="4"/>
        </w:pBdr>
        <w:spacing w:after="140" w:before="320"/>
      </w:pPr>
      <w:r>
        <w:rPr>
          <w:rFonts w:ascii="Calibri" w:cs="Calibri" w:eastAsia="Calibri" w:hAnsi="Calibri"/>
          <w:b/>
          <w:bCs/>
          <w:color w:val="0B1830"/>
          <w:spacing w:val="12"/>
          <w:sz w:val="26"/>
          <w:szCs w:val="26"/>
        </w:rPr>
        <w:t xml:space="preserve">HOW WE WORK</w:t>
      </w:r>
    </w:p>
    <w:p>
      <w:pPr>
        <w:spacing w:after="140" w:line="300"/>
      </w:pPr>
      <w:r>
        <w:rPr>
          <w:rFonts w:ascii="Calibri" w:cs="Calibri" w:eastAsia="Calibri" w:hAnsi="Calibri"/>
          <w:color w:val="44515F"/>
          <w:sz w:val="21"/>
          <w:szCs w:val="21"/>
        </w:rPr>
        <w:t xml:space="preserve">We lead every engagement with AI &amp; Automation — it is the fastest path to a measurable result, usually inside the first few weeks. Data Analytics rides along at little to no extra cost as the retention layer, giving the owner visibility into what the automation is producing. Custom Software and Mobile Applications come in as the upsell path once a client has been on retainer for 6–12 months and a workflow has proven it needs a dedicated system.</w:t>
      </w:r>
    </w:p>
    <w:p>
      <w:pPr>
        <w:spacing w:after="140" w:line="300"/>
      </w:pPr>
      <w:r>
        <w:rPr>
          <w:rFonts w:ascii="Calibri" w:cs="Calibri" w:eastAsia="Calibri" w:hAnsi="Calibri"/>
          <w:color w:val="44515F"/>
          <w:sz w:val="21"/>
          <w:szCs w:val="21"/>
        </w:rPr>
        <w:t xml:space="preserve">Every engagement includes a working automation or system, not just a proposal — we build against real inbound leads, real appointments, or real invoices from week one.</w:t>
      </w:r>
    </w:p>
    <w:p>
      <w:pPr>
        <w:pBdr>
          <w:bottom w:val="single" w:color="E23A1E" w:sz="10" w:space="4"/>
        </w:pBdr>
        <w:spacing w:after="140" w:before="320"/>
      </w:pPr>
      <w:r>
        <w:rPr>
          <w:rFonts w:ascii="Calibri" w:cs="Calibri" w:eastAsia="Calibri" w:hAnsi="Calibri"/>
          <w:b/>
          <w:bCs/>
          <w:color w:val="0B1830"/>
          <w:spacing w:val="12"/>
          <w:sz w:val="26"/>
          <w:szCs w:val="26"/>
        </w:rPr>
        <w:t xml:space="preserve">GET IN TOUCH</w:t>
      </w:r>
    </w:p>
    <w:p>
      <w:pPr>
        <w:spacing w:after="140" w:line="300"/>
      </w:pPr>
      <w:r>
        <w:rPr>
          <w:rFonts w:ascii="Calibri" w:cs="Calibri" w:eastAsia="Calibri" w:hAnsi="Calibri"/>
          <w:color w:val="44515F"/>
          <w:sz w:val="21"/>
          <w:szCs w:val="21"/>
        </w:rPr>
        <w:t xml:space="preserve">Website:  [add website]      Email:  [add email]      Phone / WhatsApp:  [add number]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15F"/>
        <w:sz w:val="15"/>
        <w:szCs w:val="15"/>
      </w:rPr>
      <w:t xml:space="preserve">RBiX Technologies  |  </w:t>
    </w:r>
    <w:r>
      <w:rPr>
        <w:rFonts w:ascii="Calibri" w:cs="Calibri" w:eastAsia="Calibri" w:hAnsi="Calibri"/>
        <w:color w:val="44515F"/>
        <w:sz w:val="15"/>
        <w:szCs w:val="15"/>
      </w:rPr>
      <w:t xml:space="preserve">Page </w:t>
    </w:r>
    <w:r>
      <w:rPr>
        <w:rFonts w:ascii="Calibri" w:cs="Calibri" w:eastAsia="Calibri" w:hAnsi="Calibri"/>
        <w:color w:val="44515F"/>
        <w:sz w:val="15"/>
        <w:szCs w:val="15"/>
      </w:rPr>
      <w:fldChar w:fldCharType="begin"/>
      <w:instrText xml:space="preserve">PAGE</w:instrText>
      <w:fldChar w:fldCharType="separate"/>
      <w:fldChar w:fldCharType="end"/>
    </w:r>
    <w:r>
      <w:rPr>
        <w:rFonts w:ascii="Calibri" w:cs="Calibri" w:eastAsia="Calibri" w:hAnsi="Calibri"/>
        <w:color w:val="44515F"/>
        <w:sz w:val="15"/>
        <w:szCs w:val="15"/>
      </w:rPr>
      <w:t xml:space="preserve"> of </w:t>
    </w:r>
    <w:r>
      <w:rPr>
        <w:rFonts w:ascii="Calibri" w:cs="Calibri" w:eastAsia="Calibri" w:hAnsi="Calibri"/>
        <w:color w:val="44515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3" w:sz="4" w:space="4"/>
      </w:pBdr>
      <w:tabs>
        <w:tab w:val="right" w:pos="9026"/>
      </w:tabs>
    </w:pPr>
    <w:r>
      <w:rPr>
        <w:rFonts w:ascii="Calibri" w:cs="Calibri" w:eastAsia="Calibri" w:hAnsi="Calibri"/>
        <w:b/>
        <w:bCs/>
        <w:color w:val="0B1830"/>
        <w:spacing w:val="10"/>
        <w:sz w:val="16"/>
        <w:szCs w:val="16"/>
      </w:rPr>
      <w:t xml:space="preserve">RBiX TECHNOLOGIES</w:t>
    </w:r>
    <w:r>
      <w:rPr>
        <w:rFonts w:ascii="Calibri" w:cs="Calibri" w:eastAsia="Calibri" w:hAnsi="Calibri"/>
        <w:color w:val="44515F"/>
        <w:sz w:val="16"/>
        <w:szCs w:val="16"/>
      </w:rPr>
      <w:t xml:space="preserve">	Company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4515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1050e7c588a120d635af9ee5968622c11b5a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2026-07-31T22:06:40.096Z</dcterms:created>
  <dcterms:modified xsi:type="dcterms:W3CDTF">2026-07-31T22:06:40.096Z</dcterms:modified>
</cp:coreProperties>
</file>

<file path=docProps/custom.xml><?xml version="1.0" encoding="utf-8"?>
<Properties xmlns="http://schemas.openxmlformats.org/officeDocument/2006/custom-properties" xmlns:vt="http://schemas.openxmlformats.org/officeDocument/2006/docPropsVTypes"/>
</file>