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A72DD" w:rsidRPr="00796CBE" w14:paraId="1BC30FA6" w14:textId="77777777" w:rsidTr="00DA72DD">
        <w:tblPrEx>
          <w:tblCellMar>
            <w:top w:w="0" w:type="dxa"/>
            <w:bottom w:w="0" w:type="dxa"/>
          </w:tblCellMar>
        </w:tblPrEx>
        <w:trPr>
          <w:jc w:val="center"/>
        </w:trPr>
        <w:tc>
          <w:tcPr>
            <w:tcW w:w="9026" w:type="dxa"/>
            <w:tcBorders>
              <w:top w:val="none" w:sz="0" w:space="0" w:color="FFFFFF"/>
              <w:left w:val="none" w:sz="0" w:space="0" w:color="FFFFFF"/>
              <w:bottom w:val="none" w:sz="0" w:space="0" w:color="FFFFFF"/>
              <w:right w:val="none" w:sz="0" w:space="0" w:color="FFFFFF"/>
            </w:tcBorders>
            <w:shd w:val="clear" w:color="auto" w:fill="000000" w:themeFill="text1"/>
            <w:tcMar>
              <w:top w:w="280" w:type="dxa"/>
              <w:left w:w="280" w:type="dxa"/>
              <w:bottom w:w="80" w:type="dxa"/>
              <w:right w:w="280" w:type="dxa"/>
            </w:tcMar>
          </w:tcPr>
          <w:p w14:paraId="537DCA34" w14:textId="77777777" w:rsidR="00DA72DD" w:rsidRPr="00796CBE" w:rsidRDefault="00DA72DD" w:rsidP="00F42E5E">
            <w:pPr>
              <w:jc w:val="center"/>
              <w:rPr>
                <w:rFonts w:ascii="Times New Roman" w:hAnsi="Times New Roman" w:cs="Times New Roman"/>
                <w:b/>
                <w:bCs/>
              </w:rPr>
            </w:pPr>
            <w:r w:rsidRPr="00796CBE">
              <w:rPr>
                <w:rFonts w:ascii="Times New Roman" w:hAnsi="Times New Roman" w:cs="Times New Roman"/>
                <w:b/>
                <w:bCs/>
                <w:color w:val="FFFFFF"/>
                <w:sz w:val="44"/>
                <w:szCs w:val="44"/>
              </w:rPr>
              <w:t>ENERGY FLEET AVAILABILITY ANALYSIS</w:t>
            </w:r>
          </w:p>
        </w:tc>
      </w:tr>
      <w:tr w:rsidR="00DA72DD" w:rsidRPr="00796CBE" w14:paraId="0D2D1DB1" w14:textId="77777777" w:rsidTr="00DA72DD">
        <w:tblPrEx>
          <w:tblCellMar>
            <w:top w:w="0" w:type="dxa"/>
            <w:bottom w:w="0" w:type="dxa"/>
          </w:tblCellMar>
        </w:tblPrEx>
        <w:trPr>
          <w:jc w:val="center"/>
        </w:trPr>
        <w:tc>
          <w:tcPr>
            <w:tcW w:w="9026" w:type="dxa"/>
            <w:tcBorders>
              <w:top w:val="none" w:sz="0" w:space="0" w:color="FFFFFF"/>
              <w:left w:val="none" w:sz="0" w:space="0" w:color="FFFFFF"/>
              <w:bottom w:val="none" w:sz="0" w:space="0" w:color="FFFFFF"/>
              <w:right w:val="none" w:sz="0" w:space="0" w:color="FFFFFF"/>
            </w:tcBorders>
            <w:shd w:val="clear" w:color="auto" w:fill="000000" w:themeFill="text1"/>
            <w:tcMar>
              <w:top w:w="0" w:type="dxa"/>
              <w:left w:w="280" w:type="dxa"/>
              <w:bottom w:w="80" w:type="dxa"/>
              <w:right w:w="280" w:type="dxa"/>
            </w:tcMar>
          </w:tcPr>
          <w:p w14:paraId="253C1638" w14:textId="77777777" w:rsidR="00DA72DD" w:rsidRPr="00796CBE" w:rsidRDefault="00DA72DD" w:rsidP="00F42E5E">
            <w:pPr>
              <w:jc w:val="center"/>
              <w:rPr>
                <w:rFonts w:ascii="Times New Roman" w:hAnsi="Times New Roman" w:cs="Times New Roman"/>
                <w:b/>
                <w:bCs/>
              </w:rPr>
            </w:pPr>
            <w:r w:rsidRPr="00796CBE">
              <w:rPr>
                <w:rFonts w:ascii="Times New Roman" w:hAnsi="Times New Roman" w:cs="Times New Roman"/>
                <w:b/>
                <w:bCs/>
                <w:i/>
                <w:iCs/>
                <w:color w:val="DEEAF1"/>
                <w:sz w:val="26"/>
                <w:szCs w:val="26"/>
              </w:rPr>
              <w:t>SQL Case Study</w:t>
            </w:r>
          </w:p>
        </w:tc>
      </w:tr>
      <w:tr w:rsidR="00DA72DD" w:rsidRPr="00796CBE" w14:paraId="7F7D9DFD" w14:textId="77777777" w:rsidTr="00DA72DD">
        <w:tblPrEx>
          <w:tblCellMar>
            <w:top w:w="0" w:type="dxa"/>
            <w:bottom w:w="0" w:type="dxa"/>
          </w:tblCellMar>
        </w:tblPrEx>
        <w:trPr>
          <w:jc w:val="center"/>
        </w:trPr>
        <w:tc>
          <w:tcPr>
            <w:tcW w:w="9026" w:type="dxa"/>
            <w:tcBorders>
              <w:top w:val="none" w:sz="0" w:space="0" w:color="FFFFFF"/>
              <w:left w:val="none" w:sz="0" w:space="0" w:color="FFFFFF"/>
              <w:bottom w:val="none" w:sz="0" w:space="0" w:color="FFFFFF"/>
              <w:right w:val="none" w:sz="0" w:space="0" w:color="FFFFFF"/>
            </w:tcBorders>
            <w:shd w:val="clear" w:color="auto" w:fill="000000" w:themeFill="text1"/>
            <w:tcMar>
              <w:top w:w="100" w:type="dxa"/>
              <w:left w:w="280" w:type="dxa"/>
              <w:bottom w:w="100" w:type="dxa"/>
              <w:right w:w="280" w:type="dxa"/>
            </w:tcMar>
          </w:tcPr>
          <w:p w14:paraId="16D8BD62" w14:textId="77777777" w:rsidR="00DA72DD" w:rsidRDefault="00DA72DD" w:rsidP="00F42E5E">
            <w:pPr>
              <w:jc w:val="center"/>
              <w:rPr>
                <w:rFonts w:ascii="Times New Roman" w:hAnsi="Times New Roman" w:cs="Times New Roman"/>
                <w:b/>
                <w:bCs/>
                <w:color w:val="DEEAF1"/>
                <w:sz w:val="24"/>
                <w:szCs w:val="24"/>
              </w:rPr>
            </w:pPr>
            <w:r w:rsidRPr="00796CBE">
              <w:rPr>
                <w:rFonts w:ascii="Times New Roman" w:hAnsi="Times New Roman" w:cs="Times New Roman"/>
                <w:b/>
                <w:bCs/>
                <w:color w:val="FFFFFF"/>
                <w:sz w:val="24"/>
                <w:szCs w:val="24"/>
              </w:rPr>
              <w:t xml:space="preserve">Prepared by: Muhammad Danish  </w:t>
            </w:r>
            <w:r w:rsidRPr="00796CBE">
              <w:rPr>
                <w:rFonts w:ascii="Times New Roman" w:hAnsi="Times New Roman" w:cs="Times New Roman"/>
                <w:b/>
                <w:bCs/>
                <w:color w:val="DEEAF1"/>
                <w:sz w:val="24"/>
                <w:szCs w:val="24"/>
              </w:rPr>
              <w:t xml:space="preserve"> </w:t>
            </w:r>
          </w:p>
          <w:p w14:paraId="13E62747" w14:textId="69E6C245" w:rsidR="00DA72DD" w:rsidRPr="00796CBE" w:rsidRDefault="00DA72DD" w:rsidP="00F42E5E">
            <w:pPr>
              <w:jc w:val="center"/>
              <w:rPr>
                <w:rFonts w:ascii="Times New Roman" w:hAnsi="Times New Roman" w:cs="Times New Roman"/>
                <w:b/>
                <w:bCs/>
                <w:sz w:val="28"/>
                <w:szCs w:val="28"/>
              </w:rPr>
            </w:pPr>
            <w:r w:rsidRPr="00796CBE">
              <w:rPr>
                <w:rFonts w:ascii="Times New Roman" w:hAnsi="Times New Roman" w:cs="Times New Roman"/>
                <w:b/>
                <w:bCs/>
                <w:color w:val="DEEAF1"/>
                <w:sz w:val="24"/>
                <w:szCs w:val="24"/>
              </w:rPr>
              <w:t xml:space="preserve"> </w:t>
            </w:r>
            <w:r w:rsidRPr="00796CBE">
              <w:rPr>
                <w:rFonts w:ascii="Times New Roman" w:hAnsi="Times New Roman" w:cs="Times New Roman"/>
                <w:b/>
                <w:bCs/>
                <w:color w:val="FFFFFF"/>
                <w:sz w:val="24"/>
                <w:szCs w:val="24"/>
              </w:rPr>
              <w:t xml:space="preserve"> </w:t>
            </w:r>
          </w:p>
        </w:tc>
      </w:tr>
    </w:tbl>
    <w:p w14:paraId="58BD2D1E" w14:textId="7B49B5BD" w:rsidR="005C6EEC" w:rsidRDefault="005C6EEC" w:rsidP="00DA72DD">
      <w:pPr>
        <w:spacing w:after="300"/>
      </w:pPr>
    </w:p>
    <w:p w14:paraId="0172BE0F" w14:textId="028127D4" w:rsidR="00DA72DD" w:rsidRPr="00DA72DD" w:rsidRDefault="00DA72DD" w:rsidP="00DA72DD">
      <w:pPr>
        <w:pStyle w:val="Heading1"/>
        <w:shd w:val="clear" w:color="auto" w:fill="000000" w:themeFill="text1"/>
        <w:rPr>
          <w:rFonts w:ascii="Times New Roman" w:hAnsi="Times New Roman" w:cs="Times New Roman"/>
          <w:color w:val="FFFFFF" w:themeColor="background1"/>
        </w:rPr>
      </w:pPr>
      <w:r w:rsidRPr="00DA72DD">
        <w:rPr>
          <w:rFonts w:ascii="Times New Roman" w:hAnsi="Times New Roman" w:cs="Times New Roman"/>
          <w:color w:val="FFFFFF" w:themeColor="background1"/>
        </w:rPr>
        <w:t>1.</w:t>
      </w:r>
      <w:r w:rsidRPr="00DA72DD">
        <w:rPr>
          <w:rFonts w:ascii="Times New Roman" w:hAnsi="Times New Roman" w:cs="Times New Roman"/>
          <w:color w:val="FFFFFF" w:themeColor="background1"/>
        </w:rPr>
        <w:t>Dataset Summary</w:t>
      </w:r>
    </w:p>
    <w:p w14:paraId="27C7D990" w14:textId="1D5211AE" w:rsidR="00DA72DD" w:rsidRPr="00DA72DD" w:rsidRDefault="00DA72DD" w:rsidP="00DA72DD">
      <w:pPr>
        <w:spacing w:before="80" w:after="100"/>
        <w:jc w:val="both"/>
        <w:rPr>
          <w:rFonts w:ascii="Times New Roman" w:hAnsi="Times New Roman" w:cs="Times New Roman"/>
          <w:sz w:val="24"/>
          <w:szCs w:val="24"/>
        </w:rPr>
      </w:pPr>
      <w:r w:rsidRPr="00DA72DD">
        <w:rPr>
          <w:rFonts w:ascii="Times New Roman" w:hAnsi="Times New Roman" w:cs="Times New Roman"/>
          <w:color w:val="1A1A1A"/>
          <w:sz w:val="24"/>
          <w:szCs w:val="24"/>
        </w:rPr>
        <w:t xml:space="preserve">The Energy Dataset is a structured relational dataset comprising </w:t>
      </w:r>
      <w:r w:rsidRPr="00DA72DD">
        <w:rPr>
          <w:rFonts w:ascii="Times New Roman" w:hAnsi="Times New Roman" w:cs="Times New Roman"/>
          <w:sz w:val="24"/>
          <w:szCs w:val="24"/>
        </w:rPr>
        <w:t>21</w:t>
      </w:r>
      <w:r w:rsidRPr="00DA72DD">
        <w:rPr>
          <w:rFonts w:ascii="Times New Roman" w:hAnsi="Times New Roman" w:cs="Times New Roman"/>
          <w:color w:val="1A1A1A"/>
          <w:sz w:val="24"/>
          <w:szCs w:val="24"/>
        </w:rPr>
        <w:t xml:space="preserve"> tables 12 Dimension tables and </w:t>
      </w:r>
      <w:r w:rsidRPr="00DA72DD">
        <w:rPr>
          <w:rFonts w:ascii="Times New Roman" w:hAnsi="Times New Roman" w:cs="Times New Roman"/>
          <w:sz w:val="24"/>
          <w:szCs w:val="24"/>
        </w:rPr>
        <w:t>7</w:t>
      </w:r>
      <w:r w:rsidRPr="00DA72DD">
        <w:rPr>
          <w:rFonts w:ascii="Times New Roman" w:hAnsi="Times New Roman" w:cs="Times New Roman"/>
          <w:color w:val="1A1A1A"/>
          <w:sz w:val="24"/>
          <w:szCs w:val="24"/>
        </w:rPr>
        <w:t xml:space="preserve"> Fact tables</w:t>
      </w:r>
      <w:r w:rsidRPr="00DA72DD">
        <w:rPr>
          <w:rFonts w:ascii="Times New Roman" w:hAnsi="Times New Roman" w:cs="Times New Roman"/>
          <w:sz w:val="24"/>
          <w:szCs w:val="24"/>
        </w:rPr>
        <w:t xml:space="preserve"> and two common tables</w:t>
      </w:r>
      <w:r w:rsidRPr="00DA72DD">
        <w:rPr>
          <w:rFonts w:ascii="Times New Roman" w:hAnsi="Times New Roman" w:cs="Times New Roman"/>
          <w:color w:val="1A1A1A"/>
          <w:sz w:val="24"/>
          <w:szCs w:val="24"/>
        </w:rPr>
        <w:t xml:space="preserve"> covering UK and Ireland renewable energy operations across 120 active and inactive assets. Assets span three generation types (Wind, Solar, and Battery), distributed across 18 geographic regions served by multiple grid operators including National Grid ESO, EirGrid, SONI, Jersey Electricity, and Manx Utilities. The dataset's calendar dimension covers four full years (2022–2025), and the time dimension provides minute-level granularity. Operational data captured across the </w:t>
      </w:r>
      <w:r w:rsidRPr="00DA72DD">
        <w:rPr>
          <w:rFonts w:ascii="Times New Roman" w:hAnsi="Times New Roman" w:cs="Times New Roman"/>
          <w:sz w:val="24"/>
          <w:szCs w:val="24"/>
        </w:rPr>
        <w:t>7</w:t>
      </w:r>
      <w:r w:rsidRPr="00DA72DD">
        <w:rPr>
          <w:rFonts w:ascii="Times New Roman" w:hAnsi="Times New Roman" w:cs="Times New Roman"/>
          <w:color w:val="1A1A1A"/>
          <w:sz w:val="24"/>
          <w:szCs w:val="24"/>
        </w:rPr>
        <w:t xml:space="preserve"> Fact tables includes asset availability, fault events, commercial settlements, curtailment events, and dispatch instructions</w:t>
      </w:r>
      <w:r w:rsidRPr="00DA72DD">
        <w:rPr>
          <w:rFonts w:ascii="Times New Roman" w:hAnsi="Times New Roman" w:cs="Times New Roman"/>
          <w:sz w:val="24"/>
          <w:szCs w:val="24"/>
        </w:rPr>
        <w:t xml:space="preserve"> etc</w:t>
      </w:r>
      <w:r w:rsidRPr="00DA72DD">
        <w:rPr>
          <w:rFonts w:ascii="Times New Roman" w:hAnsi="Times New Roman" w:cs="Times New Roman"/>
          <w:color w:val="1A1A1A"/>
          <w:sz w:val="24"/>
          <w:szCs w:val="24"/>
        </w:rPr>
        <w:t>.</w:t>
      </w:r>
    </w:p>
    <w:p w14:paraId="6C78B448" w14:textId="06B9E04D" w:rsidR="005C6EEC" w:rsidRPr="00DA72DD" w:rsidRDefault="00DA72DD" w:rsidP="00DA72DD">
      <w:pPr>
        <w:pStyle w:val="Heading1"/>
        <w:shd w:val="clear" w:color="auto" w:fill="000000" w:themeFill="text1"/>
        <w:rPr>
          <w:rFonts w:ascii="Times New Roman" w:hAnsi="Times New Roman" w:cs="Times New Roman"/>
          <w:color w:val="FFFFFF" w:themeColor="background1"/>
        </w:rPr>
      </w:pPr>
      <w:r w:rsidRPr="00DA72DD">
        <w:rPr>
          <w:rFonts w:ascii="Times New Roman" w:hAnsi="Times New Roman" w:cs="Times New Roman"/>
          <w:color w:val="FFFFFF" w:themeColor="background1"/>
        </w:rPr>
        <w:t>2</w:t>
      </w:r>
      <w:r w:rsidR="00000000" w:rsidRPr="00DA72DD">
        <w:rPr>
          <w:rFonts w:ascii="Times New Roman" w:hAnsi="Times New Roman" w:cs="Times New Roman"/>
          <w:color w:val="FFFFFF" w:themeColor="background1"/>
        </w:rPr>
        <w:t>. Business Problem &amp; Context</w:t>
      </w:r>
    </w:p>
    <w:p w14:paraId="6DA92CEF" w14:textId="77777777" w:rsidR="005C6EEC" w:rsidRPr="00DA72DD" w:rsidRDefault="00000000" w:rsidP="00DA72DD">
      <w:pPr>
        <w:spacing w:after="120"/>
        <w:jc w:val="both"/>
        <w:rPr>
          <w:rFonts w:ascii="Times New Roman" w:hAnsi="Times New Roman" w:cs="Times New Roman"/>
          <w:sz w:val="28"/>
          <w:szCs w:val="28"/>
        </w:rPr>
      </w:pPr>
      <w:r w:rsidRPr="00DA72DD">
        <w:rPr>
          <w:rFonts w:ascii="Times New Roman" w:hAnsi="Times New Roman" w:cs="Times New Roman"/>
          <w:sz w:val="24"/>
          <w:szCs w:val="24"/>
        </w:rPr>
        <w:t>A 90% availability target is a standard benchmark embedded in UK renewable energy Power Purchase Agreements (PPAs) and financing agreements. Sustained availability below this threshold triggers financial penalty clauses, reduces forecasted revenue, and raises asset financing risk flags with lenders and investors.</w:t>
      </w:r>
    </w:p>
    <w:p w14:paraId="0E2DB38E" w14:textId="5BB2FE33" w:rsidR="005C6EEC" w:rsidRPr="00DA72DD" w:rsidRDefault="00000000" w:rsidP="00DA72DD">
      <w:pPr>
        <w:spacing w:after="120"/>
        <w:jc w:val="both"/>
        <w:rPr>
          <w:rFonts w:ascii="Times New Roman" w:hAnsi="Times New Roman" w:cs="Times New Roman"/>
          <w:sz w:val="28"/>
          <w:szCs w:val="28"/>
        </w:rPr>
      </w:pPr>
      <w:r w:rsidRPr="00DA72DD">
        <w:rPr>
          <w:rFonts w:ascii="Times New Roman" w:hAnsi="Times New Roman" w:cs="Times New Roman"/>
          <w:sz w:val="24"/>
          <w:szCs w:val="24"/>
        </w:rPr>
        <w:t>Despite its financial significance, Operations &amp; Maintenance (O&amp;M) teams frequently lack a portfolio-wide, data-driven view of which assets are chronically underperforming versus those experiencing isolated incidents. Generic availability reports also typically overlook weekday versus weekend performance differences a dimension that can signal whether poor performance stems from technical faults or from operational and staffing coverage gaps.</w:t>
      </w:r>
    </w:p>
    <w:p w14:paraId="0A4E0344" w14:textId="475091C2" w:rsidR="005C6EEC" w:rsidRPr="00DA72DD" w:rsidRDefault="00000000" w:rsidP="00DA72DD">
      <w:pPr>
        <w:spacing w:after="200"/>
        <w:jc w:val="both"/>
        <w:rPr>
          <w:rFonts w:ascii="Times New Roman" w:hAnsi="Times New Roman" w:cs="Times New Roman"/>
          <w:sz w:val="28"/>
          <w:szCs w:val="28"/>
        </w:rPr>
      </w:pPr>
      <w:r w:rsidRPr="00DA72DD">
        <w:rPr>
          <w:rFonts w:ascii="Times New Roman" w:hAnsi="Times New Roman" w:cs="Times New Roman"/>
          <w:sz w:val="24"/>
          <w:szCs w:val="24"/>
        </w:rPr>
        <w:t>This case study builds a structured fleet performance classification system using the dataset’s cleanest and most complete fact table Energy.FactAssetAvailability to answer four progressively deeper operational questions.</w:t>
      </w:r>
    </w:p>
    <w:p w14:paraId="6DDFEF6A" w14:textId="49D1CC88" w:rsidR="005C6EEC" w:rsidRPr="00DA72DD" w:rsidRDefault="00DA72DD" w:rsidP="00DA72DD">
      <w:pPr>
        <w:pStyle w:val="Heading1"/>
        <w:shd w:val="clear" w:color="auto" w:fill="000000" w:themeFill="text1"/>
        <w:rPr>
          <w:rFonts w:ascii="Times New Roman" w:hAnsi="Times New Roman" w:cs="Times New Roman"/>
          <w:color w:val="FFFFFF" w:themeColor="background1"/>
        </w:rPr>
      </w:pPr>
      <w:r w:rsidRPr="00DA72DD">
        <w:rPr>
          <w:rFonts w:ascii="Times New Roman" w:hAnsi="Times New Roman" w:cs="Times New Roman"/>
          <w:color w:val="FFFFFF" w:themeColor="background1"/>
        </w:rPr>
        <w:t>3</w:t>
      </w:r>
      <w:r w:rsidR="00000000" w:rsidRPr="00DA72DD">
        <w:rPr>
          <w:rFonts w:ascii="Times New Roman" w:hAnsi="Times New Roman" w:cs="Times New Roman"/>
          <w:color w:val="FFFFFF" w:themeColor="background1"/>
        </w:rPr>
        <w:t>. Key Objectives</w:t>
      </w:r>
    </w:p>
    <w:p w14:paraId="42F099B0" w14:textId="77777777" w:rsidR="005C6EEC" w:rsidRPr="00DA72DD" w:rsidRDefault="00000000" w:rsidP="00DA72DD">
      <w:pPr>
        <w:pStyle w:val="ListParagraph"/>
        <w:numPr>
          <w:ilvl w:val="0"/>
          <w:numId w:val="2"/>
        </w:numPr>
        <w:spacing w:after="60"/>
        <w:jc w:val="both"/>
        <w:rPr>
          <w:rFonts w:ascii="Times New Roman" w:hAnsi="Times New Roman" w:cs="Times New Roman"/>
          <w:sz w:val="24"/>
          <w:szCs w:val="24"/>
        </w:rPr>
      </w:pPr>
      <w:r w:rsidRPr="00DA72DD">
        <w:rPr>
          <w:rFonts w:ascii="Times New Roman" w:hAnsi="Times New Roman" w:cs="Times New Roman"/>
          <w:sz w:val="24"/>
          <w:szCs w:val="24"/>
        </w:rPr>
        <w:t>Establish a fleet-level availability baseline by asset type and region, with clear performance banding (Below Target / Marginal / On Track / Excellent).</w:t>
      </w:r>
    </w:p>
    <w:p w14:paraId="2344C93C" w14:textId="56A46883" w:rsidR="005C6EEC" w:rsidRPr="00DA72DD" w:rsidRDefault="00000000" w:rsidP="00DA72DD">
      <w:pPr>
        <w:pStyle w:val="ListParagraph"/>
        <w:numPr>
          <w:ilvl w:val="0"/>
          <w:numId w:val="2"/>
        </w:numPr>
        <w:spacing w:after="60"/>
        <w:jc w:val="both"/>
        <w:rPr>
          <w:rFonts w:ascii="Times New Roman" w:hAnsi="Times New Roman" w:cs="Times New Roman"/>
          <w:sz w:val="24"/>
          <w:szCs w:val="24"/>
        </w:rPr>
      </w:pPr>
      <w:r w:rsidRPr="00DA72DD">
        <w:rPr>
          <w:rFonts w:ascii="Times New Roman" w:hAnsi="Times New Roman" w:cs="Times New Roman"/>
          <w:sz w:val="24"/>
          <w:szCs w:val="24"/>
        </w:rPr>
        <w:t>Identify whether availability is systematically lower on weekdays versus weekends by asset type and region signalling staffing or operational gaps rather than purely technical faults.</w:t>
      </w:r>
    </w:p>
    <w:p w14:paraId="20E8C38A" w14:textId="77777777" w:rsidR="005C6EEC" w:rsidRPr="00DA72DD" w:rsidRDefault="00000000" w:rsidP="00DA72DD">
      <w:pPr>
        <w:pStyle w:val="ListParagraph"/>
        <w:numPr>
          <w:ilvl w:val="0"/>
          <w:numId w:val="2"/>
        </w:numPr>
        <w:spacing w:after="60"/>
        <w:jc w:val="both"/>
        <w:rPr>
          <w:rFonts w:ascii="Times New Roman" w:hAnsi="Times New Roman" w:cs="Times New Roman"/>
          <w:sz w:val="24"/>
          <w:szCs w:val="24"/>
        </w:rPr>
      </w:pPr>
      <w:r w:rsidRPr="00DA72DD">
        <w:rPr>
          <w:rFonts w:ascii="Times New Roman" w:hAnsi="Times New Roman" w:cs="Times New Roman"/>
          <w:sz w:val="24"/>
          <w:szCs w:val="24"/>
        </w:rPr>
        <w:t>Rank individual assets against their regional and asset-type peers to produce a data-driven O&amp;M priority list, including deviation from peer average and an Action Flag.</w:t>
      </w:r>
    </w:p>
    <w:p w14:paraId="1CA23637" w14:textId="77777777" w:rsidR="005C6EEC" w:rsidRPr="00DA72DD" w:rsidRDefault="00000000" w:rsidP="00DA72DD">
      <w:pPr>
        <w:pStyle w:val="ListParagraph"/>
        <w:numPr>
          <w:ilvl w:val="0"/>
          <w:numId w:val="2"/>
        </w:numPr>
        <w:spacing w:after="200"/>
        <w:jc w:val="both"/>
        <w:rPr>
          <w:rFonts w:ascii="Times New Roman" w:hAnsi="Times New Roman" w:cs="Times New Roman"/>
          <w:sz w:val="24"/>
          <w:szCs w:val="24"/>
        </w:rPr>
      </w:pPr>
      <w:r w:rsidRPr="00DA72DD">
        <w:rPr>
          <w:rFonts w:ascii="Times New Roman" w:hAnsi="Times New Roman" w:cs="Times New Roman"/>
          <w:sz w:val="24"/>
          <w:szCs w:val="24"/>
        </w:rPr>
        <w:t>Track quarterly availability trends per asset type and year to determine whether performance is improving or deteriorating over time.</w:t>
      </w:r>
    </w:p>
    <w:p w14:paraId="16068E7C" w14:textId="77777777" w:rsidR="005C6EEC" w:rsidRPr="00DA72DD" w:rsidRDefault="00000000" w:rsidP="00DA72DD">
      <w:pPr>
        <w:pStyle w:val="Heading1"/>
        <w:shd w:val="clear" w:color="auto" w:fill="000000" w:themeFill="text1"/>
        <w:jc w:val="both"/>
        <w:rPr>
          <w:rFonts w:ascii="Times New Roman" w:hAnsi="Times New Roman" w:cs="Times New Roman"/>
          <w:color w:val="FFFFFF" w:themeColor="background1"/>
        </w:rPr>
      </w:pPr>
      <w:r w:rsidRPr="00DA72DD">
        <w:rPr>
          <w:rFonts w:ascii="Times New Roman" w:hAnsi="Times New Roman" w:cs="Times New Roman"/>
          <w:color w:val="FFFFFF" w:themeColor="background1"/>
        </w:rPr>
        <w:lastRenderedPageBreak/>
        <w:t>3. Stakeholders</w:t>
      </w:r>
    </w:p>
    <w:tbl>
      <w:tblPr>
        <w:tblStyle w:val="TableGrid"/>
        <w:tblW w:w="10224" w:type="dxa"/>
        <w:tblLook w:val="0000" w:firstRow="0" w:lastRow="0" w:firstColumn="0" w:lastColumn="0" w:noHBand="0" w:noVBand="0"/>
      </w:tblPr>
      <w:tblGrid>
        <w:gridCol w:w="2200"/>
        <w:gridCol w:w="2200"/>
        <w:gridCol w:w="5824"/>
      </w:tblGrid>
      <w:tr w:rsidR="005C6EEC" w:rsidRPr="00DA72DD" w14:paraId="0A5C906D" w14:textId="77777777" w:rsidTr="00D574CD">
        <w:tc>
          <w:tcPr>
            <w:tcW w:w="2200" w:type="dxa"/>
          </w:tcPr>
          <w:p w14:paraId="1494EEDC" w14:textId="77777777" w:rsidR="005C6EEC" w:rsidRPr="00DA72DD" w:rsidRDefault="00000000">
            <w:pPr>
              <w:rPr>
                <w:rFonts w:ascii="Times New Roman" w:hAnsi="Times New Roman" w:cs="Times New Roman"/>
                <w:sz w:val="24"/>
                <w:szCs w:val="24"/>
              </w:rPr>
            </w:pPr>
            <w:r w:rsidRPr="00DA72DD">
              <w:rPr>
                <w:rFonts w:ascii="Times New Roman" w:hAnsi="Times New Roman" w:cs="Times New Roman"/>
                <w:b/>
                <w:bCs/>
                <w:sz w:val="24"/>
                <w:szCs w:val="24"/>
              </w:rPr>
              <w:t>Stakeholder</w:t>
            </w:r>
          </w:p>
        </w:tc>
        <w:tc>
          <w:tcPr>
            <w:tcW w:w="2200" w:type="dxa"/>
          </w:tcPr>
          <w:p w14:paraId="309C3029" w14:textId="77777777" w:rsidR="005C6EEC" w:rsidRPr="00DA72DD" w:rsidRDefault="00000000">
            <w:pPr>
              <w:rPr>
                <w:rFonts w:ascii="Times New Roman" w:hAnsi="Times New Roman" w:cs="Times New Roman"/>
                <w:sz w:val="24"/>
                <w:szCs w:val="24"/>
              </w:rPr>
            </w:pPr>
            <w:r w:rsidRPr="00DA72DD">
              <w:rPr>
                <w:rFonts w:ascii="Times New Roman" w:hAnsi="Times New Roman" w:cs="Times New Roman"/>
                <w:b/>
                <w:bCs/>
                <w:sz w:val="24"/>
                <w:szCs w:val="24"/>
              </w:rPr>
              <w:t>Function</w:t>
            </w:r>
          </w:p>
        </w:tc>
        <w:tc>
          <w:tcPr>
            <w:tcW w:w="5824" w:type="dxa"/>
          </w:tcPr>
          <w:p w14:paraId="72F05E3F" w14:textId="77777777" w:rsidR="005C6EEC" w:rsidRPr="00DA72DD" w:rsidRDefault="00000000">
            <w:pPr>
              <w:rPr>
                <w:rFonts w:ascii="Times New Roman" w:hAnsi="Times New Roman" w:cs="Times New Roman"/>
                <w:sz w:val="24"/>
                <w:szCs w:val="24"/>
              </w:rPr>
            </w:pPr>
            <w:r w:rsidRPr="00DA72DD">
              <w:rPr>
                <w:rFonts w:ascii="Times New Roman" w:hAnsi="Times New Roman" w:cs="Times New Roman"/>
                <w:b/>
                <w:bCs/>
                <w:sz w:val="24"/>
                <w:szCs w:val="24"/>
              </w:rPr>
              <w:t>How This Analysis Serves Them</w:t>
            </w:r>
          </w:p>
        </w:tc>
      </w:tr>
      <w:tr w:rsidR="005C6EEC" w:rsidRPr="00DA72DD" w14:paraId="25C3AA0B" w14:textId="77777777" w:rsidTr="00D574CD">
        <w:tc>
          <w:tcPr>
            <w:tcW w:w="2200" w:type="dxa"/>
          </w:tcPr>
          <w:p w14:paraId="1C1D4AB1" w14:textId="77777777" w:rsidR="005C6EEC" w:rsidRPr="00DA72DD" w:rsidRDefault="00000000">
            <w:pPr>
              <w:rPr>
                <w:rFonts w:ascii="Times New Roman" w:hAnsi="Times New Roman" w:cs="Times New Roman"/>
                <w:sz w:val="24"/>
                <w:szCs w:val="24"/>
              </w:rPr>
            </w:pPr>
            <w:r w:rsidRPr="00DA72DD">
              <w:rPr>
                <w:rFonts w:ascii="Times New Roman" w:hAnsi="Times New Roman" w:cs="Times New Roman"/>
                <w:b/>
                <w:bCs/>
                <w:color w:val="000000"/>
                <w:sz w:val="24"/>
                <w:szCs w:val="24"/>
              </w:rPr>
              <w:t>O&amp;M Director</w:t>
            </w:r>
          </w:p>
        </w:tc>
        <w:tc>
          <w:tcPr>
            <w:tcW w:w="2200" w:type="dxa"/>
          </w:tcPr>
          <w:p w14:paraId="2AC71868" w14:textId="77777777" w:rsidR="005C6EEC" w:rsidRPr="00DA72DD" w:rsidRDefault="00000000">
            <w:pPr>
              <w:rPr>
                <w:rFonts w:ascii="Times New Roman" w:hAnsi="Times New Roman" w:cs="Times New Roman"/>
                <w:sz w:val="24"/>
                <w:szCs w:val="24"/>
              </w:rPr>
            </w:pPr>
            <w:r w:rsidRPr="00DA72DD">
              <w:rPr>
                <w:rFonts w:ascii="Times New Roman" w:hAnsi="Times New Roman" w:cs="Times New Roman"/>
                <w:color w:val="000000"/>
                <w:sz w:val="24"/>
                <w:szCs w:val="24"/>
              </w:rPr>
              <w:t>Operations</w:t>
            </w:r>
          </w:p>
        </w:tc>
        <w:tc>
          <w:tcPr>
            <w:tcW w:w="5824" w:type="dxa"/>
          </w:tcPr>
          <w:p w14:paraId="330018C9" w14:textId="77777777" w:rsidR="005C6EEC" w:rsidRPr="00DA72DD" w:rsidRDefault="00000000">
            <w:pPr>
              <w:rPr>
                <w:rFonts w:ascii="Times New Roman" w:hAnsi="Times New Roman" w:cs="Times New Roman"/>
                <w:sz w:val="24"/>
                <w:szCs w:val="24"/>
              </w:rPr>
            </w:pPr>
            <w:r w:rsidRPr="00DA72DD">
              <w:rPr>
                <w:rFonts w:ascii="Times New Roman" w:hAnsi="Times New Roman" w:cs="Times New Roman"/>
                <w:color w:val="000000"/>
                <w:sz w:val="24"/>
                <w:szCs w:val="24"/>
              </w:rPr>
              <w:t>Provides a prioritised list of assets requiring immediate maintenance investigation, ranked by performance gap against regional peers.</w:t>
            </w:r>
          </w:p>
        </w:tc>
      </w:tr>
      <w:tr w:rsidR="005C6EEC" w:rsidRPr="00DA72DD" w14:paraId="7F93A7BA" w14:textId="77777777" w:rsidTr="00D574CD">
        <w:tc>
          <w:tcPr>
            <w:tcW w:w="2200" w:type="dxa"/>
          </w:tcPr>
          <w:p w14:paraId="5E5F255C" w14:textId="77777777" w:rsidR="005C6EEC" w:rsidRPr="00DA72DD" w:rsidRDefault="00000000">
            <w:pPr>
              <w:rPr>
                <w:rFonts w:ascii="Times New Roman" w:hAnsi="Times New Roman" w:cs="Times New Roman"/>
                <w:sz w:val="24"/>
                <w:szCs w:val="24"/>
              </w:rPr>
            </w:pPr>
            <w:r w:rsidRPr="00DA72DD">
              <w:rPr>
                <w:rFonts w:ascii="Times New Roman" w:hAnsi="Times New Roman" w:cs="Times New Roman"/>
                <w:b/>
                <w:bCs/>
                <w:color w:val="000000"/>
                <w:sz w:val="24"/>
                <w:szCs w:val="24"/>
              </w:rPr>
              <w:t>Asset Manager</w:t>
            </w:r>
          </w:p>
        </w:tc>
        <w:tc>
          <w:tcPr>
            <w:tcW w:w="2200" w:type="dxa"/>
          </w:tcPr>
          <w:p w14:paraId="03293190" w14:textId="77777777" w:rsidR="005C6EEC" w:rsidRPr="00DA72DD" w:rsidRDefault="00000000">
            <w:pPr>
              <w:rPr>
                <w:rFonts w:ascii="Times New Roman" w:hAnsi="Times New Roman" w:cs="Times New Roman"/>
                <w:sz w:val="24"/>
                <w:szCs w:val="24"/>
              </w:rPr>
            </w:pPr>
            <w:r w:rsidRPr="00DA72DD">
              <w:rPr>
                <w:rFonts w:ascii="Times New Roman" w:hAnsi="Times New Roman" w:cs="Times New Roman"/>
                <w:color w:val="000000"/>
                <w:sz w:val="24"/>
                <w:szCs w:val="24"/>
              </w:rPr>
              <w:t>Portfolio Mgmt</w:t>
            </w:r>
          </w:p>
        </w:tc>
        <w:tc>
          <w:tcPr>
            <w:tcW w:w="5824" w:type="dxa"/>
          </w:tcPr>
          <w:p w14:paraId="5E5F0D72" w14:textId="77777777" w:rsidR="005C6EEC" w:rsidRPr="00DA72DD" w:rsidRDefault="00000000">
            <w:pPr>
              <w:rPr>
                <w:rFonts w:ascii="Times New Roman" w:hAnsi="Times New Roman" w:cs="Times New Roman"/>
                <w:sz w:val="24"/>
                <w:szCs w:val="24"/>
              </w:rPr>
            </w:pPr>
            <w:r w:rsidRPr="00DA72DD">
              <w:rPr>
                <w:rFonts w:ascii="Times New Roman" w:hAnsi="Times New Roman" w:cs="Times New Roman"/>
                <w:color w:val="000000"/>
                <w:sz w:val="24"/>
                <w:szCs w:val="24"/>
              </w:rPr>
              <w:t>Enables portfolio-wide performance benchmarking; highlights underperforming assets ahead of contract renewals or refinancing.</w:t>
            </w:r>
          </w:p>
        </w:tc>
      </w:tr>
      <w:tr w:rsidR="005C6EEC" w:rsidRPr="00DA72DD" w14:paraId="13DDF137" w14:textId="77777777" w:rsidTr="00D574CD">
        <w:tc>
          <w:tcPr>
            <w:tcW w:w="2200" w:type="dxa"/>
          </w:tcPr>
          <w:p w14:paraId="5E968F31" w14:textId="77777777" w:rsidR="005C6EEC" w:rsidRPr="00DA72DD" w:rsidRDefault="00000000">
            <w:pPr>
              <w:rPr>
                <w:rFonts w:ascii="Times New Roman" w:hAnsi="Times New Roman" w:cs="Times New Roman"/>
                <w:sz w:val="24"/>
                <w:szCs w:val="24"/>
              </w:rPr>
            </w:pPr>
            <w:r w:rsidRPr="00DA72DD">
              <w:rPr>
                <w:rFonts w:ascii="Times New Roman" w:hAnsi="Times New Roman" w:cs="Times New Roman"/>
                <w:b/>
                <w:bCs/>
                <w:color w:val="000000"/>
                <w:sz w:val="24"/>
                <w:szCs w:val="24"/>
              </w:rPr>
              <w:t>Finance / CFO</w:t>
            </w:r>
          </w:p>
        </w:tc>
        <w:tc>
          <w:tcPr>
            <w:tcW w:w="2200" w:type="dxa"/>
          </w:tcPr>
          <w:p w14:paraId="5100381F" w14:textId="77777777" w:rsidR="005C6EEC" w:rsidRPr="00DA72DD" w:rsidRDefault="00000000">
            <w:pPr>
              <w:rPr>
                <w:rFonts w:ascii="Times New Roman" w:hAnsi="Times New Roman" w:cs="Times New Roman"/>
                <w:sz w:val="24"/>
                <w:szCs w:val="24"/>
              </w:rPr>
            </w:pPr>
            <w:r w:rsidRPr="00DA72DD">
              <w:rPr>
                <w:rFonts w:ascii="Times New Roman" w:hAnsi="Times New Roman" w:cs="Times New Roman"/>
                <w:color w:val="000000"/>
                <w:sz w:val="24"/>
                <w:szCs w:val="24"/>
              </w:rPr>
              <w:t>Financial Risk</w:t>
            </w:r>
          </w:p>
        </w:tc>
        <w:tc>
          <w:tcPr>
            <w:tcW w:w="5824" w:type="dxa"/>
          </w:tcPr>
          <w:p w14:paraId="1075D7A1" w14:textId="77777777" w:rsidR="005C6EEC" w:rsidRPr="00DA72DD" w:rsidRDefault="00000000">
            <w:pPr>
              <w:rPr>
                <w:rFonts w:ascii="Times New Roman" w:hAnsi="Times New Roman" w:cs="Times New Roman"/>
                <w:sz w:val="24"/>
                <w:szCs w:val="24"/>
              </w:rPr>
            </w:pPr>
            <w:r w:rsidRPr="00DA72DD">
              <w:rPr>
                <w:rFonts w:ascii="Times New Roman" w:hAnsi="Times New Roman" w:cs="Times New Roman"/>
                <w:color w:val="000000"/>
                <w:sz w:val="24"/>
                <w:szCs w:val="24"/>
              </w:rPr>
              <w:t>Quantifies total lost availability hours, directly linking asset performance to PPA penalty exposure and revenue shortfall.</w:t>
            </w:r>
          </w:p>
        </w:tc>
      </w:tr>
      <w:tr w:rsidR="005C6EEC" w:rsidRPr="00DA72DD" w14:paraId="6CE3046B" w14:textId="77777777" w:rsidTr="00D574CD">
        <w:tc>
          <w:tcPr>
            <w:tcW w:w="2200" w:type="dxa"/>
          </w:tcPr>
          <w:p w14:paraId="447B8786" w14:textId="77777777" w:rsidR="005C6EEC" w:rsidRPr="00DA72DD" w:rsidRDefault="00000000">
            <w:pPr>
              <w:rPr>
                <w:rFonts w:ascii="Times New Roman" w:hAnsi="Times New Roman" w:cs="Times New Roman"/>
                <w:sz w:val="24"/>
                <w:szCs w:val="24"/>
              </w:rPr>
            </w:pPr>
            <w:r w:rsidRPr="00DA72DD">
              <w:rPr>
                <w:rFonts w:ascii="Times New Roman" w:hAnsi="Times New Roman" w:cs="Times New Roman"/>
                <w:b/>
                <w:bCs/>
                <w:color w:val="000000"/>
                <w:sz w:val="24"/>
                <w:szCs w:val="24"/>
              </w:rPr>
              <w:t>Grid Operators</w:t>
            </w:r>
          </w:p>
        </w:tc>
        <w:tc>
          <w:tcPr>
            <w:tcW w:w="2200" w:type="dxa"/>
          </w:tcPr>
          <w:p w14:paraId="520AF087" w14:textId="77777777" w:rsidR="005C6EEC" w:rsidRPr="00DA72DD" w:rsidRDefault="00000000">
            <w:pPr>
              <w:rPr>
                <w:rFonts w:ascii="Times New Roman" w:hAnsi="Times New Roman" w:cs="Times New Roman"/>
                <w:sz w:val="24"/>
                <w:szCs w:val="24"/>
              </w:rPr>
            </w:pPr>
            <w:r w:rsidRPr="00DA72DD">
              <w:rPr>
                <w:rFonts w:ascii="Times New Roman" w:hAnsi="Times New Roman" w:cs="Times New Roman"/>
                <w:color w:val="000000"/>
                <w:sz w:val="24"/>
                <w:szCs w:val="24"/>
              </w:rPr>
              <w:t>Regulatory</w:t>
            </w:r>
          </w:p>
        </w:tc>
        <w:tc>
          <w:tcPr>
            <w:tcW w:w="5824" w:type="dxa"/>
          </w:tcPr>
          <w:p w14:paraId="08BA4483" w14:textId="77777777" w:rsidR="005C6EEC" w:rsidRPr="00DA72DD" w:rsidRDefault="00000000">
            <w:pPr>
              <w:rPr>
                <w:rFonts w:ascii="Times New Roman" w:hAnsi="Times New Roman" w:cs="Times New Roman"/>
                <w:sz w:val="24"/>
                <w:szCs w:val="24"/>
              </w:rPr>
            </w:pPr>
            <w:r w:rsidRPr="00DA72DD">
              <w:rPr>
                <w:rFonts w:ascii="Times New Roman" w:hAnsi="Times New Roman" w:cs="Times New Roman"/>
                <w:color w:val="000000"/>
                <w:sz w:val="24"/>
                <w:szCs w:val="24"/>
              </w:rPr>
              <w:t>Fleet uptime data supports reporting obligations and informs grid balancing decisions where asset availability affects grid stability.</w:t>
            </w:r>
          </w:p>
        </w:tc>
      </w:tr>
      <w:tr w:rsidR="005C6EEC" w:rsidRPr="00DA72DD" w14:paraId="060063B4" w14:textId="77777777" w:rsidTr="00D574CD">
        <w:tc>
          <w:tcPr>
            <w:tcW w:w="2200" w:type="dxa"/>
          </w:tcPr>
          <w:p w14:paraId="5C2D6ADD" w14:textId="77777777" w:rsidR="005C6EEC" w:rsidRPr="00DA72DD" w:rsidRDefault="00000000">
            <w:pPr>
              <w:rPr>
                <w:rFonts w:ascii="Times New Roman" w:hAnsi="Times New Roman" w:cs="Times New Roman"/>
                <w:sz w:val="24"/>
                <w:szCs w:val="24"/>
              </w:rPr>
            </w:pPr>
            <w:r w:rsidRPr="00DA72DD">
              <w:rPr>
                <w:rFonts w:ascii="Times New Roman" w:hAnsi="Times New Roman" w:cs="Times New Roman"/>
                <w:b/>
                <w:bCs/>
                <w:color w:val="000000"/>
                <w:sz w:val="24"/>
                <w:szCs w:val="24"/>
              </w:rPr>
              <w:t>Lenders / Investors</w:t>
            </w:r>
          </w:p>
        </w:tc>
        <w:tc>
          <w:tcPr>
            <w:tcW w:w="2200" w:type="dxa"/>
          </w:tcPr>
          <w:p w14:paraId="55699300" w14:textId="77777777" w:rsidR="005C6EEC" w:rsidRPr="00DA72DD" w:rsidRDefault="00000000">
            <w:pPr>
              <w:rPr>
                <w:rFonts w:ascii="Times New Roman" w:hAnsi="Times New Roman" w:cs="Times New Roman"/>
                <w:sz w:val="24"/>
                <w:szCs w:val="24"/>
              </w:rPr>
            </w:pPr>
            <w:r w:rsidRPr="00DA72DD">
              <w:rPr>
                <w:rFonts w:ascii="Times New Roman" w:hAnsi="Times New Roman" w:cs="Times New Roman"/>
                <w:color w:val="000000"/>
                <w:sz w:val="24"/>
                <w:szCs w:val="24"/>
              </w:rPr>
              <w:t>Capital</w:t>
            </w:r>
          </w:p>
        </w:tc>
        <w:tc>
          <w:tcPr>
            <w:tcW w:w="5824" w:type="dxa"/>
          </w:tcPr>
          <w:p w14:paraId="4E39445C" w14:textId="2958FFBC" w:rsidR="005C6EEC" w:rsidRPr="00DA72DD" w:rsidRDefault="00000000">
            <w:pPr>
              <w:rPr>
                <w:rFonts w:ascii="Times New Roman" w:hAnsi="Times New Roman" w:cs="Times New Roman"/>
                <w:sz w:val="24"/>
                <w:szCs w:val="24"/>
              </w:rPr>
            </w:pPr>
            <w:r w:rsidRPr="00DA72DD">
              <w:rPr>
                <w:rFonts w:ascii="Times New Roman" w:hAnsi="Times New Roman" w:cs="Times New Roman"/>
                <w:color w:val="000000"/>
                <w:sz w:val="24"/>
                <w:szCs w:val="24"/>
              </w:rPr>
              <w:t>Provides evidence of systematic performance monitoring a key requirement in project finance covenant reporting and ESG disclosures.</w:t>
            </w:r>
          </w:p>
        </w:tc>
      </w:tr>
    </w:tbl>
    <w:p w14:paraId="57FDA18B" w14:textId="77777777" w:rsidR="005C6EEC" w:rsidRPr="00DA72DD" w:rsidRDefault="00000000" w:rsidP="00DA72DD">
      <w:pPr>
        <w:pStyle w:val="Heading1"/>
        <w:shd w:val="clear" w:color="auto" w:fill="000000" w:themeFill="text1"/>
        <w:rPr>
          <w:rFonts w:ascii="Times New Roman" w:hAnsi="Times New Roman" w:cs="Times New Roman"/>
          <w:color w:val="FFFFFF" w:themeColor="background1"/>
        </w:rPr>
      </w:pPr>
      <w:r w:rsidRPr="00DA72DD">
        <w:rPr>
          <w:rFonts w:ascii="Times New Roman" w:hAnsi="Times New Roman" w:cs="Times New Roman"/>
          <w:color w:val="FFFFFF" w:themeColor="background1"/>
        </w:rPr>
        <w:t>4. Relevant Tables &amp; Columns</w:t>
      </w:r>
    </w:p>
    <w:tbl>
      <w:tblPr>
        <w:tblStyle w:val="TableGrid"/>
        <w:tblW w:w="10224" w:type="dxa"/>
        <w:tblLook w:val="0000" w:firstRow="0" w:lastRow="0" w:firstColumn="0" w:lastColumn="0" w:noHBand="0" w:noVBand="0"/>
      </w:tblPr>
      <w:tblGrid>
        <w:gridCol w:w="3223"/>
        <w:gridCol w:w="1996"/>
        <w:gridCol w:w="5005"/>
      </w:tblGrid>
      <w:tr w:rsidR="005C6EEC" w:rsidRPr="00DA72DD" w14:paraId="709B5493" w14:textId="77777777" w:rsidTr="00DA72DD">
        <w:tc>
          <w:tcPr>
            <w:tcW w:w="3200" w:type="dxa"/>
          </w:tcPr>
          <w:p w14:paraId="382B3155" w14:textId="77777777" w:rsidR="005C6EEC" w:rsidRPr="00DA72DD" w:rsidRDefault="00000000">
            <w:pPr>
              <w:rPr>
                <w:rFonts w:ascii="Times New Roman" w:hAnsi="Times New Roman" w:cs="Times New Roman"/>
                <w:sz w:val="24"/>
                <w:szCs w:val="24"/>
              </w:rPr>
            </w:pPr>
            <w:r w:rsidRPr="00DA72DD">
              <w:rPr>
                <w:rFonts w:ascii="Times New Roman" w:hAnsi="Times New Roman" w:cs="Times New Roman"/>
                <w:b/>
                <w:bCs/>
                <w:sz w:val="24"/>
                <w:szCs w:val="24"/>
              </w:rPr>
              <w:t>Table</w:t>
            </w:r>
          </w:p>
        </w:tc>
        <w:tc>
          <w:tcPr>
            <w:tcW w:w="2000" w:type="dxa"/>
          </w:tcPr>
          <w:p w14:paraId="6C104991" w14:textId="77777777" w:rsidR="005C6EEC" w:rsidRPr="00DA72DD" w:rsidRDefault="00000000">
            <w:pPr>
              <w:rPr>
                <w:rFonts w:ascii="Times New Roman" w:hAnsi="Times New Roman" w:cs="Times New Roman"/>
                <w:sz w:val="24"/>
                <w:szCs w:val="24"/>
              </w:rPr>
            </w:pPr>
            <w:r w:rsidRPr="00DA72DD">
              <w:rPr>
                <w:rFonts w:ascii="Times New Roman" w:hAnsi="Times New Roman" w:cs="Times New Roman"/>
                <w:b/>
                <w:bCs/>
                <w:sz w:val="24"/>
                <w:szCs w:val="24"/>
              </w:rPr>
              <w:t>Role</w:t>
            </w:r>
          </w:p>
        </w:tc>
        <w:tc>
          <w:tcPr>
            <w:tcW w:w="5024" w:type="dxa"/>
          </w:tcPr>
          <w:p w14:paraId="47E328A6" w14:textId="77777777" w:rsidR="005C6EEC" w:rsidRPr="00DA72DD" w:rsidRDefault="00000000">
            <w:pPr>
              <w:rPr>
                <w:rFonts w:ascii="Times New Roman" w:hAnsi="Times New Roman" w:cs="Times New Roman"/>
                <w:sz w:val="24"/>
                <w:szCs w:val="24"/>
              </w:rPr>
            </w:pPr>
            <w:r w:rsidRPr="00DA72DD">
              <w:rPr>
                <w:rFonts w:ascii="Times New Roman" w:hAnsi="Times New Roman" w:cs="Times New Roman"/>
                <w:b/>
                <w:bCs/>
                <w:sz w:val="24"/>
                <w:szCs w:val="24"/>
              </w:rPr>
              <w:t>Columns Used</w:t>
            </w:r>
          </w:p>
        </w:tc>
      </w:tr>
      <w:tr w:rsidR="005C6EEC" w:rsidRPr="00DA72DD" w14:paraId="346126AE" w14:textId="77777777" w:rsidTr="00DA72DD">
        <w:tc>
          <w:tcPr>
            <w:tcW w:w="3200" w:type="dxa"/>
          </w:tcPr>
          <w:p w14:paraId="1208774D" w14:textId="77777777" w:rsidR="005C6EEC" w:rsidRPr="00DA72DD" w:rsidRDefault="00000000">
            <w:pPr>
              <w:rPr>
                <w:rFonts w:ascii="Times New Roman" w:hAnsi="Times New Roman" w:cs="Times New Roman"/>
                <w:sz w:val="24"/>
                <w:szCs w:val="24"/>
              </w:rPr>
            </w:pPr>
            <w:r w:rsidRPr="00DA72DD">
              <w:rPr>
                <w:rFonts w:ascii="Times New Roman" w:hAnsi="Times New Roman" w:cs="Times New Roman"/>
                <w:b/>
                <w:bCs/>
                <w:sz w:val="24"/>
                <w:szCs w:val="24"/>
              </w:rPr>
              <w:t>Energy.FactAssetAvailability</w:t>
            </w:r>
          </w:p>
        </w:tc>
        <w:tc>
          <w:tcPr>
            <w:tcW w:w="2000" w:type="dxa"/>
          </w:tcPr>
          <w:p w14:paraId="69D58E07" w14:textId="77777777" w:rsidR="005C6EEC" w:rsidRPr="00DA72DD" w:rsidRDefault="00000000">
            <w:pPr>
              <w:rPr>
                <w:rFonts w:ascii="Times New Roman" w:hAnsi="Times New Roman" w:cs="Times New Roman"/>
                <w:sz w:val="24"/>
                <w:szCs w:val="24"/>
              </w:rPr>
            </w:pPr>
            <w:r w:rsidRPr="00DA72DD">
              <w:rPr>
                <w:rFonts w:ascii="Times New Roman" w:hAnsi="Times New Roman" w:cs="Times New Roman"/>
                <w:sz w:val="24"/>
                <w:szCs w:val="24"/>
              </w:rPr>
              <w:t>Primary Fact</w:t>
            </w:r>
          </w:p>
        </w:tc>
        <w:tc>
          <w:tcPr>
            <w:tcW w:w="5024" w:type="dxa"/>
          </w:tcPr>
          <w:p w14:paraId="40B68034" w14:textId="77777777" w:rsidR="005C6EEC" w:rsidRPr="00DA72DD" w:rsidRDefault="00000000">
            <w:pPr>
              <w:rPr>
                <w:rFonts w:ascii="Times New Roman" w:hAnsi="Times New Roman" w:cs="Times New Roman"/>
                <w:sz w:val="24"/>
                <w:szCs w:val="24"/>
              </w:rPr>
            </w:pPr>
            <w:r w:rsidRPr="00DA72DD">
              <w:rPr>
                <w:rFonts w:ascii="Times New Roman" w:hAnsi="Times New Roman" w:cs="Times New Roman"/>
                <w:sz w:val="24"/>
                <w:szCs w:val="24"/>
              </w:rPr>
              <w:t>AvailabilityID, AssetKey, DateKey, AvailableHours, AvailabilityPct</w:t>
            </w:r>
          </w:p>
        </w:tc>
      </w:tr>
      <w:tr w:rsidR="005C6EEC" w:rsidRPr="00DA72DD" w14:paraId="22A0681D" w14:textId="77777777" w:rsidTr="00DA72DD">
        <w:tc>
          <w:tcPr>
            <w:tcW w:w="3200" w:type="dxa"/>
          </w:tcPr>
          <w:p w14:paraId="0E15A83F" w14:textId="77777777" w:rsidR="005C6EEC" w:rsidRPr="00DA72DD" w:rsidRDefault="00000000">
            <w:pPr>
              <w:rPr>
                <w:rFonts w:ascii="Times New Roman" w:hAnsi="Times New Roman" w:cs="Times New Roman"/>
                <w:sz w:val="24"/>
                <w:szCs w:val="24"/>
              </w:rPr>
            </w:pPr>
            <w:r w:rsidRPr="00DA72DD">
              <w:rPr>
                <w:rFonts w:ascii="Times New Roman" w:hAnsi="Times New Roman" w:cs="Times New Roman"/>
                <w:b/>
                <w:bCs/>
                <w:sz w:val="24"/>
                <w:szCs w:val="24"/>
              </w:rPr>
              <w:t>Energy.DimAsset</w:t>
            </w:r>
          </w:p>
        </w:tc>
        <w:tc>
          <w:tcPr>
            <w:tcW w:w="2000" w:type="dxa"/>
          </w:tcPr>
          <w:p w14:paraId="6FE433DA" w14:textId="77777777" w:rsidR="005C6EEC" w:rsidRPr="00DA72DD" w:rsidRDefault="00000000">
            <w:pPr>
              <w:rPr>
                <w:rFonts w:ascii="Times New Roman" w:hAnsi="Times New Roman" w:cs="Times New Roman"/>
                <w:sz w:val="24"/>
                <w:szCs w:val="24"/>
              </w:rPr>
            </w:pPr>
            <w:r w:rsidRPr="00DA72DD">
              <w:rPr>
                <w:rFonts w:ascii="Times New Roman" w:hAnsi="Times New Roman" w:cs="Times New Roman"/>
                <w:sz w:val="24"/>
                <w:szCs w:val="24"/>
              </w:rPr>
              <w:t>Core Dimension</w:t>
            </w:r>
          </w:p>
        </w:tc>
        <w:tc>
          <w:tcPr>
            <w:tcW w:w="5024" w:type="dxa"/>
          </w:tcPr>
          <w:p w14:paraId="20A63087" w14:textId="77777777" w:rsidR="005C6EEC" w:rsidRPr="00DA72DD" w:rsidRDefault="00000000">
            <w:pPr>
              <w:rPr>
                <w:rFonts w:ascii="Times New Roman" w:hAnsi="Times New Roman" w:cs="Times New Roman"/>
                <w:sz w:val="24"/>
                <w:szCs w:val="24"/>
              </w:rPr>
            </w:pPr>
            <w:r w:rsidRPr="00DA72DD">
              <w:rPr>
                <w:rFonts w:ascii="Times New Roman" w:hAnsi="Times New Roman" w:cs="Times New Roman"/>
                <w:sz w:val="24"/>
                <w:szCs w:val="24"/>
              </w:rPr>
              <w:t>AssetKey, AssetName, AssetType, CapacityMW, IsActive, RegionKey</w:t>
            </w:r>
          </w:p>
        </w:tc>
      </w:tr>
      <w:tr w:rsidR="005C6EEC" w:rsidRPr="00DA72DD" w14:paraId="46D78B62" w14:textId="77777777" w:rsidTr="00DA72DD">
        <w:tc>
          <w:tcPr>
            <w:tcW w:w="3200" w:type="dxa"/>
          </w:tcPr>
          <w:p w14:paraId="7EC6D56E" w14:textId="77777777" w:rsidR="005C6EEC" w:rsidRPr="00DA72DD" w:rsidRDefault="00000000">
            <w:pPr>
              <w:rPr>
                <w:rFonts w:ascii="Times New Roman" w:hAnsi="Times New Roman" w:cs="Times New Roman"/>
                <w:sz w:val="24"/>
                <w:szCs w:val="24"/>
              </w:rPr>
            </w:pPr>
            <w:r w:rsidRPr="00DA72DD">
              <w:rPr>
                <w:rFonts w:ascii="Times New Roman" w:hAnsi="Times New Roman" w:cs="Times New Roman"/>
                <w:b/>
                <w:bCs/>
                <w:sz w:val="24"/>
                <w:szCs w:val="24"/>
              </w:rPr>
              <w:t>Energy.DimRegion</w:t>
            </w:r>
          </w:p>
        </w:tc>
        <w:tc>
          <w:tcPr>
            <w:tcW w:w="2000" w:type="dxa"/>
          </w:tcPr>
          <w:p w14:paraId="2CF6E64E" w14:textId="77777777" w:rsidR="005C6EEC" w:rsidRPr="00DA72DD" w:rsidRDefault="00000000">
            <w:pPr>
              <w:rPr>
                <w:rFonts w:ascii="Times New Roman" w:hAnsi="Times New Roman" w:cs="Times New Roman"/>
                <w:sz w:val="24"/>
                <w:szCs w:val="24"/>
              </w:rPr>
            </w:pPr>
            <w:r w:rsidRPr="00DA72DD">
              <w:rPr>
                <w:rFonts w:ascii="Times New Roman" w:hAnsi="Times New Roman" w:cs="Times New Roman"/>
                <w:sz w:val="24"/>
                <w:szCs w:val="24"/>
              </w:rPr>
              <w:t>Geographic Dim</w:t>
            </w:r>
          </w:p>
        </w:tc>
        <w:tc>
          <w:tcPr>
            <w:tcW w:w="5024" w:type="dxa"/>
          </w:tcPr>
          <w:p w14:paraId="16EE163B" w14:textId="77777777" w:rsidR="005C6EEC" w:rsidRPr="00DA72DD" w:rsidRDefault="00000000">
            <w:pPr>
              <w:rPr>
                <w:rFonts w:ascii="Times New Roman" w:hAnsi="Times New Roman" w:cs="Times New Roman"/>
                <w:sz w:val="24"/>
                <w:szCs w:val="24"/>
              </w:rPr>
            </w:pPr>
            <w:r w:rsidRPr="00DA72DD">
              <w:rPr>
                <w:rFonts w:ascii="Times New Roman" w:hAnsi="Times New Roman" w:cs="Times New Roman"/>
                <w:sz w:val="24"/>
                <w:szCs w:val="24"/>
              </w:rPr>
              <w:t>RegionKey, RegionName, Country, GridOperator</w:t>
            </w:r>
          </w:p>
        </w:tc>
      </w:tr>
      <w:tr w:rsidR="005C6EEC" w:rsidRPr="00DA72DD" w14:paraId="72BC972B" w14:textId="77777777" w:rsidTr="00DA72DD">
        <w:tc>
          <w:tcPr>
            <w:tcW w:w="3200" w:type="dxa"/>
          </w:tcPr>
          <w:p w14:paraId="560B000C" w14:textId="77777777" w:rsidR="005C6EEC" w:rsidRPr="00DA72DD" w:rsidRDefault="00000000">
            <w:pPr>
              <w:rPr>
                <w:rFonts w:ascii="Times New Roman" w:hAnsi="Times New Roman" w:cs="Times New Roman"/>
                <w:sz w:val="24"/>
                <w:szCs w:val="24"/>
              </w:rPr>
            </w:pPr>
            <w:r w:rsidRPr="00DA72DD">
              <w:rPr>
                <w:rFonts w:ascii="Times New Roman" w:hAnsi="Times New Roman" w:cs="Times New Roman"/>
                <w:b/>
                <w:bCs/>
                <w:sz w:val="24"/>
                <w:szCs w:val="24"/>
              </w:rPr>
              <w:t>Common.DateDim</w:t>
            </w:r>
          </w:p>
        </w:tc>
        <w:tc>
          <w:tcPr>
            <w:tcW w:w="2000" w:type="dxa"/>
          </w:tcPr>
          <w:p w14:paraId="7F0DB734" w14:textId="77777777" w:rsidR="005C6EEC" w:rsidRPr="00DA72DD" w:rsidRDefault="00000000">
            <w:pPr>
              <w:rPr>
                <w:rFonts w:ascii="Times New Roman" w:hAnsi="Times New Roman" w:cs="Times New Roman"/>
                <w:sz w:val="24"/>
                <w:szCs w:val="24"/>
              </w:rPr>
            </w:pPr>
            <w:r w:rsidRPr="00DA72DD">
              <w:rPr>
                <w:rFonts w:ascii="Times New Roman" w:hAnsi="Times New Roman" w:cs="Times New Roman"/>
                <w:sz w:val="24"/>
                <w:szCs w:val="24"/>
              </w:rPr>
              <w:t>Calendar Dim</w:t>
            </w:r>
          </w:p>
        </w:tc>
        <w:tc>
          <w:tcPr>
            <w:tcW w:w="5024" w:type="dxa"/>
          </w:tcPr>
          <w:p w14:paraId="4C3A46D8" w14:textId="77777777" w:rsidR="005C6EEC" w:rsidRPr="00DA72DD" w:rsidRDefault="00000000">
            <w:pPr>
              <w:rPr>
                <w:rFonts w:ascii="Times New Roman" w:hAnsi="Times New Roman" w:cs="Times New Roman"/>
                <w:sz w:val="24"/>
                <w:szCs w:val="24"/>
              </w:rPr>
            </w:pPr>
            <w:r w:rsidRPr="00DA72DD">
              <w:rPr>
                <w:rFonts w:ascii="Times New Roman" w:hAnsi="Times New Roman" w:cs="Times New Roman"/>
                <w:sz w:val="24"/>
                <w:szCs w:val="24"/>
              </w:rPr>
              <w:t>DateKey, Year, Quarter, Month, IsWeekend</w:t>
            </w:r>
          </w:p>
        </w:tc>
      </w:tr>
    </w:tbl>
    <w:p w14:paraId="1825250B" w14:textId="51C44D94" w:rsidR="005C6EEC" w:rsidRPr="00D574CD" w:rsidRDefault="00DA72DD" w:rsidP="00D574CD">
      <w:pPr>
        <w:pStyle w:val="Heading1"/>
        <w:shd w:val="clear" w:color="auto" w:fill="000000" w:themeFill="text1"/>
        <w:rPr>
          <w:rFonts w:ascii="Times New Roman" w:hAnsi="Times New Roman" w:cs="Times New Roman"/>
          <w:color w:val="FFFFFF" w:themeColor="background1"/>
        </w:rPr>
      </w:pPr>
      <w:r w:rsidRPr="00D574CD">
        <w:rPr>
          <w:rFonts w:ascii="Times New Roman" w:hAnsi="Times New Roman" w:cs="Times New Roman"/>
          <w:color w:val="FFFFFF" w:themeColor="background1"/>
        </w:rPr>
        <w:t>4</w:t>
      </w:r>
      <w:r w:rsidR="00000000" w:rsidRPr="00D574CD">
        <w:rPr>
          <w:rFonts w:ascii="Times New Roman" w:hAnsi="Times New Roman" w:cs="Times New Roman"/>
          <w:color w:val="FFFFFF" w:themeColor="background1"/>
        </w:rPr>
        <w:t>. Logical Analytical Flow &amp; Business Questions</w:t>
      </w:r>
    </w:p>
    <w:p w14:paraId="640AD6C2" w14:textId="77777777" w:rsidR="005C6EEC" w:rsidRPr="00D574CD" w:rsidRDefault="00000000">
      <w:pPr>
        <w:spacing w:after="120"/>
        <w:rPr>
          <w:rFonts w:ascii="Times New Roman" w:hAnsi="Times New Roman" w:cs="Times New Roman"/>
          <w:sz w:val="28"/>
          <w:szCs w:val="28"/>
        </w:rPr>
      </w:pPr>
      <w:r w:rsidRPr="00D574CD">
        <w:rPr>
          <w:rFonts w:ascii="Times New Roman" w:hAnsi="Times New Roman" w:cs="Times New Roman"/>
          <w:sz w:val="24"/>
          <w:szCs w:val="24"/>
        </w:rPr>
        <w:t>The analysis follows four progressive business questions, each building on the last:</w:t>
      </w:r>
    </w:p>
    <w:tbl>
      <w:tblPr>
        <w:tblStyle w:val="TableGrid"/>
        <w:tblW w:w="10224" w:type="dxa"/>
        <w:tblLook w:val="0000" w:firstRow="0" w:lastRow="0" w:firstColumn="0" w:lastColumn="0" w:noHBand="0" w:noVBand="0"/>
      </w:tblPr>
      <w:tblGrid>
        <w:gridCol w:w="1800"/>
        <w:gridCol w:w="3800"/>
        <w:gridCol w:w="4624"/>
      </w:tblGrid>
      <w:tr w:rsidR="005C6EEC" w:rsidRPr="00D574CD" w14:paraId="47444300" w14:textId="77777777" w:rsidTr="00D574CD">
        <w:tc>
          <w:tcPr>
            <w:tcW w:w="1800" w:type="dxa"/>
          </w:tcPr>
          <w:p w14:paraId="0EDDC06C" w14:textId="77777777" w:rsidR="005C6EEC" w:rsidRPr="00D574CD" w:rsidRDefault="00000000">
            <w:pPr>
              <w:rPr>
                <w:rFonts w:ascii="Times New Roman" w:hAnsi="Times New Roman" w:cs="Times New Roman"/>
                <w:sz w:val="24"/>
                <w:szCs w:val="24"/>
              </w:rPr>
            </w:pPr>
            <w:r w:rsidRPr="00D574CD">
              <w:rPr>
                <w:rFonts w:ascii="Times New Roman" w:hAnsi="Times New Roman" w:cs="Times New Roman"/>
                <w:b/>
                <w:bCs/>
                <w:sz w:val="24"/>
                <w:szCs w:val="24"/>
              </w:rPr>
              <w:t>Step</w:t>
            </w:r>
          </w:p>
        </w:tc>
        <w:tc>
          <w:tcPr>
            <w:tcW w:w="3800" w:type="dxa"/>
          </w:tcPr>
          <w:p w14:paraId="6C2BB0F2" w14:textId="77777777" w:rsidR="005C6EEC" w:rsidRPr="00D574CD" w:rsidRDefault="00000000">
            <w:pPr>
              <w:rPr>
                <w:rFonts w:ascii="Times New Roman" w:hAnsi="Times New Roman" w:cs="Times New Roman"/>
                <w:sz w:val="24"/>
                <w:szCs w:val="24"/>
              </w:rPr>
            </w:pPr>
            <w:r w:rsidRPr="00D574CD">
              <w:rPr>
                <w:rFonts w:ascii="Times New Roman" w:hAnsi="Times New Roman" w:cs="Times New Roman"/>
                <w:b/>
                <w:bCs/>
                <w:sz w:val="24"/>
                <w:szCs w:val="24"/>
              </w:rPr>
              <w:t>Business Question</w:t>
            </w:r>
          </w:p>
        </w:tc>
        <w:tc>
          <w:tcPr>
            <w:tcW w:w="4624" w:type="dxa"/>
          </w:tcPr>
          <w:p w14:paraId="63301937" w14:textId="77777777" w:rsidR="005C6EEC" w:rsidRPr="00D574CD" w:rsidRDefault="00000000">
            <w:pPr>
              <w:rPr>
                <w:rFonts w:ascii="Times New Roman" w:hAnsi="Times New Roman" w:cs="Times New Roman"/>
                <w:sz w:val="24"/>
                <w:szCs w:val="24"/>
              </w:rPr>
            </w:pPr>
            <w:r w:rsidRPr="00D574CD">
              <w:rPr>
                <w:rFonts w:ascii="Times New Roman" w:hAnsi="Times New Roman" w:cs="Times New Roman"/>
                <w:b/>
                <w:bCs/>
                <w:sz w:val="24"/>
                <w:szCs w:val="24"/>
              </w:rPr>
              <w:t>Analytical Purpose</w:t>
            </w:r>
          </w:p>
        </w:tc>
      </w:tr>
      <w:tr w:rsidR="005C6EEC" w:rsidRPr="00D574CD" w14:paraId="1A3E695E" w14:textId="77777777" w:rsidTr="00D574CD">
        <w:tc>
          <w:tcPr>
            <w:tcW w:w="1800" w:type="dxa"/>
          </w:tcPr>
          <w:p w14:paraId="20CB1FAF" w14:textId="77777777" w:rsidR="005C6EEC" w:rsidRPr="00D574CD" w:rsidRDefault="00000000">
            <w:pPr>
              <w:rPr>
                <w:rFonts w:ascii="Times New Roman" w:hAnsi="Times New Roman" w:cs="Times New Roman"/>
                <w:sz w:val="24"/>
                <w:szCs w:val="24"/>
              </w:rPr>
            </w:pPr>
            <w:r w:rsidRPr="00D574CD">
              <w:rPr>
                <w:rFonts w:ascii="Times New Roman" w:hAnsi="Times New Roman" w:cs="Times New Roman"/>
                <w:b/>
                <w:bCs/>
                <w:sz w:val="24"/>
                <w:szCs w:val="24"/>
              </w:rPr>
              <w:t>Query A</w:t>
            </w:r>
          </w:p>
        </w:tc>
        <w:tc>
          <w:tcPr>
            <w:tcW w:w="3800" w:type="dxa"/>
          </w:tcPr>
          <w:p w14:paraId="2B8B3765" w14:textId="77777777" w:rsidR="005C6EEC" w:rsidRPr="00D574CD" w:rsidRDefault="00000000">
            <w:pPr>
              <w:rPr>
                <w:rFonts w:ascii="Times New Roman" w:hAnsi="Times New Roman" w:cs="Times New Roman"/>
                <w:sz w:val="24"/>
                <w:szCs w:val="24"/>
              </w:rPr>
            </w:pPr>
            <w:r w:rsidRPr="00D574CD">
              <w:rPr>
                <w:rFonts w:ascii="Times New Roman" w:hAnsi="Times New Roman" w:cs="Times New Roman"/>
                <w:sz w:val="24"/>
                <w:szCs w:val="24"/>
              </w:rPr>
              <w:t>Which asset types and regions have the lowest average availability?</w:t>
            </w:r>
          </w:p>
        </w:tc>
        <w:tc>
          <w:tcPr>
            <w:tcW w:w="4624" w:type="dxa"/>
          </w:tcPr>
          <w:p w14:paraId="16D8E7B9" w14:textId="77777777" w:rsidR="005C6EEC" w:rsidRPr="00D574CD" w:rsidRDefault="00000000">
            <w:pPr>
              <w:rPr>
                <w:rFonts w:ascii="Times New Roman" w:hAnsi="Times New Roman" w:cs="Times New Roman"/>
                <w:sz w:val="24"/>
                <w:szCs w:val="24"/>
              </w:rPr>
            </w:pPr>
            <w:r w:rsidRPr="00D574CD">
              <w:rPr>
                <w:rFonts w:ascii="Times New Roman" w:hAnsi="Times New Roman" w:cs="Times New Roman"/>
                <w:sz w:val="24"/>
                <w:szCs w:val="24"/>
              </w:rPr>
              <w:t>Establishes the fleet-level baseline. Creates a performance-banded priority list across regions and asset types. Computes total lost hours as a quantified financial exposure indicator.</w:t>
            </w:r>
          </w:p>
        </w:tc>
      </w:tr>
      <w:tr w:rsidR="005C6EEC" w:rsidRPr="00D574CD" w14:paraId="7427D8A6" w14:textId="77777777" w:rsidTr="00D574CD">
        <w:tc>
          <w:tcPr>
            <w:tcW w:w="1800" w:type="dxa"/>
          </w:tcPr>
          <w:p w14:paraId="675D07B9" w14:textId="77777777" w:rsidR="005C6EEC" w:rsidRPr="00D574CD" w:rsidRDefault="00000000">
            <w:pPr>
              <w:rPr>
                <w:rFonts w:ascii="Times New Roman" w:hAnsi="Times New Roman" w:cs="Times New Roman"/>
                <w:sz w:val="24"/>
                <w:szCs w:val="24"/>
              </w:rPr>
            </w:pPr>
            <w:r w:rsidRPr="00D574CD">
              <w:rPr>
                <w:rFonts w:ascii="Times New Roman" w:hAnsi="Times New Roman" w:cs="Times New Roman"/>
                <w:b/>
                <w:bCs/>
                <w:sz w:val="24"/>
                <w:szCs w:val="24"/>
              </w:rPr>
              <w:t>Query B</w:t>
            </w:r>
          </w:p>
        </w:tc>
        <w:tc>
          <w:tcPr>
            <w:tcW w:w="3800" w:type="dxa"/>
          </w:tcPr>
          <w:p w14:paraId="76FE3678" w14:textId="1EA7BD18" w:rsidR="005C6EEC" w:rsidRPr="00D574CD" w:rsidRDefault="00000000">
            <w:pPr>
              <w:rPr>
                <w:rFonts w:ascii="Times New Roman" w:hAnsi="Times New Roman" w:cs="Times New Roman"/>
                <w:sz w:val="24"/>
                <w:szCs w:val="24"/>
              </w:rPr>
            </w:pPr>
            <w:r w:rsidRPr="00D574CD">
              <w:rPr>
                <w:rFonts w:ascii="Times New Roman" w:hAnsi="Times New Roman" w:cs="Times New Roman"/>
                <w:sz w:val="24"/>
                <w:szCs w:val="24"/>
              </w:rPr>
              <w:t>Is availability systematically lower on weekends by asset type and region?</w:t>
            </w:r>
          </w:p>
        </w:tc>
        <w:tc>
          <w:tcPr>
            <w:tcW w:w="4624" w:type="dxa"/>
          </w:tcPr>
          <w:p w14:paraId="117C99E0" w14:textId="77777777" w:rsidR="005C6EEC" w:rsidRPr="00D574CD" w:rsidRDefault="00000000">
            <w:pPr>
              <w:rPr>
                <w:rFonts w:ascii="Times New Roman" w:hAnsi="Times New Roman" w:cs="Times New Roman"/>
                <w:sz w:val="24"/>
                <w:szCs w:val="24"/>
              </w:rPr>
            </w:pPr>
            <w:r w:rsidRPr="00D574CD">
              <w:rPr>
                <w:rFonts w:ascii="Times New Roman" w:hAnsi="Times New Roman" w:cs="Times New Roman"/>
                <w:sz w:val="24"/>
                <w:szCs w:val="24"/>
              </w:rPr>
              <w:t>Tests whether the availability gap is operational rather than technical. A measurable weekend dip signals reduced monitoring or staffing coverage.</w:t>
            </w:r>
          </w:p>
        </w:tc>
      </w:tr>
      <w:tr w:rsidR="005C6EEC" w:rsidRPr="00D574CD" w14:paraId="08433D8E" w14:textId="77777777" w:rsidTr="00D574CD">
        <w:tc>
          <w:tcPr>
            <w:tcW w:w="1800" w:type="dxa"/>
          </w:tcPr>
          <w:p w14:paraId="37AF53F0" w14:textId="77777777" w:rsidR="005C6EEC" w:rsidRPr="00D574CD" w:rsidRDefault="00000000">
            <w:pPr>
              <w:rPr>
                <w:rFonts w:ascii="Times New Roman" w:hAnsi="Times New Roman" w:cs="Times New Roman"/>
                <w:sz w:val="24"/>
                <w:szCs w:val="24"/>
              </w:rPr>
            </w:pPr>
            <w:r w:rsidRPr="00D574CD">
              <w:rPr>
                <w:rFonts w:ascii="Times New Roman" w:hAnsi="Times New Roman" w:cs="Times New Roman"/>
                <w:b/>
                <w:bCs/>
                <w:sz w:val="24"/>
                <w:szCs w:val="24"/>
              </w:rPr>
              <w:t>Query C</w:t>
            </w:r>
          </w:p>
        </w:tc>
        <w:tc>
          <w:tcPr>
            <w:tcW w:w="3800" w:type="dxa"/>
          </w:tcPr>
          <w:p w14:paraId="5C33ECF0" w14:textId="77777777" w:rsidR="005C6EEC" w:rsidRPr="00D574CD" w:rsidRDefault="00000000">
            <w:pPr>
              <w:rPr>
                <w:rFonts w:ascii="Times New Roman" w:hAnsi="Times New Roman" w:cs="Times New Roman"/>
                <w:sz w:val="24"/>
                <w:szCs w:val="24"/>
              </w:rPr>
            </w:pPr>
            <w:r w:rsidRPr="00D574CD">
              <w:rPr>
                <w:rFonts w:ascii="Times New Roman" w:hAnsi="Times New Roman" w:cs="Times New Roman"/>
                <w:sz w:val="24"/>
                <w:szCs w:val="24"/>
              </w:rPr>
              <w:t>Which individual assets are chronically underperforming against their regional peers?</w:t>
            </w:r>
          </w:p>
        </w:tc>
        <w:tc>
          <w:tcPr>
            <w:tcW w:w="4624" w:type="dxa"/>
          </w:tcPr>
          <w:p w14:paraId="4F15895B" w14:textId="77777777" w:rsidR="005C6EEC" w:rsidRPr="00D574CD" w:rsidRDefault="00000000">
            <w:pPr>
              <w:rPr>
                <w:rFonts w:ascii="Times New Roman" w:hAnsi="Times New Roman" w:cs="Times New Roman"/>
                <w:sz w:val="24"/>
                <w:szCs w:val="24"/>
              </w:rPr>
            </w:pPr>
            <w:r w:rsidRPr="00D574CD">
              <w:rPr>
                <w:rFonts w:ascii="Times New Roman" w:hAnsi="Times New Roman" w:cs="Times New Roman"/>
                <w:sz w:val="24"/>
                <w:szCs w:val="24"/>
              </w:rPr>
              <w:t>Moves to asset-level using window functions. Ranks each asset within its type and year, calculates deviation from regional type average, and assigns an Action Flag.</w:t>
            </w:r>
          </w:p>
        </w:tc>
      </w:tr>
      <w:tr w:rsidR="005C6EEC" w:rsidRPr="00D574CD" w14:paraId="2E0FDA12" w14:textId="77777777" w:rsidTr="00D574CD">
        <w:tc>
          <w:tcPr>
            <w:tcW w:w="1800" w:type="dxa"/>
          </w:tcPr>
          <w:p w14:paraId="169D2DBB" w14:textId="77777777" w:rsidR="005C6EEC" w:rsidRPr="00D574CD" w:rsidRDefault="00000000">
            <w:pPr>
              <w:rPr>
                <w:rFonts w:ascii="Times New Roman" w:hAnsi="Times New Roman" w:cs="Times New Roman"/>
                <w:sz w:val="24"/>
                <w:szCs w:val="24"/>
              </w:rPr>
            </w:pPr>
            <w:r w:rsidRPr="00D574CD">
              <w:rPr>
                <w:rFonts w:ascii="Times New Roman" w:hAnsi="Times New Roman" w:cs="Times New Roman"/>
                <w:b/>
                <w:bCs/>
                <w:sz w:val="24"/>
                <w:szCs w:val="24"/>
              </w:rPr>
              <w:lastRenderedPageBreak/>
              <w:t>Query D</w:t>
            </w:r>
          </w:p>
        </w:tc>
        <w:tc>
          <w:tcPr>
            <w:tcW w:w="3800" w:type="dxa"/>
          </w:tcPr>
          <w:p w14:paraId="26F01ACE" w14:textId="77777777" w:rsidR="005C6EEC" w:rsidRPr="00D574CD" w:rsidRDefault="00000000">
            <w:pPr>
              <w:rPr>
                <w:rFonts w:ascii="Times New Roman" w:hAnsi="Times New Roman" w:cs="Times New Roman"/>
                <w:sz w:val="24"/>
                <w:szCs w:val="24"/>
              </w:rPr>
            </w:pPr>
            <w:r w:rsidRPr="00D574CD">
              <w:rPr>
                <w:rFonts w:ascii="Times New Roman" w:hAnsi="Times New Roman" w:cs="Times New Roman"/>
                <w:sz w:val="24"/>
                <w:szCs w:val="24"/>
              </w:rPr>
              <w:t>Is availability improving or deteriorating over time by asset type?</w:t>
            </w:r>
          </w:p>
        </w:tc>
        <w:tc>
          <w:tcPr>
            <w:tcW w:w="4624" w:type="dxa"/>
          </w:tcPr>
          <w:p w14:paraId="64410954" w14:textId="77777777" w:rsidR="005C6EEC" w:rsidRPr="00D574CD" w:rsidRDefault="00000000">
            <w:pPr>
              <w:rPr>
                <w:rFonts w:ascii="Times New Roman" w:hAnsi="Times New Roman" w:cs="Times New Roman"/>
                <w:sz w:val="24"/>
                <w:szCs w:val="24"/>
              </w:rPr>
            </w:pPr>
            <w:r w:rsidRPr="00D574CD">
              <w:rPr>
                <w:rFonts w:ascii="Times New Roman" w:hAnsi="Times New Roman" w:cs="Times New Roman"/>
                <w:sz w:val="24"/>
                <w:szCs w:val="24"/>
              </w:rPr>
              <w:t>Tracks quarterly trends per asset type and year. Computes quarter-over-quarter change to surface improving or declining performance patterns.</w:t>
            </w:r>
          </w:p>
        </w:tc>
      </w:tr>
    </w:tbl>
    <w:p w14:paraId="312DB65D" w14:textId="53FCCB5E" w:rsidR="005C6EEC" w:rsidRPr="00D574CD" w:rsidRDefault="00D574CD" w:rsidP="00D574CD">
      <w:pPr>
        <w:pStyle w:val="Heading1"/>
        <w:shd w:val="clear" w:color="auto" w:fill="000000" w:themeFill="text1"/>
        <w:rPr>
          <w:color w:val="FFFFFF" w:themeColor="background1"/>
        </w:rPr>
      </w:pPr>
      <w:r>
        <w:rPr>
          <w:color w:val="FFFFFF" w:themeColor="background1"/>
        </w:rPr>
        <w:t>5</w:t>
      </w:r>
      <w:r w:rsidR="00000000" w:rsidRPr="00D574CD">
        <w:rPr>
          <w:color w:val="FFFFFF" w:themeColor="background1"/>
        </w:rPr>
        <w:t>. Key Performance Indicators (KPIs)</w:t>
      </w:r>
    </w:p>
    <w:p w14:paraId="41B9CEC0" w14:textId="3E9D8196" w:rsidR="005C6EEC" w:rsidRPr="00D574CD" w:rsidRDefault="00000000" w:rsidP="00D574CD">
      <w:pPr>
        <w:pStyle w:val="ListParagraph"/>
        <w:numPr>
          <w:ilvl w:val="0"/>
          <w:numId w:val="6"/>
        </w:numPr>
        <w:spacing w:after="40"/>
        <w:jc w:val="both"/>
        <w:rPr>
          <w:rFonts w:ascii="Times New Roman" w:hAnsi="Times New Roman" w:cs="Times New Roman"/>
          <w:sz w:val="28"/>
          <w:szCs w:val="28"/>
        </w:rPr>
      </w:pPr>
      <w:r w:rsidRPr="00D574CD">
        <w:rPr>
          <w:rFonts w:ascii="Times New Roman" w:hAnsi="Times New Roman" w:cs="Times New Roman"/>
          <w:sz w:val="24"/>
          <w:szCs w:val="24"/>
        </w:rPr>
        <w:t>AvgAvailabilityPct</w:t>
      </w:r>
      <w:r w:rsidR="00D574CD" w:rsidRPr="00D574CD">
        <w:rPr>
          <w:rFonts w:ascii="Times New Roman" w:hAnsi="Times New Roman" w:cs="Times New Roman"/>
          <w:sz w:val="24"/>
          <w:szCs w:val="24"/>
        </w:rPr>
        <w:tab/>
      </w:r>
      <w:r w:rsidR="00D574CD" w:rsidRPr="00D574CD">
        <w:rPr>
          <w:rFonts w:ascii="Times New Roman" w:hAnsi="Times New Roman" w:cs="Times New Roman"/>
          <w:sz w:val="24"/>
          <w:szCs w:val="24"/>
        </w:rPr>
        <w:tab/>
      </w:r>
      <w:r w:rsidR="00D574CD" w:rsidRPr="00D574CD">
        <w:rPr>
          <w:rFonts w:ascii="Times New Roman" w:hAnsi="Times New Roman" w:cs="Times New Roman"/>
          <w:sz w:val="24"/>
          <w:szCs w:val="24"/>
        </w:rPr>
        <w:tab/>
      </w:r>
      <w:r w:rsidRPr="00D574CD">
        <w:rPr>
          <w:rFonts w:ascii="Times New Roman" w:hAnsi="Times New Roman" w:cs="Times New Roman"/>
          <w:sz w:val="24"/>
          <w:szCs w:val="24"/>
        </w:rPr>
        <w:t>Average availability percentage (primary performance metric)</w:t>
      </w:r>
    </w:p>
    <w:p w14:paraId="103D61BC" w14:textId="026A2F19" w:rsidR="005C6EEC" w:rsidRPr="00D574CD" w:rsidRDefault="00000000" w:rsidP="00D574CD">
      <w:pPr>
        <w:pStyle w:val="ListParagraph"/>
        <w:numPr>
          <w:ilvl w:val="0"/>
          <w:numId w:val="6"/>
        </w:numPr>
        <w:spacing w:after="40"/>
        <w:jc w:val="both"/>
        <w:rPr>
          <w:rFonts w:ascii="Times New Roman" w:hAnsi="Times New Roman" w:cs="Times New Roman"/>
          <w:sz w:val="28"/>
          <w:szCs w:val="28"/>
        </w:rPr>
      </w:pPr>
      <w:r w:rsidRPr="00D574CD">
        <w:rPr>
          <w:rFonts w:ascii="Times New Roman" w:hAnsi="Times New Roman" w:cs="Times New Roman"/>
          <w:sz w:val="24"/>
          <w:szCs w:val="24"/>
        </w:rPr>
        <w:t>Min / Max AvailabilityPct</w:t>
      </w:r>
      <w:r w:rsidR="00D574CD" w:rsidRPr="00D574CD">
        <w:rPr>
          <w:rFonts w:ascii="Times New Roman" w:hAnsi="Times New Roman" w:cs="Times New Roman"/>
          <w:sz w:val="24"/>
          <w:szCs w:val="24"/>
        </w:rPr>
        <w:tab/>
      </w:r>
      <w:r w:rsidR="00D574CD" w:rsidRPr="00D574CD">
        <w:rPr>
          <w:rFonts w:ascii="Times New Roman" w:hAnsi="Times New Roman" w:cs="Times New Roman"/>
          <w:sz w:val="24"/>
          <w:szCs w:val="24"/>
        </w:rPr>
        <w:tab/>
      </w:r>
      <w:r w:rsidR="00D574CD" w:rsidRPr="00D574CD">
        <w:rPr>
          <w:rFonts w:ascii="Times New Roman" w:hAnsi="Times New Roman" w:cs="Times New Roman"/>
          <w:sz w:val="24"/>
          <w:szCs w:val="24"/>
        </w:rPr>
        <w:tab/>
      </w:r>
      <w:r w:rsidRPr="00D574CD">
        <w:rPr>
          <w:rFonts w:ascii="Times New Roman" w:hAnsi="Times New Roman" w:cs="Times New Roman"/>
          <w:sz w:val="24"/>
          <w:szCs w:val="24"/>
        </w:rPr>
        <w:t>Range of performance within each group</w:t>
      </w:r>
    </w:p>
    <w:p w14:paraId="1DDB35CD" w14:textId="3139687C" w:rsidR="005C6EEC" w:rsidRPr="00D574CD" w:rsidRDefault="00000000" w:rsidP="00D574CD">
      <w:pPr>
        <w:pStyle w:val="ListParagraph"/>
        <w:numPr>
          <w:ilvl w:val="0"/>
          <w:numId w:val="6"/>
        </w:numPr>
        <w:spacing w:after="40"/>
        <w:jc w:val="both"/>
        <w:rPr>
          <w:rFonts w:ascii="Times New Roman" w:hAnsi="Times New Roman" w:cs="Times New Roman"/>
          <w:sz w:val="28"/>
          <w:szCs w:val="28"/>
        </w:rPr>
      </w:pPr>
      <w:r w:rsidRPr="00D574CD">
        <w:rPr>
          <w:rFonts w:ascii="Times New Roman" w:hAnsi="Times New Roman" w:cs="Times New Roman"/>
          <w:sz w:val="24"/>
          <w:szCs w:val="24"/>
        </w:rPr>
        <w:t>TotalLostHours</w:t>
      </w:r>
      <w:r w:rsidR="00D574CD" w:rsidRPr="00D574CD">
        <w:rPr>
          <w:rFonts w:ascii="Times New Roman" w:hAnsi="Times New Roman" w:cs="Times New Roman"/>
          <w:sz w:val="24"/>
          <w:szCs w:val="24"/>
        </w:rPr>
        <w:tab/>
      </w:r>
      <w:r w:rsidR="00D574CD" w:rsidRPr="00D574CD">
        <w:rPr>
          <w:rFonts w:ascii="Times New Roman" w:hAnsi="Times New Roman" w:cs="Times New Roman"/>
          <w:sz w:val="24"/>
          <w:szCs w:val="24"/>
        </w:rPr>
        <w:tab/>
      </w:r>
      <w:r w:rsidR="00D574CD" w:rsidRPr="00D574CD">
        <w:rPr>
          <w:rFonts w:ascii="Times New Roman" w:hAnsi="Times New Roman" w:cs="Times New Roman"/>
          <w:sz w:val="24"/>
          <w:szCs w:val="24"/>
        </w:rPr>
        <w:tab/>
      </w:r>
      <w:r w:rsidR="00D574CD" w:rsidRPr="00D574CD">
        <w:rPr>
          <w:rFonts w:ascii="Times New Roman" w:hAnsi="Times New Roman" w:cs="Times New Roman"/>
          <w:sz w:val="24"/>
          <w:szCs w:val="24"/>
        </w:rPr>
        <w:tab/>
      </w:r>
      <w:proofErr w:type="gramStart"/>
      <w:r w:rsidRPr="00D574CD">
        <w:rPr>
          <w:rFonts w:ascii="Times New Roman" w:hAnsi="Times New Roman" w:cs="Times New Roman"/>
          <w:sz w:val="24"/>
          <w:szCs w:val="24"/>
        </w:rPr>
        <w:t>Σ(</w:t>
      </w:r>
      <w:proofErr w:type="gramEnd"/>
      <w:r w:rsidRPr="00D574CD">
        <w:rPr>
          <w:rFonts w:ascii="Times New Roman" w:hAnsi="Times New Roman" w:cs="Times New Roman"/>
          <w:sz w:val="24"/>
          <w:szCs w:val="24"/>
        </w:rPr>
        <w:t>24 AvailableHours); quantifies financial exposure</w:t>
      </w:r>
    </w:p>
    <w:p w14:paraId="7DABBE67" w14:textId="774BC7B5" w:rsidR="005C6EEC" w:rsidRPr="00D574CD" w:rsidRDefault="00000000" w:rsidP="00D574CD">
      <w:pPr>
        <w:pStyle w:val="ListParagraph"/>
        <w:numPr>
          <w:ilvl w:val="0"/>
          <w:numId w:val="6"/>
        </w:numPr>
        <w:spacing w:after="40"/>
        <w:jc w:val="both"/>
        <w:rPr>
          <w:rFonts w:ascii="Times New Roman" w:hAnsi="Times New Roman" w:cs="Times New Roman"/>
          <w:sz w:val="28"/>
          <w:szCs w:val="28"/>
        </w:rPr>
      </w:pPr>
      <w:r w:rsidRPr="00D574CD">
        <w:rPr>
          <w:rFonts w:ascii="Times New Roman" w:hAnsi="Times New Roman" w:cs="Times New Roman"/>
          <w:sz w:val="24"/>
          <w:szCs w:val="24"/>
        </w:rPr>
        <w:t xml:space="preserve">NumberOfAssets / DaysSampled </w:t>
      </w:r>
      <w:r w:rsidR="00D574CD" w:rsidRPr="00D574CD">
        <w:rPr>
          <w:rFonts w:ascii="Times New Roman" w:hAnsi="Times New Roman" w:cs="Times New Roman"/>
          <w:sz w:val="24"/>
          <w:szCs w:val="24"/>
        </w:rPr>
        <w:tab/>
      </w:r>
      <w:r w:rsidRPr="00D574CD">
        <w:rPr>
          <w:rFonts w:ascii="Times New Roman" w:hAnsi="Times New Roman" w:cs="Times New Roman"/>
          <w:sz w:val="24"/>
          <w:szCs w:val="24"/>
        </w:rPr>
        <w:t>Sample size and coverage indicators</w:t>
      </w:r>
    </w:p>
    <w:p w14:paraId="40B479D1" w14:textId="602F4752" w:rsidR="005C6EEC" w:rsidRPr="00D574CD" w:rsidRDefault="00000000" w:rsidP="00D574CD">
      <w:pPr>
        <w:pStyle w:val="ListParagraph"/>
        <w:numPr>
          <w:ilvl w:val="0"/>
          <w:numId w:val="6"/>
        </w:numPr>
        <w:spacing w:after="40"/>
        <w:jc w:val="both"/>
        <w:rPr>
          <w:rFonts w:ascii="Times New Roman" w:hAnsi="Times New Roman" w:cs="Times New Roman"/>
          <w:sz w:val="28"/>
          <w:szCs w:val="28"/>
        </w:rPr>
      </w:pPr>
      <w:r w:rsidRPr="00D574CD">
        <w:rPr>
          <w:rFonts w:ascii="Times New Roman" w:hAnsi="Times New Roman" w:cs="Times New Roman"/>
          <w:sz w:val="24"/>
          <w:szCs w:val="24"/>
        </w:rPr>
        <w:t xml:space="preserve">PerformanceBand / ActionFlag </w:t>
      </w:r>
      <w:r w:rsidR="00D574CD" w:rsidRPr="00D574CD">
        <w:rPr>
          <w:rFonts w:ascii="Times New Roman" w:hAnsi="Times New Roman" w:cs="Times New Roman"/>
          <w:sz w:val="24"/>
          <w:szCs w:val="24"/>
        </w:rPr>
        <w:tab/>
      </w:r>
      <w:r w:rsidR="00D574CD" w:rsidRPr="00D574CD">
        <w:rPr>
          <w:rFonts w:ascii="Times New Roman" w:hAnsi="Times New Roman" w:cs="Times New Roman"/>
          <w:sz w:val="24"/>
          <w:szCs w:val="24"/>
        </w:rPr>
        <w:tab/>
      </w:r>
      <w:r w:rsidRPr="00D574CD">
        <w:rPr>
          <w:rFonts w:ascii="Times New Roman" w:hAnsi="Times New Roman" w:cs="Times New Roman"/>
          <w:sz w:val="24"/>
          <w:szCs w:val="24"/>
        </w:rPr>
        <w:t>Classification using thresholds: &lt;85% (Priority), &lt;90% (Monitor), &lt;95% (On Track), ≥95% (Excellent)</w:t>
      </w:r>
    </w:p>
    <w:p w14:paraId="66B21F44" w14:textId="30B3F619" w:rsidR="005C6EEC" w:rsidRPr="00D574CD" w:rsidRDefault="00000000" w:rsidP="00D574CD">
      <w:pPr>
        <w:pStyle w:val="ListParagraph"/>
        <w:numPr>
          <w:ilvl w:val="0"/>
          <w:numId w:val="6"/>
        </w:numPr>
        <w:spacing w:after="40"/>
        <w:jc w:val="both"/>
        <w:rPr>
          <w:rFonts w:ascii="Times New Roman" w:hAnsi="Times New Roman" w:cs="Times New Roman"/>
          <w:sz w:val="28"/>
          <w:szCs w:val="28"/>
        </w:rPr>
      </w:pPr>
      <w:r w:rsidRPr="00D574CD">
        <w:rPr>
          <w:rFonts w:ascii="Times New Roman" w:hAnsi="Times New Roman" w:cs="Times New Roman"/>
          <w:sz w:val="24"/>
          <w:szCs w:val="24"/>
        </w:rPr>
        <w:t xml:space="preserve">DiffFromRegionalTypeAvg </w:t>
      </w:r>
      <w:r w:rsidR="00D574CD" w:rsidRPr="00D574CD">
        <w:rPr>
          <w:rFonts w:ascii="Times New Roman" w:hAnsi="Times New Roman" w:cs="Times New Roman"/>
          <w:sz w:val="24"/>
          <w:szCs w:val="24"/>
        </w:rPr>
        <w:tab/>
      </w:r>
      <w:r w:rsidR="00D574CD" w:rsidRPr="00D574CD">
        <w:rPr>
          <w:rFonts w:ascii="Times New Roman" w:hAnsi="Times New Roman" w:cs="Times New Roman"/>
          <w:sz w:val="24"/>
          <w:szCs w:val="24"/>
        </w:rPr>
        <w:tab/>
      </w:r>
      <w:r w:rsidRPr="00D574CD">
        <w:rPr>
          <w:rFonts w:ascii="Times New Roman" w:hAnsi="Times New Roman" w:cs="Times New Roman"/>
          <w:sz w:val="24"/>
          <w:szCs w:val="24"/>
        </w:rPr>
        <w:t>Deviation of an asset from its regional peer average</w:t>
      </w:r>
    </w:p>
    <w:p w14:paraId="5A665376" w14:textId="6DCC2384" w:rsidR="005C6EEC" w:rsidRPr="00D574CD" w:rsidRDefault="00000000" w:rsidP="00D574CD">
      <w:pPr>
        <w:pStyle w:val="ListParagraph"/>
        <w:numPr>
          <w:ilvl w:val="0"/>
          <w:numId w:val="6"/>
        </w:numPr>
        <w:spacing w:after="40"/>
        <w:jc w:val="both"/>
        <w:rPr>
          <w:rFonts w:ascii="Times New Roman" w:hAnsi="Times New Roman" w:cs="Times New Roman"/>
          <w:sz w:val="28"/>
          <w:szCs w:val="28"/>
        </w:rPr>
      </w:pPr>
      <w:r w:rsidRPr="00D574CD">
        <w:rPr>
          <w:rFonts w:ascii="Times New Roman" w:hAnsi="Times New Roman" w:cs="Times New Roman"/>
          <w:sz w:val="24"/>
          <w:szCs w:val="24"/>
        </w:rPr>
        <w:t>RankWorstInTypeByYear</w:t>
      </w:r>
      <w:r w:rsidR="00D574CD" w:rsidRPr="00D574CD">
        <w:rPr>
          <w:rFonts w:ascii="Times New Roman" w:hAnsi="Times New Roman" w:cs="Times New Roman"/>
          <w:sz w:val="24"/>
          <w:szCs w:val="24"/>
        </w:rPr>
        <w:t xml:space="preserve"> </w:t>
      </w:r>
      <w:r w:rsidR="00D574CD" w:rsidRPr="00D574CD">
        <w:rPr>
          <w:rFonts w:ascii="Times New Roman" w:hAnsi="Times New Roman" w:cs="Times New Roman"/>
          <w:sz w:val="24"/>
          <w:szCs w:val="24"/>
        </w:rPr>
        <w:tab/>
      </w:r>
      <w:r w:rsidRPr="00D574CD">
        <w:rPr>
          <w:rFonts w:ascii="Times New Roman" w:hAnsi="Times New Roman" w:cs="Times New Roman"/>
          <w:sz w:val="24"/>
          <w:szCs w:val="24"/>
        </w:rPr>
        <w:t xml:space="preserve"> </w:t>
      </w:r>
      <w:r w:rsidR="00D574CD" w:rsidRPr="00D574CD">
        <w:rPr>
          <w:rFonts w:ascii="Times New Roman" w:hAnsi="Times New Roman" w:cs="Times New Roman"/>
          <w:sz w:val="24"/>
          <w:szCs w:val="24"/>
        </w:rPr>
        <w:tab/>
      </w:r>
      <w:r w:rsidRPr="00D574CD">
        <w:rPr>
          <w:rFonts w:ascii="Times New Roman" w:hAnsi="Times New Roman" w:cs="Times New Roman"/>
          <w:sz w:val="24"/>
          <w:szCs w:val="24"/>
        </w:rPr>
        <w:t>Ranking of assets within type and year (worst first)</w:t>
      </w:r>
    </w:p>
    <w:p w14:paraId="229CB4F4" w14:textId="119309F2" w:rsidR="005C6EEC" w:rsidRPr="00D574CD" w:rsidRDefault="00000000" w:rsidP="00D574CD">
      <w:pPr>
        <w:pStyle w:val="ListParagraph"/>
        <w:numPr>
          <w:ilvl w:val="0"/>
          <w:numId w:val="6"/>
        </w:numPr>
        <w:spacing w:after="200"/>
        <w:jc w:val="both"/>
        <w:rPr>
          <w:rFonts w:ascii="Times New Roman" w:hAnsi="Times New Roman" w:cs="Times New Roman"/>
          <w:sz w:val="28"/>
          <w:szCs w:val="28"/>
        </w:rPr>
      </w:pPr>
      <w:r w:rsidRPr="00D574CD">
        <w:rPr>
          <w:rFonts w:ascii="Times New Roman" w:hAnsi="Times New Roman" w:cs="Times New Roman"/>
          <w:sz w:val="24"/>
          <w:szCs w:val="24"/>
        </w:rPr>
        <w:t xml:space="preserve">QoQ_Change_PctPoints </w:t>
      </w:r>
      <w:r w:rsidR="00D574CD" w:rsidRPr="00D574CD">
        <w:rPr>
          <w:rFonts w:ascii="Times New Roman" w:hAnsi="Times New Roman" w:cs="Times New Roman"/>
          <w:sz w:val="24"/>
          <w:szCs w:val="24"/>
        </w:rPr>
        <w:tab/>
      </w:r>
      <w:r w:rsidR="00D574CD" w:rsidRPr="00D574CD">
        <w:rPr>
          <w:rFonts w:ascii="Times New Roman" w:hAnsi="Times New Roman" w:cs="Times New Roman"/>
          <w:sz w:val="24"/>
          <w:szCs w:val="24"/>
        </w:rPr>
        <w:tab/>
      </w:r>
      <w:r w:rsidRPr="00D574CD">
        <w:rPr>
          <w:rFonts w:ascii="Times New Roman" w:hAnsi="Times New Roman" w:cs="Times New Roman"/>
          <w:sz w:val="24"/>
          <w:szCs w:val="24"/>
        </w:rPr>
        <w:t>Quarter-over-quarter change in average availability (trend direction)</w:t>
      </w:r>
    </w:p>
    <w:p w14:paraId="70D6BB5F" w14:textId="7DC6FAF2" w:rsidR="005C6EEC" w:rsidRPr="00D574CD" w:rsidRDefault="00D574CD" w:rsidP="00D574CD">
      <w:pPr>
        <w:pStyle w:val="Heading1"/>
        <w:shd w:val="clear" w:color="auto" w:fill="000000" w:themeFill="text1"/>
        <w:rPr>
          <w:color w:val="FFFFFF" w:themeColor="background1"/>
        </w:rPr>
      </w:pPr>
      <w:r w:rsidRPr="00D574CD">
        <w:rPr>
          <w:color w:val="FFFFFF" w:themeColor="background1"/>
        </w:rPr>
        <w:t>6</w:t>
      </w:r>
      <w:r w:rsidR="00000000" w:rsidRPr="00D574CD">
        <w:rPr>
          <w:color w:val="FFFFFF" w:themeColor="background1"/>
        </w:rPr>
        <w:t>. SQL Solution Overview</w:t>
      </w:r>
    </w:p>
    <w:p w14:paraId="78DF1755" w14:textId="109EDD85" w:rsidR="005C6EEC" w:rsidRPr="00D574CD" w:rsidRDefault="00000000">
      <w:pPr>
        <w:pStyle w:val="Heading2"/>
        <w:rPr>
          <w:rFonts w:ascii="Times New Roman" w:hAnsi="Times New Roman" w:cs="Times New Roman"/>
          <w:color w:val="000000" w:themeColor="text1"/>
        </w:rPr>
      </w:pPr>
      <w:r w:rsidRPr="00D574CD">
        <w:rPr>
          <w:rFonts w:ascii="Times New Roman" w:hAnsi="Times New Roman" w:cs="Times New Roman"/>
          <w:color w:val="000000" w:themeColor="text1"/>
        </w:rPr>
        <w:t>Query A</w:t>
      </w:r>
      <w:r w:rsidR="00D574CD">
        <w:rPr>
          <w:rFonts w:ascii="Times New Roman" w:hAnsi="Times New Roman" w:cs="Times New Roman"/>
          <w:color w:val="000000" w:themeColor="text1"/>
        </w:rPr>
        <w:t xml:space="preserve">: </w:t>
      </w:r>
      <w:r w:rsidRPr="00D574CD">
        <w:rPr>
          <w:rFonts w:ascii="Times New Roman" w:hAnsi="Times New Roman" w:cs="Times New Roman"/>
          <w:color w:val="000000" w:themeColor="text1"/>
        </w:rPr>
        <w:t>Fleet-Level Baseline</w:t>
      </w:r>
    </w:p>
    <w:p w14:paraId="218F0068" w14:textId="77777777" w:rsidR="005C6EEC" w:rsidRPr="00D574CD" w:rsidRDefault="00000000" w:rsidP="00D574CD">
      <w:pPr>
        <w:spacing w:after="80"/>
        <w:jc w:val="both"/>
        <w:rPr>
          <w:rFonts w:ascii="Times New Roman" w:hAnsi="Times New Roman" w:cs="Times New Roman"/>
          <w:sz w:val="28"/>
          <w:szCs w:val="28"/>
        </w:rPr>
      </w:pPr>
      <w:r w:rsidRPr="00D574CD">
        <w:rPr>
          <w:rFonts w:ascii="Times New Roman" w:hAnsi="Times New Roman" w:cs="Times New Roman"/>
          <w:sz w:val="24"/>
          <w:szCs w:val="24"/>
        </w:rPr>
        <w:t>Groups by AssetType, RegionName, Country and GridOperator. Calculates average, min and max availability, total lost hours, and assigns a PerformanceBand. Ordered by average availability ascending so the worst-performing groups appear first.</w:t>
      </w:r>
    </w:p>
    <w:p w14:paraId="060F583F" w14:textId="304F6B9B" w:rsidR="005C6EEC" w:rsidRPr="00D574CD" w:rsidRDefault="00000000">
      <w:pPr>
        <w:pStyle w:val="Heading2"/>
        <w:rPr>
          <w:rFonts w:ascii="Times New Roman" w:hAnsi="Times New Roman" w:cs="Times New Roman"/>
          <w:color w:val="000000" w:themeColor="text1"/>
        </w:rPr>
      </w:pPr>
      <w:r w:rsidRPr="00D574CD">
        <w:rPr>
          <w:rFonts w:ascii="Times New Roman" w:hAnsi="Times New Roman" w:cs="Times New Roman"/>
          <w:color w:val="000000" w:themeColor="text1"/>
        </w:rPr>
        <w:t>Query B</w:t>
      </w:r>
      <w:r w:rsidR="00D574CD">
        <w:rPr>
          <w:rFonts w:ascii="Times New Roman" w:hAnsi="Times New Roman" w:cs="Times New Roman"/>
          <w:color w:val="000000" w:themeColor="text1"/>
        </w:rPr>
        <w:t xml:space="preserve">: </w:t>
      </w:r>
      <w:r w:rsidRPr="00D574CD">
        <w:rPr>
          <w:rFonts w:ascii="Times New Roman" w:hAnsi="Times New Roman" w:cs="Times New Roman"/>
          <w:color w:val="000000" w:themeColor="text1"/>
        </w:rPr>
        <w:t>Weekday vs Weekend Comparison</w:t>
      </w:r>
    </w:p>
    <w:p w14:paraId="15B920C9" w14:textId="77777777" w:rsidR="005C6EEC" w:rsidRDefault="00000000" w:rsidP="00D574CD">
      <w:pPr>
        <w:spacing w:after="80"/>
        <w:jc w:val="both"/>
      </w:pPr>
      <w:r w:rsidRPr="00D574CD">
        <w:rPr>
          <w:rFonts w:ascii="Times New Roman" w:hAnsi="Times New Roman" w:cs="Times New Roman"/>
          <w:sz w:val="24"/>
          <w:szCs w:val="24"/>
        </w:rPr>
        <w:t>Joins to Common.DateDim and splits results by IsWeekend. Produces side-by-side averages and lost hours for Weekday and Weekend within each AssetType + Region combination. Directly answers whether performance differs by day type</w:t>
      </w:r>
      <w:r>
        <w:rPr>
          <w:sz w:val="20"/>
          <w:szCs w:val="20"/>
        </w:rPr>
        <w:t>.</w:t>
      </w:r>
    </w:p>
    <w:p w14:paraId="7A2B85D3" w14:textId="244FBC37" w:rsidR="005C6EEC" w:rsidRPr="00D574CD" w:rsidRDefault="00000000">
      <w:pPr>
        <w:pStyle w:val="Heading2"/>
        <w:rPr>
          <w:rFonts w:ascii="Times New Roman" w:hAnsi="Times New Roman" w:cs="Times New Roman"/>
          <w:color w:val="000000" w:themeColor="text1"/>
        </w:rPr>
      </w:pPr>
      <w:r w:rsidRPr="00D574CD">
        <w:rPr>
          <w:rFonts w:ascii="Times New Roman" w:hAnsi="Times New Roman" w:cs="Times New Roman"/>
          <w:color w:val="000000" w:themeColor="text1"/>
        </w:rPr>
        <w:t>Query C</w:t>
      </w:r>
      <w:r w:rsidR="00D574CD">
        <w:rPr>
          <w:rFonts w:ascii="Times New Roman" w:hAnsi="Times New Roman" w:cs="Times New Roman"/>
          <w:color w:val="000000" w:themeColor="text1"/>
        </w:rPr>
        <w:t xml:space="preserve">: </w:t>
      </w:r>
      <w:r w:rsidRPr="00D574CD">
        <w:rPr>
          <w:rFonts w:ascii="Times New Roman" w:hAnsi="Times New Roman" w:cs="Times New Roman"/>
          <w:color w:val="000000" w:themeColor="text1"/>
        </w:rPr>
        <w:t>Individual Asset Ranking</w:t>
      </w:r>
    </w:p>
    <w:p w14:paraId="72B9E271" w14:textId="77777777" w:rsidR="005C6EEC" w:rsidRPr="00D574CD" w:rsidRDefault="00000000" w:rsidP="00D574CD">
      <w:pPr>
        <w:spacing w:after="80"/>
        <w:jc w:val="both"/>
        <w:rPr>
          <w:rFonts w:ascii="Times New Roman" w:hAnsi="Times New Roman" w:cs="Times New Roman"/>
          <w:sz w:val="28"/>
          <w:szCs w:val="28"/>
        </w:rPr>
      </w:pPr>
      <w:r w:rsidRPr="00D574CD">
        <w:rPr>
          <w:rFonts w:ascii="Times New Roman" w:hAnsi="Times New Roman" w:cs="Times New Roman"/>
          <w:sz w:val="24"/>
          <w:szCs w:val="24"/>
        </w:rPr>
        <w:t>Uses a CTE to aggregate at Asset + Year + Quarter grain. Applies window functions to calculate DiffFromRegionalTypeAvg and RankWorstInTypeByYear. Assigns an ActionFlag for O&amp;M prioritisation. Corrected from the original nested-aggregate error.</w:t>
      </w:r>
    </w:p>
    <w:p w14:paraId="6030ED61" w14:textId="422F5A1D" w:rsidR="005C6EEC" w:rsidRPr="00D574CD" w:rsidRDefault="00000000">
      <w:pPr>
        <w:pStyle w:val="Heading2"/>
        <w:rPr>
          <w:color w:val="000000" w:themeColor="text1"/>
        </w:rPr>
      </w:pPr>
      <w:r w:rsidRPr="00D574CD">
        <w:rPr>
          <w:color w:val="000000" w:themeColor="text1"/>
        </w:rPr>
        <w:t>Query D</w:t>
      </w:r>
      <w:r w:rsidR="00D574CD" w:rsidRPr="00D574CD">
        <w:rPr>
          <w:color w:val="000000" w:themeColor="text1"/>
        </w:rPr>
        <w:t xml:space="preserve">: </w:t>
      </w:r>
      <w:r w:rsidRPr="00D574CD">
        <w:rPr>
          <w:color w:val="000000" w:themeColor="text1"/>
        </w:rPr>
        <w:t>Quarterly Trends by Asset Type</w:t>
      </w:r>
    </w:p>
    <w:p w14:paraId="500F8478" w14:textId="559FC65B" w:rsidR="005C6EEC" w:rsidRDefault="00000000" w:rsidP="00D574CD">
      <w:pPr>
        <w:spacing w:after="200"/>
        <w:jc w:val="both"/>
        <w:rPr>
          <w:rFonts w:ascii="Times New Roman" w:hAnsi="Times New Roman" w:cs="Times New Roman"/>
          <w:sz w:val="24"/>
          <w:szCs w:val="24"/>
        </w:rPr>
      </w:pPr>
      <w:r w:rsidRPr="00D574CD">
        <w:rPr>
          <w:rFonts w:ascii="Times New Roman" w:hAnsi="Times New Roman" w:cs="Times New Roman"/>
          <w:sz w:val="24"/>
          <w:szCs w:val="24"/>
        </w:rPr>
        <w:t xml:space="preserve">Aggregates at AssetType + Year + Quarter level. Uses </w:t>
      </w:r>
      <w:r w:rsidR="00D574CD" w:rsidRPr="00D574CD">
        <w:rPr>
          <w:rFonts w:ascii="Times New Roman" w:hAnsi="Times New Roman" w:cs="Times New Roman"/>
          <w:sz w:val="24"/>
          <w:szCs w:val="24"/>
        </w:rPr>
        <w:t>LAG (</w:t>
      </w:r>
      <w:r w:rsidRPr="00D574CD">
        <w:rPr>
          <w:rFonts w:ascii="Times New Roman" w:hAnsi="Times New Roman" w:cs="Times New Roman"/>
          <w:sz w:val="24"/>
          <w:szCs w:val="24"/>
        </w:rPr>
        <w:t>) to compute quarter-over-quarter change in average availability. Surfaces whether performance is improving or deteriorating over time fulfilling Objective 4.</w:t>
      </w:r>
    </w:p>
    <w:p w14:paraId="4B60F087" w14:textId="77777777" w:rsidR="00D574CD" w:rsidRDefault="00D574CD" w:rsidP="00D574CD">
      <w:pPr>
        <w:spacing w:after="200"/>
        <w:jc w:val="both"/>
        <w:rPr>
          <w:rFonts w:ascii="Times New Roman" w:hAnsi="Times New Roman" w:cs="Times New Roman"/>
          <w:sz w:val="24"/>
          <w:szCs w:val="24"/>
        </w:rPr>
      </w:pPr>
    </w:p>
    <w:p w14:paraId="31BC09A7" w14:textId="77777777" w:rsidR="00D574CD" w:rsidRDefault="00D574CD" w:rsidP="00D574CD">
      <w:pPr>
        <w:spacing w:after="200"/>
        <w:jc w:val="both"/>
        <w:rPr>
          <w:rFonts w:ascii="Times New Roman" w:hAnsi="Times New Roman" w:cs="Times New Roman"/>
          <w:sz w:val="24"/>
          <w:szCs w:val="24"/>
        </w:rPr>
      </w:pPr>
    </w:p>
    <w:p w14:paraId="29546CFA" w14:textId="77777777" w:rsidR="00D574CD" w:rsidRPr="00D574CD" w:rsidRDefault="00D574CD" w:rsidP="00D574CD">
      <w:pPr>
        <w:spacing w:after="200"/>
        <w:jc w:val="both"/>
        <w:rPr>
          <w:rFonts w:ascii="Times New Roman" w:hAnsi="Times New Roman" w:cs="Times New Roman"/>
          <w:sz w:val="28"/>
          <w:szCs w:val="28"/>
        </w:rPr>
      </w:pPr>
    </w:p>
    <w:p w14:paraId="7E59CE73" w14:textId="77777777" w:rsidR="005C6EEC" w:rsidRPr="00D574CD" w:rsidRDefault="00000000" w:rsidP="00D574CD">
      <w:pPr>
        <w:pStyle w:val="Heading1"/>
        <w:shd w:val="clear" w:color="auto" w:fill="000000" w:themeFill="text1"/>
        <w:rPr>
          <w:rFonts w:ascii="Times New Roman" w:hAnsi="Times New Roman" w:cs="Times New Roman"/>
          <w:color w:val="FFFFFF" w:themeColor="background1"/>
        </w:rPr>
      </w:pPr>
      <w:r w:rsidRPr="00D574CD">
        <w:rPr>
          <w:rFonts w:ascii="Times New Roman" w:hAnsi="Times New Roman" w:cs="Times New Roman"/>
          <w:color w:val="FFFFFF" w:themeColor="background1"/>
        </w:rPr>
        <w:lastRenderedPageBreak/>
        <w:t>8. Performance Band Definitions</w:t>
      </w:r>
    </w:p>
    <w:tbl>
      <w:tblPr>
        <w:tblStyle w:val="TableGrid"/>
        <w:tblW w:w="10224" w:type="dxa"/>
        <w:tblLook w:val="0000" w:firstRow="0" w:lastRow="0" w:firstColumn="0" w:lastColumn="0" w:noHBand="0" w:noVBand="0"/>
      </w:tblPr>
      <w:tblGrid>
        <w:gridCol w:w="2200"/>
        <w:gridCol w:w="2800"/>
        <w:gridCol w:w="5224"/>
      </w:tblGrid>
      <w:tr w:rsidR="005C6EEC" w:rsidRPr="00D574CD" w14:paraId="5F6C32EE" w14:textId="77777777" w:rsidTr="00D574CD">
        <w:tc>
          <w:tcPr>
            <w:tcW w:w="2200" w:type="dxa"/>
          </w:tcPr>
          <w:p w14:paraId="56521055" w14:textId="77777777" w:rsidR="005C6EEC" w:rsidRPr="00D574CD" w:rsidRDefault="00000000">
            <w:pPr>
              <w:rPr>
                <w:rFonts w:ascii="Times New Roman" w:hAnsi="Times New Roman" w:cs="Times New Roman"/>
                <w:sz w:val="24"/>
                <w:szCs w:val="24"/>
              </w:rPr>
            </w:pPr>
            <w:r w:rsidRPr="00D574CD">
              <w:rPr>
                <w:rFonts w:ascii="Times New Roman" w:hAnsi="Times New Roman" w:cs="Times New Roman"/>
                <w:b/>
                <w:bCs/>
                <w:sz w:val="24"/>
                <w:szCs w:val="24"/>
              </w:rPr>
              <w:t>Threshold</w:t>
            </w:r>
          </w:p>
        </w:tc>
        <w:tc>
          <w:tcPr>
            <w:tcW w:w="2800" w:type="dxa"/>
          </w:tcPr>
          <w:p w14:paraId="25495EC7" w14:textId="77777777" w:rsidR="005C6EEC" w:rsidRPr="00D574CD" w:rsidRDefault="00000000">
            <w:pPr>
              <w:rPr>
                <w:rFonts w:ascii="Times New Roman" w:hAnsi="Times New Roman" w:cs="Times New Roman"/>
                <w:sz w:val="24"/>
                <w:szCs w:val="24"/>
              </w:rPr>
            </w:pPr>
            <w:r w:rsidRPr="00D574CD">
              <w:rPr>
                <w:rFonts w:ascii="Times New Roman" w:hAnsi="Times New Roman" w:cs="Times New Roman"/>
                <w:b/>
                <w:bCs/>
                <w:sz w:val="24"/>
                <w:szCs w:val="24"/>
              </w:rPr>
              <w:t>Band / Flag</w:t>
            </w:r>
          </w:p>
        </w:tc>
        <w:tc>
          <w:tcPr>
            <w:tcW w:w="5224" w:type="dxa"/>
          </w:tcPr>
          <w:p w14:paraId="0AC5C03A" w14:textId="77777777" w:rsidR="005C6EEC" w:rsidRPr="00D574CD" w:rsidRDefault="00000000">
            <w:pPr>
              <w:rPr>
                <w:rFonts w:ascii="Times New Roman" w:hAnsi="Times New Roman" w:cs="Times New Roman"/>
                <w:sz w:val="24"/>
                <w:szCs w:val="24"/>
              </w:rPr>
            </w:pPr>
            <w:r w:rsidRPr="00D574CD">
              <w:rPr>
                <w:rFonts w:ascii="Times New Roman" w:hAnsi="Times New Roman" w:cs="Times New Roman"/>
                <w:b/>
                <w:bCs/>
                <w:sz w:val="24"/>
                <w:szCs w:val="24"/>
              </w:rPr>
              <w:t>Recommended Action</w:t>
            </w:r>
          </w:p>
        </w:tc>
      </w:tr>
      <w:tr w:rsidR="005C6EEC" w:rsidRPr="00D574CD" w14:paraId="7A73FFD7" w14:textId="77777777" w:rsidTr="00D574CD">
        <w:tc>
          <w:tcPr>
            <w:tcW w:w="2200" w:type="dxa"/>
          </w:tcPr>
          <w:p w14:paraId="54EAC7B3" w14:textId="77777777" w:rsidR="005C6EEC" w:rsidRPr="00D574CD" w:rsidRDefault="00000000">
            <w:pPr>
              <w:rPr>
                <w:rFonts w:ascii="Times New Roman" w:hAnsi="Times New Roman" w:cs="Times New Roman"/>
                <w:sz w:val="24"/>
                <w:szCs w:val="24"/>
              </w:rPr>
            </w:pPr>
            <w:r w:rsidRPr="00D574CD">
              <w:rPr>
                <w:rFonts w:ascii="Times New Roman" w:hAnsi="Times New Roman" w:cs="Times New Roman"/>
                <w:b/>
                <w:bCs/>
                <w:sz w:val="24"/>
                <w:szCs w:val="24"/>
              </w:rPr>
              <w:t>&lt; 85%</w:t>
            </w:r>
          </w:p>
        </w:tc>
        <w:tc>
          <w:tcPr>
            <w:tcW w:w="2800" w:type="dxa"/>
          </w:tcPr>
          <w:p w14:paraId="4DFC05CD" w14:textId="77777777" w:rsidR="005C6EEC" w:rsidRPr="00D574CD" w:rsidRDefault="00000000">
            <w:pPr>
              <w:rPr>
                <w:rFonts w:ascii="Times New Roman" w:hAnsi="Times New Roman" w:cs="Times New Roman"/>
                <w:sz w:val="24"/>
                <w:szCs w:val="24"/>
              </w:rPr>
            </w:pPr>
            <w:r w:rsidRPr="00D574CD">
              <w:rPr>
                <w:rFonts w:ascii="Times New Roman" w:hAnsi="Times New Roman" w:cs="Times New Roman"/>
                <w:sz w:val="24"/>
                <w:szCs w:val="24"/>
              </w:rPr>
              <w:t>Below Target / Investigate</w:t>
            </w:r>
          </w:p>
        </w:tc>
        <w:tc>
          <w:tcPr>
            <w:tcW w:w="5224" w:type="dxa"/>
          </w:tcPr>
          <w:p w14:paraId="58777944" w14:textId="77777777" w:rsidR="005C6EEC" w:rsidRPr="00D574CD" w:rsidRDefault="00000000">
            <w:pPr>
              <w:rPr>
                <w:rFonts w:ascii="Times New Roman" w:hAnsi="Times New Roman" w:cs="Times New Roman"/>
                <w:sz w:val="24"/>
                <w:szCs w:val="24"/>
              </w:rPr>
            </w:pPr>
            <w:r w:rsidRPr="00D574CD">
              <w:rPr>
                <w:rFonts w:ascii="Times New Roman" w:hAnsi="Times New Roman" w:cs="Times New Roman"/>
                <w:sz w:val="24"/>
                <w:szCs w:val="24"/>
              </w:rPr>
              <w:t>Priority Review — Fault or contract risk. Immediate O&amp;M investigation required.</w:t>
            </w:r>
          </w:p>
        </w:tc>
      </w:tr>
      <w:tr w:rsidR="005C6EEC" w:rsidRPr="00D574CD" w14:paraId="7AC90D6F" w14:textId="77777777" w:rsidTr="00D574CD">
        <w:tc>
          <w:tcPr>
            <w:tcW w:w="2200" w:type="dxa"/>
          </w:tcPr>
          <w:p w14:paraId="4F2AC8A6" w14:textId="77777777" w:rsidR="005C6EEC" w:rsidRPr="00D574CD" w:rsidRDefault="00000000">
            <w:pPr>
              <w:rPr>
                <w:rFonts w:ascii="Times New Roman" w:hAnsi="Times New Roman" w:cs="Times New Roman"/>
                <w:sz w:val="24"/>
                <w:szCs w:val="24"/>
              </w:rPr>
            </w:pPr>
            <w:r w:rsidRPr="00D574CD">
              <w:rPr>
                <w:rFonts w:ascii="Times New Roman" w:hAnsi="Times New Roman" w:cs="Times New Roman"/>
                <w:b/>
                <w:bCs/>
                <w:sz w:val="24"/>
                <w:szCs w:val="24"/>
              </w:rPr>
              <w:t>85% – &lt; 90%</w:t>
            </w:r>
          </w:p>
        </w:tc>
        <w:tc>
          <w:tcPr>
            <w:tcW w:w="2800" w:type="dxa"/>
          </w:tcPr>
          <w:p w14:paraId="376077B9" w14:textId="77777777" w:rsidR="005C6EEC" w:rsidRPr="00D574CD" w:rsidRDefault="00000000">
            <w:pPr>
              <w:rPr>
                <w:rFonts w:ascii="Times New Roman" w:hAnsi="Times New Roman" w:cs="Times New Roman"/>
                <w:sz w:val="24"/>
                <w:szCs w:val="24"/>
              </w:rPr>
            </w:pPr>
            <w:r w:rsidRPr="00D574CD">
              <w:rPr>
                <w:rFonts w:ascii="Times New Roman" w:hAnsi="Times New Roman" w:cs="Times New Roman"/>
                <w:sz w:val="24"/>
                <w:szCs w:val="24"/>
              </w:rPr>
              <w:t>Marginal / Monitor</w:t>
            </w:r>
          </w:p>
        </w:tc>
        <w:tc>
          <w:tcPr>
            <w:tcW w:w="5224" w:type="dxa"/>
          </w:tcPr>
          <w:p w14:paraId="0ADDD1DF" w14:textId="77777777" w:rsidR="005C6EEC" w:rsidRPr="00D574CD" w:rsidRDefault="00000000">
            <w:pPr>
              <w:rPr>
                <w:rFonts w:ascii="Times New Roman" w:hAnsi="Times New Roman" w:cs="Times New Roman"/>
                <w:sz w:val="24"/>
                <w:szCs w:val="24"/>
              </w:rPr>
            </w:pPr>
            <w:r w:rsidRPr="00D574CD">
              <w:rPr>
                <w:rFonts w:ascii="Times New Roman" w:hAnsi="Times New Roman" w:cs="Times New Roman"/>
                <w:sz w:val="24"/>
                <w:szCs w:val="24"/>
              </w:rPr>
              <w:t>Monitor Closely — Marginal performance. Schedule deeper diagnostics.</w:t>
            </w:r>
          </w:p>
        </w:tc>
      </w:tr>
      <w:tr w:rsidR="005C6EEC" w:rsidRPr="00D574CD" w14:paraId="548BDA57" w14:textId="77777777" w:rsidTr="00D574CD">
        <w:tc>
          <w:tcPr>
            <w:tcW w:w="2200" w:type="dxa"/>
          </w:tcPr>
          <w:p w14:paraId="0E1548B9" w14:textId="77777777" w:rsidR="005C6EEC" w:rsidRPr="00D574CD" w:rsidRDefault="00000000">
            <w:pPr>
              <w:rPr>
                <w:rFonts w:ascii="Times New Roman" w:hAnsi="Times New Roman" w:cs="Times New Roman"/>
                <w:sz w:val="24"/>
                <w:szCs w:val="24"/>
              </w:rPr>
            </w:pPr>
            <w:r w:rsidRPr="00D574CD">
              <w:rPr>
                <w:rFonts w:ascii="Times New Roman" w:hAnsi="Times New Roman" w:cs="Times New Roman"/>
                <w:b/>
                <w:bCs/>
                <w:sz w:val="24"/>
                <w:szCs w:val="24"/>
              </w:rPr>
              <w:t>90% – &lt; 95%</w:t>
            </w:r>
          </w:p>
        </w:tc>
        <w:tc>
          <w:tcPr>
            <w:tcW w:w="2800" w:type="dxa"/>
          </w:tcPr>
          <w:p w14:paraId="61939C2D" w14:textId="77777777" w:rsidR="005C6EEC" w:rsidRPr="00D574CD" w:rsidRDefault="00000000">
            <w:pPr>
              <w:rPr>
                <w:rFonts w:ascii="Times New Roman" w:hAnsi="Times New Roman" w:cs="Times New Roman"/>
                <w:sz w:val="24"/>
                <w:szCs w:val="24"/>
              </w:rPr>
            </w:pPr>
            <w:r w:rsidRPr="00D574CD">
              <w:rPr>
                <w:rFonts w:ascii="Times New Roman" w:hAnsi="Times New Roman" w:cs="Times New Roman"/>
                <w:sz w:val="24"/>
                <w:szCs w:val="24"/>
              </w:rPr>
              <w:t>On Track / Acceptable</w:t>
            </w:r>
          </w:p>
        </w:tc>
        <w:tc>
          <w:tcPr>
            <w:tcW w:w="5224" w:type="dxa"/>
          </w:tcPr>
          <w:p w14:paraId="76DB424F" w14:textId="77777777" w:rsidR="005C6EEC" w:rsidRPr="00D574CD" w:rsidRDefault="00000000">
            <w:pPr>
              <w:rPr>
                <w:rFonts w:ascii="Times New Roman" w:hAnsi="Times New Roman" w:cs="Times New Roman"/>
                <w:sz w:val="24"/>
                <w:szCs w:val="24"/>
              </w:rPr>
            </w:pPr>
            <w:r w:rsidRPr="00D574CD">
              <w:rPr>
                <w:rFonts w:ascii="Times New Roman" w:hAnsi="Times New Roman" w:cs="Times New Roman"/>
                <w:sz w:val="24"/>
                <w:szCs w:val="24"/>
              </w:rPr>
              <w:t>Within PPA Band — Acceptable. Continue routine monitoring.</w:t>
            </w:r>
          </w:p>
        </w:tc>
      </w:tr>
      <w:tr w:rsidR="005C6EEC" w:rsidRPr="00D574CD" w14:paraId="665D1CFB" w14:textId="77777777" w:rsidTr="00D574CD">
        <w:tc>
          <w:tcPr>
            <w:tcW w:w="2200" w:type="dxa"/>
          </w:tcPr>
          <w:p w14:paraId="14442F5F" w14:textId="77777777" w:rsidR="005C6EEC" w:rsidRPr="00D574CD" w:rsidRDefault="00000000">
            <w:pPr>
              <w:rPr>
                <w:rFonts w:ascii="Times New Roman" w:hAnsi="Times New Roman" w:cs="Times New Roman"/>
                <w:sz w:val="24"/>
                <w:szCs w:val="24"/>
              </w:rPr>
            </w:pPr>
            <w:r w:rsidRPr="00D574CD">
              <w:rPr>
                <w:rFonts w:ascii="Times New Roman" w:hAnsi="Times New Roman" w:cs="Times New Roman"/>
                <w:b/>
                <w:bCs/>
                <w:sz w:val="24"/>
                <w:szCs w:val="24"/>
              </w:rPr>
              <w:t>≥ 95%</w:t>
            </w:r>
          </w:p>
        </w:tc>
        <w:tc>
          <w:tcPr>
            <w:tcW w:w="2800" w:type="dxa"/>
          </w:tcPr>
          <w:p w14:paraId="16DA1B58" w14:textId="77777777" w:rsidR="005C6EEC" w:rsidRPr="00D574CD" w:rsidRDefault="00000000">
            <w:pPr>
              <w:rPr>
                <w:rFonts w:ascii="Times New Roman" w:hAnsi="Times New Roman" w:cs="Times New Roman"/>
                <w:sz w:val="24"/>
                <w:szCs w:val="24"/>
              </w:rPr>
            </w:pPr>
            <w:r w:rsidRPr="00D574CD">
              <w:rPr>
                <w:rFonts w:ascii="Times New Roman" w:hAnsi="Times New Roman" w:cs="Times New Roman"/>
                <w:sz w:val="24"/>
                <w:szCs w:val="24"/>
              </w:rPr>
              <w:t>Excellent / Strong</w:t>
            </w:r>
          </w:p>
        </w:tc>
        <w:tc>
          <w:tcPr>
            <w:tcW w:w="5224" w:type="dxa"/>
          </w:tcPr>
          <w:p w14:paraId="4857AB8D" w14:textId="77777777" w:rsidR="005C6EEC" w:rsidRPr="00D574CD" w:rsidRDefault="00000000">
            <w:pPr>
              <w:rPr>
                <w:rFonts w:ascii="Times New Roman" w:hAnsi="Times New Roman" w:cs="Times New Roman"/>
                <w:sz w:val="24"/>
                <w:szCs w:val="24"/>
              </w:rPr>
            </w:pPr>
            <w:r w:rsidRPr="00D574CD">
              <w:rPr>
                <w:rFonts w:ascii="Times New Roman" w:hAnsi="Times New Roman" w:cs="Times New Roman"/>
                <w:sz w:val="24"/>
                <w:szCs w:val="24"/>
              </w:rPr>
              <w:t>Above 95% — Strong performance. No immediate action required.</w:t>
            </w:r>
          </w:p>
        </w:tc>
      </w:tr>
    </w:tbl>
    <w:p w14:paraId="1D2DC471" w14:textId="77777777" w:rsidR="005C6EEC" w:rsidRPr="00D574CD" w:rsidRDefault="00000000" w:rsidP="00D574CD">
      <w:pPr>
        <w:pStyle w:val="Heading1"/>
        <w:shd w:val="clear" w:color="auto" w:fill="000000" w:themeFill="text1"/>
        <w:rPr>
          <w:rFonts w:ascii="Times New Roman" w:hAnsi="Times New Roman" w:cs="Times New Roman"/>
          <w:color w:val="FFFFFF" w:themeColor="background1"/>
        </w:rPr>
      </w:pPr>
      <w:r w:rsidRPr="00D574CD">
        <w:rPr>
          <w:rFonts w:ascii="Times New Roman" w:hAnsi="Times New Roman" w:cs="Times New Roman"/>
          <w:color w:val="FFFFFF" w:themeColor="background1"/>
        </w:rPr>
        <w:t>9. Assumptions &amp; Limitations</w:t>
      </w:r>
    </w:p>
    <w:p w14:paraId="241E3B9F" w14:textId="77777777" w:rsidR="00D574CD" w:rsidRPr="00D574CD" w:rsidRDefault="00000000" w:rsidP="00D574CD">
      <w:pPr>
        <w:pStyle w:val="ListParagraph"/>
        <w:numPr>
          <w:ilvl w:val="0"/>
          <w:numId w:val="3"/>
        </w:numPr>
        <w:spacing w:after="40"/>
        <w:jc w:val="both"/>
        <w:rPr>
          <w:rFonts w:ascii="Times New Roman" w:hAnsi="Times New Roman" w:cs="Times New Roman"/>
          <w:sz w:val="28"/>
          <w:szCs w:val="28"/>
        </w:rPr>
      </w:pPr>
      <w:r w:rsidRPr="00D574CD">
        <w:rPr>
          <w:rFonts w:ascii="Times New Roman" w:hAnsi="Times New Roman" w:cs="Times New Roman"/>
          <w:sz w:val="24"/>
          <w:szCs w:val="24"/>
        </w:rPr>
        <w:t xml:space="preserve">AvailableHours is assumed to be measured on a 24-hour day basis. Lost hours are calculated as </w:t>
      </w:r>
    </w:p>
    <w:p w14:paraId="7FD5F52B" w14:textId="05EE5ACE" w:rsidR="005C6EEC" w:rsidRPr="00D574CD" w:rsidRDefault="00000000" w:rsidP="00D574CD">
      <w:pPr>
        <w:pStyle w:val="ListParagraph"/>
        <w:numPr>
          <w:ilvl w:val="0"/>
          <w:numId w:val="3"/>
        </w:numPr>
        <w:spacing w:after="40"/>
        <w:jc w:val="both"/>
        <w:rPr>
          <w:rFonts w:ascii="Times New Roman" w:hAnsi="Times New Roman" w:cs="Times New Roman"/>
          <w:sz w:val="28"/>
          <w:szCs w:val="28"/>
        </w:rPr>
      </w:pPr>
      <w:r w:rsidRPr="00D574CD">
        <w:rPr>
          <w:rFonts w:ascii="Times New Roman" w:hAnsi="Times New Roman" w:cs="Times New Roman"/>
          <w:sz w:val="24"/>
          <w:szCs w:val="24"/>
        </w:rPr>
        <w:t>24 − AvailableHours with NULL-safe handling.</w:t>
      </w:r>
    </w:p>
    <w:p w14:paraId="4E2B75D2" w14:textId="77777777" w:rsidR="005C6EEC" w:rsidRPr="00D574CD" w:rsidRDefault="00000000" w:rsidP="00D574CD">
      <w:pPr>
        <w:pStyle w:val="ListParagraph"/>
        <w:numPr>
          <w:ilvl w:val="0"/>
          <w:numId w:val="3"/>
        </w:numPr>
        <w:spacing w:after="40"/>
        <w:jc w:val="both"/>
        <w:rPr>
          <w:rFonts w:ascii="Times New Roman" w:hAnsi="Times New Roman" w:cs="Times New Roman"/>
          <w:sz w:val="28"/>
          <w:szCs w:val="28"/>
        </w:rPr>
      </w:pPr>
      <w:r w:rsidRPr="00D574CD">
        <w:rPr>
          <w:rFonts w:ascii="Times New Roman" w:hAnsi="Times New Roman" w:cs="Times New Roman"/>
          <w:sz w:val="24"/>
          <w:szCs w:val="24"/>
        </w:rPr>
        <w:t>Only active assets (IsActive = 1) are included. Decommissioned assets are excluded from all analysis.</w:t>
      </w:r>
    </w:p>
    <w:p w14:paraId="7453D539" w14:textId="3E7AD775" w:rsidR="005C6EEC" w:rsidRPr="00D574CD" w:rsidRDefault="00000000" w:rsidP="00D574CD">
      <w:pPr>
        <w:pStyle w:val="ListParagraph"/>
        <w:numPr>
          <w:ilvl w:val="0"/>
          <w:numId w:val="3"/>
        </w:numPr>
        <w:spacing w:after="40"/>
        <w:jc w:val="both"/>
        <w:rPr>
          <w:rFonts w:ascii="Times New Roman" w:hAnsi="Times New Roman" w:cs="Times New Roman"/>
          <w:sz w:val="28"/>
          <w:szCs w:val="28"/>
        </w:rPr>
      </w:pPr>
      <w:r w:rsidRPr="00D574CD">
        <w:rPr>
          <w:rFonts w:ascii="Times New Roman" w:hAnsi="Times New Roman" w:cs="Times New Roman"/>
          <w:sz w:val="24"/>
          <w:szCs w:val="24"/>
        </w:rPr>
        <w:t xml:space="preserve">Peer average (DiffFromRegionalTypeAvg) is calculated across the full history for that AssetType + Region combination; it is not </w:t>
      </w:r>
      <w:r w:rsidR="00D574CD" w:rsidRPr="00D574CD">
        <w:rPr>
          <w:rFonts w:ascii="Times New Roman" w:hAnsi="Times New Roman" w:cs="Times New Roman"/>
          <w:sz w:val="24"/>
          <w:szCs w:val="24"/>
        </w:rPr>
        <w:t>year specific</w:t>
      </w:r>
      <w:r w:rsidRPr="00D574CD">
        <w:rPr>
          <w:rFonts w:ascii="Times New Roman" w:hAnsi="Times New Roman" w:cs="Times New Roman"/>
          <w:sz w:val="24"/>
          <w:szCs w:val="24"/>
        </w:rPr>
        <w:t>.</w:t>
      </w:r>
    </w:p>
    <w:p w14:paraId="48D743DF" w14:textId="16258EE7" w:rsidR="00D574CD" w:rsidRPr="00D574CD" w:rsidRDefault="00000000" w:rsidP="00D574CD">
      <w:pPr>
        <w:pStyle w:val="ListParagraph"/>
        <w:numPr>
          <w:ilvl w:val="0"/>
          <w:numId w:val="3"/>
        </w:numPr>
        <w:spacing w:after="200"/>
        <w:jc w:val="both"/>
        <w:rPr>
          <w:rFonts w:ascii="Times New Roman" w:hAnsi="Times New Roman" w:cs="Times New Roman"/>
          <w:sz w:val="28"/>
          <w:szCs w:val="28"/>
        </w:rPr>
      </w:pPr>
      <w:r w:rsidRPr="00D574CD">
        <w:rPr>
          <w:rFonts w:ascii="Times New Roman" w:hAnsi="Times New Roman" w:cs="Times New Roman"/>
          <w:sz w:val="24"/>
          <w:szCs w:val="24"/>
        </w:rPr>
        <w:t>Quarter-over-quarter change requires at least two consecutive quarters of data for a given asset type.</w:t>
      </w:r>
    </w:p>
    <w:p w14:paraId="56B4E6B2" w14:textId="36E211BD" w:rsidR="005C6EEC" w:rsidRDefault="005C6EEC">
      <w:pPr>
        <w:spacing w:before="60"/>
      </w:pPr>
    </w:p>
    <w:sectPr w:rsidR="005C6EEC">
      <w:headerReference w:type="default" r:id="rId7"/>
      <w:footerReference w:type="default" r:id="rId8"/>
      <w:pgSz w:w="12240" w:h="15840"/>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13EA2" w14:textId="77777777" w:rsidR="00E66F69" w:rsidRDefault="00E66F69">
      <w:r>
        <w:separator/>
      </w:r>
    </w:p>
  </w:endnote>
  <w:endnote w:type="continuationSeparator" w:id="0">
    <w:p w14:paraId="0D23A5FA" w14:textId="77777777" w:rsidR="00E66F69" w:rsidRDefault="00E66F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A0C29" w14:textId="77777777" w:rsidR="005C6EEC"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DA72DD">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DA72DD">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F3E95" w14:textId="77777777" w:rsidR="00E66F69" w:rsidRDefault="00E66F69">
      <w:r>
        <w:separator/>
      </w:r>
    </w:p>
  </w:footnote>
  <w:footnote w:type="continuationSeparator" w:id="0">
    <w:p w14:paraId="17F98349" w14:textId="77777777" w:rsidR="00E66F69" w:rsidRDefault="00E66F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30F4E" w14:textId="34BF5D74" w:rsidR="005C6EEC" w:rsidRPr="00DA72DD" w:rsidRDefault="00000000" w:rsidP="00D71D3C">
    <w:pPr>
      <w:pBdr>
        <w:bottom w:val="single" w:sz="6" w:space="4" w:color="1F4E79"/>
      </w:pBdr>
      <w:shd w:val="clear" w:color="auto" w:fill="0E2841" w:themeFill="text2"/>
      <w:rPr>
        <w:rFonts w:ascii="Times New Roman" w:hAnsi="Times New Roman" w:cs="Times New Roman"/>
        <w:b/>
        <w:bCs/>
        <w:color w:val="FFFFFF" w:themeColor="background1"/>
        <w:sz w:val="28"/>
        <w:szCs w:val="28"/>
      </w:rPr>
    </w:pPr>
    <w:r w:rsidRPr="00DA72DD">
      <w:rPr>
        <w:rFonts w:ascii="Times New Roman" w:hAnsi="Times New Roman" w:cs="Times New Roman"/>
        <w:b/>
        <w:bCs/>
        <w:i/>
        <w:iCs/>
        <w:color w:val="FFFFFF" w:themeColor="background1"/>
      </w:rPr>
      <w:t xml:space="preserve">Energy Fleet Availability </w:t>
    </w:r>
    <w:r w:rsidR="00DA72DD" w:rsidRPr="00DA72DD">
      <w:rPr>
        <w:rFonts w:ascii="Times New Roman" w:hAnsi="Times New Roman" w:cs="Times New Roman"/>
        <w:b/>
        <w:bCs/>
        <w:i/>
        <w:iCs/>
        <w:color w:val="FFFFFF" w:themeColor="background1"/>
      </w:rPr>
      <w:t>Analysis</w:t>
    </w:r>
    <w:r w:rsidR="00DA72DD" w:rsidRPr="00DA72DD">
      <w:rPr>
        <w:rFonts w:ascii="Times New Roman" w:hAnsi="Times New Roman" w:cs="Times New Roman"/>
        <w:b/>
        <w:bCs/>
        <w:color w:val="FFFFFF" w:themeColor="background1"/>
      </w:rPr>
      <w:t xml:space="preserve"> |</w:t>
    </w:r>
    <w:r w:rsidRPr="00DA72DD">
      <w:rPr>
        <w:rFonts w:ascii="Times New Roman" w:hAnsi="Times New Roman" w:cs="Times New Roman"/>
        <w:b/>
        <w:bCs/>
        <w:color w:val="FFFFFF" w:themeColor="background1"/>
      </w:rPr>
      <w:t xml:space="preserve"> Case Study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9691A"/>
    <w:multiLevelType w:val="hybridMultilevel"/>
    <w:tmpl w:val="BF2234C0"/>
    <w:lvl w:ilvl="0" w:tplc="23F61772">
      <w:start w:val="1"/>
      <w:numFmt w:val="decimal"/>
      <w:lvlText w:val="%1."/>
      <w:lvlJc w:val="left"/>
      <w:pPr>
        <w:ind w:left="720" w:hanging="360"/>
      </w:pPr>
    </w:lvl>
    <w:lvl w:ilvl="1" w:tplc="BBEAB4A6">
      <w:numFmt w:val="decimal"/>
      <w:lvlText w:val=""/>
      <w:lvlJc w:val="left"/>
    </w:lvl>
    <w:lvl w:ilvl="2" w:tplc="F83818F8">
      <w:numFmt w:val="decimal"/>
      <w:lvlText w:val=""/>
      <w:lvlJc w:val="left"/>
    </w:lvl>
    <w:lvl w:ilvl="3" w:tplc="6522442C">
      <w:numFmt w:val="decimal"/>
      <w:lvlText w:val=""/>
      <w:lvlJc w:val="left"/>
    </w:lvl>
    <w:lvl w:ilvl="4" w:tplc="DF4CEC32">
      <w:numFmt w:val="decimal"/>
      <w:lvlText w:val=""/>
      <w:lvlJc w:val="left"/>
    </w:lvl>
    <w:lvl w:ilvl="5" w:tplc="E16435CC">
      <w:numFmt w:val="decimal"/>
      <w:lvlText w:val=""/>
      <w:lvlJc w:val="left"/>
    </w:lvl>
    <w:lvl w:ilvl="6" w:tplc="389E88BE">
      <w:numFmt w:val="decimal"/>
      <w:lvlText w:val=""/>
      <w:lvlJc w:val="left"/>
    </w:lvl>
    <w:lvl w:ilvl="7" w:tplc="4038F8F2">
      <w:numFmt w:val="decimal"/>
      <w:lvlText w:val=""/>
      <w:lvlJc w:val="left"/>
    </w:lvl>
    <w:lvl w:ilvl="8" w:tplc="26F26302">
      <w:numFmt w:val="decimal"/>
      <w:lvlText w:val=""/>
      <w:lvlJc w:val="left"/>
    </w:lvl>
  </w:abstractNum>
  <w:abstractNum w:abstractNumId="1" w15:restartNumberingAfterBreak="0">
    <w:nsid w:val="29A675E4"/>
    <w:multiLevelType w:val="hybridMultilevel"/>
    <w:tmpl w:val="E976F1BA"/>
    <w:lvl w:ilvl="0" w:tplc="0FAA338C">
      <w:start w:val="1"/>
      <w:numFmt w:val="bullet"/>
      <w:lvlText w:val="●"/>
      <w:lvlJc w:val="left"/>
      <w:pPr>
        <w:ind w:left="720" w:hanging="360"/>
      </w:pPr>
    </w:lvl>
    <w:lvl w:ilvl="1" w:tplc="D4E2770A">
      <w:start w:val="1"/>
      <w:numFmt w:val="bullet"/>
      <w:lvlText w:val="○"/>
      <w:lvlJc w:val="left"/>
      <w:pPr>
        <w:ind w:left="1440" w:hanging="360"/>
      </w:pPr>
    </w:lvl>
    <w:lvl w:ilvl="2" w:tplc="14C65B58">
      <w:start w:val="1"/>
      <w:numFmt w:val="bullet"/>
      <w:lvlText w:val="■"/>
      <w:lvlJc w:val="left"/>
      <w:pPr>
        <w:ind w:left="2160" w:hanging="360"/>
      </w:pPr>
    </w:lvl>
    <w:lvl w:ilvl="3" w:tplc="B04C0392">
      <w:start w:val="1"/>
      <w:numFmt w:val="bullet"/>
      <w:lvlText w:val="●"/>
      <w:lvlJc w:val="left"/>
      <w:pPr>
        <w:ind w:left="2880" w:hanging="360"/>
      </w:pPr>
    </w:lvl>
    <w:lvl w:ilvl="4" w:tplc="3F7CCCA8">
      <w:start w:val="1"/>
      <w:numFmt w:val="bullet"/>
      <w:lvlText w:val="○"/>
      <w:lvlJc w:val="left"/>
      <w:pPr>
        <w:ind w:left="3600" w:hanging="360"/>
      </w:pPr>
    </w:lvl>
    <w:lvl w:ilvl="5" w:tplc="D2E4358A">
      <w:start w:val="1"/>
      <w:numFmt w:val="bullet"/>
      <w:lvlText w:val="■"/>
      <w:lvlJc w:val="left"/>
      <w:pPr>
        <w:ind w:left="4320" w:hanging="360"/>
      </w:pPr>
    </w:lvl>
    <w:lvl w:ilvl="6" w:tplc="4002D80C">
      <w:start w:val="1"/>
      <w:numFmt w:val="bullet"/>
      <w:lvlText w:val="●"/>
      <w:lvlJc w:val="left"/>
      <w:pPr>
        <w:ind w:left="5040" w:hanging="360"/>
      </w:pPr>
    </w:lvl>
    <w:lvl w:ilvl="7" w:tplc="D2A482FC">
      <w:start w:val="1"/>
      <w:numFmt w:val="bullet"/>
      <w:lvlText w:val="●"/>
      <w:lvlJc w:val="left"/>
      <w:pPr>
        <w:ind w:left="5760" w:hanging="360"/>
      </w:pPr>
    </w:lvl>
    <w:lvl w:ilvl="8" w:tplc="5DDADCC8">
      <w:start w:val="1"/>
      <w:numFmt w:val="bullet"/>
      <w:lvlText w:val="●"/>
      <w:lvlJc w:val="left"/>
      <w:pPr>
        <w:ind w:left="6480" w:hanging="360"/>
      </w:pPr>
    </w:lvl>
  </w:abstractNum>
  <w:abstractNum w:abstractNumId="2" w15:restartNumberingAfterBreak="0">
    <w:nsid w:val="3D326473"/>
    <w:multiLevelType w:val="hybridMultilevel"/>
    <w:tmpl w:val="D004E4D4"/>
    <w:lvl w:ilvl="0" w:tplc="2B42088E">
      <w:start w:val="1"/>
      <w:numFmt w:val="bullet"/>
      <w:lvlText w:val="•"/>
      <w:lvlJc w:val="left"/>
      <w:pPr>
        <w:ind w:left="720" w:hanging="360"/>
      </w:pPr>
    </w:lvl>
    <w:lvl w:ilvl="1" w:tplc="7D905BB8">
      <w:numFmt w:val="decimal"/>
      <w:lvlText w:val=""/>
      <w:lvlJc w:val="left"/>
    </w:lvl>
    <w:lvl w:ilvl="2" w:tplc="0CD6DE62">
      <w:numFmt w:val="decimal"/>
      <w:lvlText w:val=""/>
      <w:lvlJc w:val="left"/>
    </w:lvl>
    <w:lvl w:ilvl="3" w:tplc="0CCAF07E">
      <w:numFmt w:val="decimal"/>
      <w:lvlText w:val=""/>
      <w:lvlJc w:val="left"/>
    </w:lvl>
    <w:lvl w:ilvl="4" w:tplc="BF2ECBE8">
      <w:numFmt w:val="decimal"/>
      <w:lvlText w:val=""/>
      <w:lvlJc w:val="left"/>
    </w:lvl>
    <w:lvl w:ilvl="5" w:tplc="F74CD4E2">
      <w:numFmt w:val="decimal"/>
      <w:lvlText w:val=""/>
      <w:lvlJc w:val="left"/>
    </w:lvl>
    <w:lvl w:ilvl="6" w:tplc="7F20675E">
      <w:numFmt w:val="decimal"/>
      <w:lvlText w:val=""/>
      <w:lvlJc w:val="left"/>
    </w:lvl>
    <w:lvl w:ilvl="7" w:tplc="E5627386">
      <w:numFmt w:val="decimal"/>
      <w:lvlText w:val=""/>
      <w:lvlJc w:val="left"/>
    </w:lvl>
    <w:lvl w:ilvl="8" w:tplc="60389AF0">
      <w:numFmt w:val="decimal"/>
      <w:lvlText w:val=""/>
      <w:lvlJc w:val="left"/>
    </w:lvl>
  </w:abstractNum>
  <w:abstractNum w:abstractNumId="3" w15:restartNumberingAfterBreak="0">
    <w:nsid w:val="61A07A01"/>
    <w:multiLevelType w:val="hybridMultilevel"/>
    <w:tmpl w:val="A6688C8A"/>
    <w:lvl w:ilvl="0" w:tplc="18E4387A">
      <w:start w:val="1"/>
      <w:numFmt w:val="bullet"/>
      <w:lvlText w:val="•"/>
      <w:lvlJc w:val="left"/>
      <w:pPr>
        <w:ind w:left="720" w:hanging="360"/>
      </w:pPr>
    </w:lvl>
    <w:lvl w:ilvl="1" w:tplc="F7A894BC">
      <w:numFmt w:val="decimal"/>
      <w:lvlText w:val=""/>
      <w:lvlJc w:val="left"/>
    </w:lvl>
    <w:lvl w:ilvl="2" w:tplc="948AE5A4">
      <w:numFmt w:val="decimal"/>
      <w:lvlText w:val=""/>
      <w:lvlJc w:val="left"/>
    </w:lvl>
    <w:lvl w:ilvl="3" w:tplc="7938BB06">
      <w:numFmt w:val="decimal"/>
      <w:lvlText w:val=""/>
      <w:lvlJc w:val="left"/>
    </w:lvl>
    <w:lvl w:ilvl="4" w:tplc="5322CD42">
      <w:numFmt w:val="decimal"/>
      <w:lvlText w:val=""/>
      <w:lvlJc w:val="left"/>
    </w:lvl>
    <w:lvl w:ilvl="5" w:tplc="E25EF588">
      <w:numFmt w:val="decimal"/>
      <w:lvlText w:val=""/>
      <w:lvlJc w:val="left"/>
    </w:lvl>
    <w:lvl w:ilvl="6" w:tplc="030083D4">
      <w:numFmt w:val="decimal"/>
      <w:lvlText w:val=""/>
      <w:lvlJc w:val="left"/>
    </w:lvl>
    <w:lvl w:ilvl="7" w:tplc="E5B86430">
      <w:numFmt w:val="decimal"/>
      <w:lvlText w:val=""/>
      <w:lvlJc w:val="left"/>
    </w:lvl>
    <w:lvl w:ilvl="8" w:tplc="1CB81AA6">
      <w:numFmt w:val="decimal"/>
      <w:lvlText w:val=""/>
      <w:lvlJc w:val="left"/>
    </w:lvl>
  </w:abstractNum>
  <w:abstractNum w:abstractNumId="4" w15:restartNumberingAfterBreak="0">
    <w:nsid w:val="76FA21E5"/>
    <w:multiLevelType w:val="hybridMultilevel"/>
    <w:tmpl w:val="4DB0D8C2"/>
    <w:lvl w:ilvl="0" w:tplc="08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790851454">
    <w:abstractNumId w:val="1"/>
    <w:lvlOverride w:ilvl="0">
      <w:startOverride w:val="1"/>
    </w:lvlOverride>
  </w:num>
  <w:num w:numId="2" w16cid:durableId="1331641460">
    <w:abstractNumId w:val="0"/>
    <w:lvlOverride w:ilvl="0">
      <w:startOverride w:val="1"/>
    </w:lvlOverride>
  </w:num>
  <w:num w:numId="3" w16cid:durableId="1768577552">
    <w:abstractNumId w:val="2"/>
    <w:lvlOverride w:ilvl="0">
      <w:startOverride w:val="1"/>
    </w:lvlOverride>
  </w:num>
  <w:num w:numId="4" w16cid:durableId="986470824">
    <w:abstractNumId w:val="3"/>
    <w:lvlOverride w:ilvl="0">
      <w:startOverride w:val="1"/>
    </w:lvlOverride>
  </w:num>
  <w:num w:numId="5" w16cid:durableId="2131778930">
    <w:abstractNumId w:val="3"/>
  </w:num>
  <w:num w:numId="6" w16cid:durableId="1440522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EEC"/>
    <w:rsid w:val="00000537"/>
    <w:rsid w:val="005C6EEC"/>
    <w:rsid w:val="00D574CD"/>
    <w:rsid w:val="00D71D3C"/>
    <w:rsid w:val="00DA72DD"/>
    <w:rsid w:val="00E66F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471A8"/>
  <w15:docId w15:val="{2F0661E3-9BA4-4FD2-8C7B-4D6A2D736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spacing w:before="20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A72DD"/>
    <w:pPr>
      <w:tabs>
        <w:tab w:val="center" w:pos="4513"/>
        <w:tab w:val="right" w:pos="9026"/>
      </w:tabs>
    </w:pPr>
  </w:style>
  <w:style w:type="character" w:customStyle="1" w:styleId="HeaderChar">
    <w:name w:val="Header Char"/>
    <w:basedOn w:val="DefaultParagraphFont"/>
    <w:link w:val="Header"/>
    <w:uiPriority w:val="99"/>
    <w:rsid w:val="00DA72DD"/>
  </w:style>
  <w:style w:type="paragraph" w:styleId="Footer">
    <w:name w:val="footer"/>
    <w:basedOn w:val="Normal"/>
    <w:link w:val="FooterChar"/>
    <w:uiPriority w:val="99"/>
    <w:unhideWhenUsed/>
    <w:rsid w:val="00DA72DD"/>
    <w:pPr>
      <w:tabs>
        <w:tab w:val="center" w:pos="4513"/>
        <w:tab w:val="right" w:pos="9026"/>
      </w:tabs>
    </w:pPr>
  </w:style>
  <w:style w:type="character" w:customStyle="1" w:styleId="FooterChar">
    <w:name w:val="Footer Char"/>
    <w:basedOn w:val="DefaultParagraphFont"/>
    <w:link w:val="Footer"/>
    <w:uiPriority w:val="99"/>
    <w:rsid w:val="00DA72DD"/>
  </w:style>
  <w:style w:type="table" w:styleId="TableGrid">
    <w:name w:val="Table Grid"/>
    <w:basedOn w:val="TableNormal"/>
    <w:uiPriority w:val="39"/>
    <w:rsid w:val="00DA72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1025</Words>
  <Characters>6709</Characters>
  <Application>Microsoft Office Word</Application>
  <DocSecurity>0</DocSecurity>
  <Lines>167</Lines>
  <Paragraphs>128</Paragraphs>
  <ScaleCrop>false</ScaleCrop>
  <HeadingPairs>
    <vt:vector size="2" baseType="variant">
      <vt:variant>
        <vt:lpstr>Title</vt:lpstr>
      </vt:variant>
      <vt:variant>
        <vt:i4>1</vt:i4>
      </vt:variant>
    </vt:vector>
  </HeadingPairs>
  <TitlesOfParts>
    <vt:vector size="1" baseType="lpstr">
      <vt:lpstr/>
    </vt:vector>
  </TitlesOfParts>
  <Company>Aston University</Company>
  <LinksUpToDate>false</LinksUpToDate>
  <CharactersWithSpaces>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Danish</cp:lastModifiedBy>
  <cp:revision>2</cp:revision>
  <dcterms:created xsi:type="dcterms:W3CDTF">2026-09-23T16:24:00Z</dcterms:created>
  <dcterms:modified xsi:type="dcterms:W3CDTF">2026-09-23T16:24:00Z</dcterms:modified>
</cp:coreProperties>
</file>