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KYC and AML/CTF Policy</w:t>
      </w:r>
    </w:p>
    <w:p>
      <w:r>
        <w:t>Synthetic demo document — fictional company, not real data.</w:t>
      </w:r>
    </w:p>
    <w:p>
      <w:r>
        <w:t>Kestrel Pay Pty Ltd. Policy CMP-01, version 5.0, approved by the Board on 14 May 2026. Classification: Internal - Compliance. Policy owner: Dana Whitfield, AML/CTF Compliance Officer.</w:t>
      </w:r>
    </w:p>
    <w:p>
      <w:pPr>
        <w:pStyle w:val="Heading2"/>
      </w:pPr>
      <w:r>
        <w:t>1. Purpose and Scope</w:t>
      </w:r>
    </w:p>
    <w:p>
      <w:r>
        <w:t>This policy sets out how Kestrel Pay identifies and verifies its customers (Know Your Customer, KYC) and how it detects and reports money laundering and terrorism financing (AML/CTF). It applies to all employees, contractors and outsourced service providers who open accounts, process payments or review customer activity.</w:t>
      </w:r>
    </w:p>
    <w:p>
      <w:pPr>
        <w:pStyle w:val="Heading2"/>
      </w:pPr>
      <w:r>
        <w:t>2. Customer Due Diligence Tiers</w:t>
      </w:r>
    </w:p>
    <w:p>
      <w:r>
        <w:t>Every customer is placed in one of three due diligence tiers when the account is opened. The tier decides what must be verified and how often the customer is reviewed.</w:t>
      </w:r>
    </w:p>
    <w:p>
      <w:pPr>
        <w:pStyle w:val="Heading3"/>
      </w:pPr>
      <w:r>
        <w:t>2.1 Simplified Due Diligence</w:t>
      </w:r>
    </w:p>
    <w:p>
      <w:r>
        <w:t>Simplified due diligence applies to Everyday accounts whose balance stays below $1,000 and which cannot send international transfers. The customer's full name and date of birth are verified electronically against two independent data sources.</w:t>
      </w:r>
    </w:p>
    <w:p>
      <w:pPr>
        <w:pStyle w:val="Heading3"/>
      </w:pPr>
      <w:r>
        <w:t>2.2 Standard Due Diligence</w:t>
      </w:r>
    </w:p>
    <w:p>
      <w:r>
        <w:t>Standard due diligence applies to all other personal and business accounts. The customer must provide a current government-issued photo ID and proof of residential address, and verification must be completed within 3 business days of the account being opened. Until verification is complete, outgoing transfers are blocked.</w:t>
      </w:r>
    </w:p>
    <w:p>
      <w:pPr>
        <w:pStyle w:val="Heading3"/>
      </w:pPr>
      <w:r>
        <w:t>2.3 Enhanced Due Diligence</w:t>
      </w:r>
    </w:p>
    <w:p>
      <w:r>
        <w:t>Enhanced due diligence (EDD) applies when any of the triggers in section 3 is present. EDD requires the customer to explain and document their source of funds and source of wealth. The Head of Compliance must approve the relationship within 5 business days of the trigger being identified, otherwise the account is restricted.</w:t>
      </w:r>
    </w:p>
    <w:p>
      <w:pPr>
        <w:pStyle w:val="Heading2"/>
      </w:pPr>
      <w:r>
        <w:t>3. Enhanced Due Diligence Triggers</w:t>
      </w:r>
    </w:p>
    <w:p>
      <w:pPr>
        <w:pStyle w:val="ListBullet"/>
      </w:pPr>
      <w:r>
        <w:t>The customer, or a beneficial owner, is a politically exposed person (PEP) or a close associate or family member of a PEP.</w:t>
      </w:r>
    </w:p>
    <w:p>
      <w:pPr>
        <w:pStyle w:val="ListBullet"/>
      </w:pPr>
      <w:r>
        <w:t>The customer lives in, or regularly transacts with, a country on the Kestrel high-risk jurisdictions list maintained by Compliance.</w:t>
      </w:r>
    </w:p>
    <w:p>
      <w:pPr>
        <w:pStyle w:val="ListBullet"/>
      </w:pPr>
      <w:r>
        <w:t>Outgoing international transfers total more than $50,000 within any 30 day period.</w:t>
      </w:r>
    </w:p>
    <w:p>
      <w:pPr>
        <w:pStyle w:val="ListBullet"/>
      </w:pPr>
      <w:r>
        <w:t>Cash deposits appear to be structured to avoid the $10,000 reporting threshold.</w:t>
      </w:r>
    </w:p>
    <w:p>
      <w:pPr>
        <w:pStyle w:val="ListBullet"/>
      </w:pPr>
      <w:r>
        <w:t>A business customer has a complex ownership structure, or an individual owning 25% or more of the business cannot be identified.</w:t>
      </w:r>
    </w:p>
    <w:p>
      <w:pPr>
        <w:pStyle w:val="Heading2"/>
      </w:pPr>
      <w:r>
        <w:t>4. Threshold Transaction Reporting</w:t>
      </w:r>
    </w:p>
    <w:p>
      <w:r>
        <w:t>Any cash transaction of $10,000 or more, or its foreign currency equivalent, must be reported to the Financial Intelligence Unit (FIU) within 10 business days of the transaction. Reports are prepared automatically by the transaction monitoring system and reviewed by the Compliance team before submission.</w:t>
      </w:r>
    </w:p>
    <w:p>
      <w:pPr>
        <w:pStyle w:val="Heading2"/>
      </w:pPr>
      <w:r>
        <w:t>5. Suspicious Matter Reporting</w:t>
      </w:r>
    </w:p>
    <w:p>
      <w:r>
        <w:t>Any employee who suspects that a customer or transaction may be linked to money laundering, terrorism financing, fraud or tax evasion must raise an internal alert with Compliance on the same day.</w:t>
      </w:r>
    </w:p>
    <w:p>
      <w:pPr>
        <w:pStyle w:val="ListBullet"/>
      </w:pPr>
      <w:r>
        <w:t>A suspicious matter report must be submitted to the FIU within 3 business days of forming the suspicion.</w:t>
      </w:r>
    </w:p>
    <w:p>
      <w:pPr>
        <w:pStyle w:val="ListBullet"/>
      </w:pPr>
      <w:r>
        <w:t>If the suspicion relates to terrorism financing, the report must be submitted within 24 hours.</w:t>
      </w:r>
    </w:p>
    <w:p>
      <w:pPr>
        <w:pStyle w:val="ListBullet"/>
      </w:pPr>
      <w:r>
        <w:t>Employees must never tell the customer, or anyone outside Compliance, that a report has been or may be made. Tipping off is a criminal offence.</w:t>
      </w:r>
    </w:p>
    <w:p>
      <w:pPr>
        <w:pStyle w:val="Heading2"/>
      </w:pPr>
      <w:r>
        <w:t>6. Ongoing Monitoring and Reviews</w:t>
      </w:r>
    </w:p>
    <w:p>
      <w:r>
        <w:t>Customer activity is monitored continuously by the transaction monitoring system. In addition, customer due diligence information must be refreshed on a set schedule.</w:t>
      </w:r>
    </w:p>
    <w:p>
      <w:pPr>
        <w:pStyle w:val="ListBullet"/>
      </w:pPr>
      <w:r>
        <w:t>High-risk customers (all EDD customers): reviewed every 12 months.</w:t>
      </w:r>
    </w:p>
    <w:p>
      <w:pPr>
        <w:pStyle w:val="ListBullet"/>
      </w:pPr>
      <w:r>
        <w:t>Standard customers: reviewed every 3 years, or earlier if a trigger event occurs.</w:t>
      </w:r>
    </w:p>
    <w:p>
      <w:pPr>
        <w:pStyle w:val="ListBullet"/>
      </w:pPr>
      <w:r>
        <w:t>Simplified customers: re-verified if they upgrade to an account type that allows international transfers.</w:t>
      </w:r>
    </w:p>
    <w:p>
      <w:pPr>
        <w:pStyle w:val="Heading2"/>
      </w:pPr>
      <w:r>
        <w:t>7. Record Keeping</w:t>
      </w:r>
    </w:p>
    <w:p>
      <w:r>
        <w:t>KYC documents, transaction records and reports made to the FIU must be kept for 7 years after the customer relationship ends. Records must be stored in the approved compliance archive and must not be kept in personal email or on local drives.</w:t>
      </w:r>
    </w:p>
    <w:p>
      <w:pPr>
        <w:pStyle w:val="Heading2"/>
      </w:pPr>
      <w:r>
        <w:t>8. Training</w:t>
      </w:r>
    </w:p>
    <w:p>
      <w:r>
        <w:t>All employees must complete the annual AML/CTF training module by 31 March each year. New employees must complete it within 30 days of starting. Completion is tracked by Compliance and reported to the Board quarterly.</w:t>
      </w:r>
    </w:p>
    <w:p>
      <w:pPr>
        <w:pStyle w:val="Heading2"/>
      </w:pPr>
      <w:r>
        <w:t>9. Roles and Responsibilities</w:t>
      </w:r>
    </w:p>
    <w:p>
      <w:pPr>
        <w:pStyle w:val="ListBullet"/>
      </w:pPr>
      <w:r>
        <w:t>AML/CTF Compliance Officer (Dana Whitfield): owns this policy, approves suspicious matter reports and is the contact for the FIU.</w:t>
      </w:r>
    </w:p>
    <w:p>
      <w:pPr>
        <w:pStyle w:val="ListBullet"/>
      </w:pPr>
      <w:r>
        <w:t>Head of Compliance: approves EDD relationships and reviews this policy every year.</w:t>
      </w:r>
    </w:p>
    <w:p>
      <w:pPr>
        <w:pStyle w:val="ListBullet"/>
      </w:pPr>
      <w:r>
        <w:t>Team leaders: make sure their teams complete training and escalate alerts promptly.</w:t>
      </w:r>
    </w:p>
    <w:p>
      <w:pPr>
        <w:pStyle w:val="ListBullet"/>
      </w:pPr>
      <w:r>
        <w:t>All employees: follow this policy and report suspicions without delay.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KYC and AML/CTF Policy</dc:title>
  <dc:subject/>
  <dc:creator>NEXA sample data generator</dc:creator>
  <cp:keywords/>
  <dc:description>Synthetic demo document - fictional company, not real data.</dc:description>
  <cp:lastModifiedBy>NEXA sample data generator</cp:lastModifiedBy>
  <cp:revision>1</cp:revision>
  <dcterms:created xsi:type="dcterms:W3CDTF">2026-01-01T00:00:00Z</dcterms:created>
  <dcterms:modified xsi:type="dcterms:W3CDTF">2026-01-01T00:00:00Z</dcterms:modified>
  <cp:category/>
</cp:coreProperties>
</file>