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 w:before="0"/>
        <w:jc w:val="center"/>
      </w:pPr>
      <w:r>
        <w:rPr>
          <w:rFonts w:ascii="Arial" w:cs="Arial" w:eastAsia="Arial" w:hAnsi="Arial"/>
          <w:b/>
          <w:bCs/>
          <w:color w:val="1F4E79"/>
          <w:sz w:val="64"/>
          <w:szCs w:val="64"/>
        </w:rPr>
        <w:t xml:space="preserve">MILESTONE 3</w:t>
      </w:r>
    </w:p>
    <w:p>
      <w:pPr>
        <w:spacing w:after="60" w:before="0"/>
        <w:jc w:val="center"/>
      </w:pPr>
      <w:r>
        <w:rPr>
          <w:rFonts w:ascii="Arial" w:cs="Arial" w:eastAsia="Arial" w:hAnsi="Arial"/>
          <w:b/>
          <w:bCs/>
          <w:color w:val="2471A3"/>
          <w:sz w:val="38"/>
          <w:szCs w:val="38"/>
        </w:rPr>
        <w:t xml:space="preserve">Faculty Information Storage System</w:t>
      </w:r>
    </w:p>
    <w:p>
      <w:pPr>
        <w:spacing w:after="280" w:before="0"/>
        <w:jc w:val="center"/>
      </w:pPr>
      <w:r>
        <w:rPr>
          <w:rFonts w:ascii="Arial" w:cs="Arial" w:eastAsia="Arial" w:hAnsi="Arial"/>
          <w:color w:val="5D8AA8"/>
          <w:sz w:val="26"/>
          <w:szCs w:val="26"/>
        </w:rPr>
        <w:t xml:space="preserve">Dataset Preprocessing &amp; Dataflow Documentation</w:t>
      </w:r>
    </w:p>
    <w:p>
      <w:pPr>
        <w:spacing w:after="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Subject</w:t>
            </w:r>
          </w:p>
        </w:tc>
        <w:tc>
          <w:tcPr>
            <w:tcW w:type="dxa" w:w="5600"/>
            <w:tcBorders>
              <w:top w:val="single" w:color="A9CCE3" w:sz="4"/>
              <w:left w:val="single" w:color="A9CCE3" w:sz="4"/>
              <w:bottom w:val="single" w:color="A9CCE3" w:sz="4"/>
              <w:right w:val="single" w:color="A9CCE3" w:sz="4"/>
            </w:tcBorders>
            <w:shd w:fill="D6E4F0" w:val="clear"/>
            <w:tcMar>
              <w:top w:type="dxa" w:w="90"/>
              <w:left w:type="dxa" w:w="160"/>
              <w:bottom w:type="dxa" w:w="90"/>
              <w:right w:type="dxa" w:w="160"/>
            </w:tcMar>
          </w:tcPr>
          <w:p>
            <w:r>
              <w:rPr>
                <w:rFonts w:ascii="Arial" w:cs="Arial" w:eastAsia="Arial" w:hAnsi="Arial"/>
                <w:color w:val="1C1C1C"/>
                <w:sz w:val="22"/>
                <w:szCs w:val="22"/>
              </w:rPr>
              <w:t xml:space="preserve">Database Systems Lab</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Instructor</w:t>
            </w:r>
          </w:p>
        </w:tc>
        <w:tc>
          <w:tcPr>
            <w:tcW w:type="dxa" w:w="5600"/>
            <w:tcBorders>
              <w:top w:val="single" w:color="A9CCE3" w:sz="4"/>
              <w:left w:val="single" w:color="A9CCE3" w:sz="4"/>
              <w:bottom w:val="single" w:color="A9CCE3" w:sz="4"/>
              <w:right w:val="single" w:color="A9CCE3" w:sz="4"/>
            </w:tcBorders>
            <w:shd w:fill="FFFFFF" w:val="clear"/>
            <w:tcMar>
              <w:top w:type="dxa" w:w="90"/>
              <w:left w:type="dxa" w:w="160"/>
              <w:bottom w:type="dxa" w:w="90"/>
              <w:right w:type="dxa" w:w="160"/>
            </w:tcMar>
          </w:tcPr>
          <w:p>
            <w:r>
              <w:rPr>
                <w:rFonts w:ascii="Arial" w:cs="Arial" w:eastAsia="Arial" w:hAnsi="Arial"/>
                <w:color w:val="1C1C1C"/>
                <w:sz w:val="22"/>
                <w:szCs w:val="22"/>
              </w:rPr>
              <w:t xml:space="preserve">Ali Hassan</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Group Members</w:t>
            </w:r>
          </w:p>
        </w:tc>
        <w:tc>
          <w:tcPr>
            <w:tcW w:type="dxa" w:w="5600"/>
            <w:tcBorders>
              <w:top w:val="single" w:color="A9CCE3" w:sz="4"/>
              <w:left w:val="single" w:color="A9CCE3" w:sz="4"/>
              <w:bottom w:val="single" w:color="A9CCE3" w:sz="4"/>
              <w:right w:val="single" w:color="A9CCE3" w:sz="4"/>
            </w:tcBorders>
            <w:shd w:fill="D6E4F0" w:val="clear"/>
            <w:tcMar>
              <w:top w:type="dxa" w:w="90"/>
              <w:left w:type="dxa" w:w="160"/>
              <w:bottom w:type="dxa" w:w="90"/>
              <w:right w:type="dxa" w:w="160"/>
            </w:tcMar>
          </w:tcPr>
          <w:p>
            <w:r>
              <w:rPr>
                <w:rFonts w:ascii="Arial" w:cs="Arial" w:eastAsia="Arial" w:hAnsi="Arial"/>
                <w:color w:val="1C1C1C"/>
                <w:sz w:val="22"/>
                <w:szCs w:val="22"/>
              </w:rPr>
              <w:t xml:space="preserve">Muhammad Gulsher  |  Muhammad Ali Bilal</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Semester</w:t>
            </w:r>
          </w:p>
        </w:tc>
        <w:tc>
          <w:tcPr>
            <w:tcW w:type="dxa" w:w="5600"/>
            <w:tcBorders>
              <w:top w:val="single" w:color="A9CCE3" w:sz="4"/>
              <w:left w:val="single" w:color="A9CCE3" w:sz="4"/>
              <w:bottom w:val="single" w:color="A9CCE3" w:sz="4"/>
              <w:right w:val="single" w:color="A9CCE3" w:sz="4"/>
            </w:tcBorders>
            <w:shd w:fill="FFFFFF" w:val="clear"/>
            <w:tcMar>
              <w:top w:type="dxa" w:w="90"/>
              <w:left w:type="dxa" w:w="160"/>
              <w:bottom w:type="dxa" w:w="90"/>
              <w:right w:type="dxa" w:w="160"/>
            </w:tcMar>
          </w:tcPr>
          <w:p>
            <w:r>
              <w:rPr>
                <w:rFonts w:ascii="Arial" w:cs="Arial" w:eastAsia="Arial" w:hAnsi="Arial"/>
                <w:color w:val="1C1C1C"/>
                <w:sz w:val="22"/>
                <w:szCs w:val="22"/>
              </w:rPr>
              <w:t xml:space="preserve">BSSE-A</w:t>
            </w:r>
          </w:p>
        </w:tc>
      </w:tr>
      <w:tr>
        <w:tc>
          <w:tcPr>
            <w:tcW w:type="dxa" w:w="2400"/>
            <w:tcBorders>
              <w:top w:val="single" w:color="1F4E79" w:sz="5"/>
              <w:left w:val="single" w:color="1F4E79" w:sz="5"/>
              <w:bottom w:val="single" w:color="1F4E79" w:sz="5"/>
              <w:right w:val="single" w:color="1F4E79" w:sz="5"/>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Milestone</w:t>
            </w:r>
          </w:p>
        </w:tc>
        <w:tc>
          <w:tcPr>
            <w:tcW w:type="dxa" w:w="5600"/>
            <w:tcBorders>
              <w:top w:val="single" w:color="A9CCE3" w:sz="4"/>
              <w:left w:val="single" w:color="A9CCE3" w:sz="4"/>
              <w:bottom w:val="single" w:color="A9CCE3" w:sz="4"/>
              <w:right w:val="single" w:color="A9CCE3" w:sz="4"/>
            </w:tcBorders>
            <w:shd w:fill="D6E4F0" w:val="clear"/>
            <w:tcMar>
              <w:top w:type="dxa" w:w="90"/>
              <w:left w:type="dxa" w:w="160"/>
              <w:bottom w:type="dxa" w:w="90"/>
              <w:right w:type="dxa" w:w="160"/>
            </w:tcMar>
          </w:tcPr>
          <w:p>
            <w:r>
              <w:rPr>
                <w:rFonts w:ascii="Arial" w:cs="Arial" w:eastAsia="Arial" w:hAnsi="Arial"/>
                <w:color w:val="1C1C1C"/>
                <w:sz w:val="22"/>
                <w:szCs w:val="22"/>
              </w:rPr>
              <w:t xml:space="preserve">3 — Dataset Preprocessing</w:t>
            </w:r>
          </w:p>
        </w:tc>
      </w:tr>
    </w:tbl>
    <w:p>
      <w:pPr>
        <w:spacing w:after="0" w:before="200"/>
      </w:pPr>
      <w:r>
        <w:t xml:space="preserve"/>
      </w:r>
    </w:p>
    <w:p>
      <w:pPr>
        <w:spacing w:after="0" w:before="0"/>
        <w:jc w:val="center"/>
      </w:pPr>
      <w:r>
        <w:rPr>
          <w:rFonts w:ascii="Arial" w:cs="Arial" w:eastAsia="Arial" w:hAnsi="Arial"/>
          <w:color w:val="888888"/>
          <w:sz w:val="18"/>
          <w:szCs w:val="18"/>
        </w:rPr>
        <w:t xml:space="preserve">Faculty Information Storage System  ·  Milestone 3  ·  BSSE-A</w:t>
      </w:r>
    </w:p>
    <w:p>
      <w:r>
        <w:br w:type="page"/>
      </w:r>
    </w:p>
    <w:p>
      <w:pPr>
        <w:pStyle w:val="Heading1"/>
        <w:spacing w:after="160" w:before="360"/>
      </w:pPr>
      <w:r>
        <w:rPr>
          <w:rFonts w:ascii="Arial" w:cs="Arial" w:eastAsia="Arial" w:hAnsi="Arial"/>
          <w:b/>
          <w:bCs/>
          <w:color w:val="1F4E79"/>
          <w:sz w:val="34"/>
          <w:szCs w:val="34"/>
        </w:rPr>
        <w:t xml:space="preserve">SECTION 1 — Overview</w:t>
      </w:r>
    </w:p>
    <w:p>
      <w:pPr>
        <w:spacing w:after="80" w:before="60"/>
        <w:jc w:val="both"/>
      </w:pPr>
      <w:r>
        <w:rPr>
          <w:rFonts w:ascii="Arial" w:cs="Arial" w:eastAsia="Arial" w:hAnsi="Arial"/>
          <w:b w:val="false"/>
          <w:bCs w:val="false"/>
          <w:color w:val="1C1C1C"/>
          <w:sz w:val="22"/>
          <w:szCs w:val="22"/>
        </w:rPr>
        <w:t xml:space="preserve">Milestone 3 covers the dataset preparation phase of the Faculty Information Storage System. Since this is a purpose-built institutional management system rather than a data-collection platform, no real-world external dataset exists. Structured synthetic data has therefore been generated using </w:t>
      </w:r>
      <w:r>
        <w:rPr>
          <w:rFonts w:ascii="Arial" w:cs="Arial" w:eastAsia="Arial" w:hAnsi="Arial"/>
          <w:b/>
          <w:bCs/>
          <w:color w:val="1F4E79"/>
          <w:sz w:val="22"/>
          <w:szCs w:val="22"/>
        </w:rPr>
        <w:t xml:space="preserve">Python</w:t>
      </w:r>
      <w:r>
        <w:rPr>
          <w:rFonts w:ascii="Arial" w:cs="Arial" w:eastAsia="Arial" w:hAnsi="Arial"/>
          <w:b w:val="false"/>
          <w:bCs w:val="false"/>
          <w:color w:val="1C1C1C"/>
          <w:sz w:val="22"/>
          <w:szCs w:val="22"/>
        </w:rPr>
        <w:t xml:space="preserve"> with realistic Pakistani institutional context.</w:t>
      </w:r>
    </w:p>
    <w:p>
      <w:pPr>
        <w:spacing w:after="0" w:before="60"/>
      </w:pPr>
      <w:r>
        <w:t xml:space="preserve"/>
      </w:r>
    </w:p>
    <w:p>
      <w:pPr>
        <w:spacing w:after="80" w:before="60"/>
        <w:jc w:val="both"/>
      </w:pPr>
      <w:r>
        <w:rPr>
          <w:rFonts w:ascii="Arial" w:cs="Arial" w:eastAsia="Arial" w:hAnsi="Arial"/>
          <w:b w:val="false"/>
          <w:bCs w:val="false"/>
          <w:color w:val="1C1C1C"/>
          <w:sz w:val="22"/>
          <w:szCs w:val="22"/>
        </w:rPr>
        <w:t xml:space="preserve">All five normalized tables from Milestone 2 have been fully populated. The data is consistent, realistic, and referentially sound — every foreign key references a valid primary key, all ENUMs are respected, all UNIQUE constraints are satisfied, and all data types match the schema exactly.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w:t>
            </w:r>
          </w:p>
        </w:tc>
        <w:tc>
          <w:tcPr>
            <w:tcW w:type="dxa" w:w="14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Row Count</w:t>
            </w:r>
          </w:p>
        </w:tc>
        <w:tc>
          <w:tcPr>
            <w:tcW w:type="dxa" w:w="55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department</w:t>
            </w:r>
          </w:p>
        </w:tc>
        <w:tc>
          <w:tcPr>
            <w:tcW w:type="dxa" w:w="1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50</w:t>
            </w:r>
          </w:p>
        </w:tc>
        <w:tc>
          <w:tcPr>
            <w:tcW w:type="dxa" w:w="5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50 university departments with HOD names. faculty_count removed (M2 normalization).</w:t>
            </w:r>
          </w:p>
        </w:tc>
      </w:tr>
      <w:tr>
        <w:tc>
          <w:tcPr>
            <w:tcW w:type="dxa" w:w="2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1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80</w:t>
            </w:r>
          </w:p>
        </w:tc>
        <w:tc>
          <w:tcPr>
            <w:tcW w:type="dxa" w:w="5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80 faculty members. Includes dept_id FK linking each faculty to their department.</w:t>
            </w:r>
          </w:p>
        </w:tc>
      </w:tr>
      <w:tr>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w:t>
            </w:r>
          </w:p>
        </w:tc>
        <w:tc>
          <w:tcPr>
            <w:tcW w:type="dxa" w:w="1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100</w:t>
            </w:r>
          </w:p>
        </w:tc>
        <w:tc>
          <w:tcPr>
            <w:tcW w:type="dxa" w:w="5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100 degree records — every faculty has at least 1; 20 faculty have 2 degrees.</w:t>
            </w:r>
          </w:p>
        </w:tc>
      </w:tr>
      <w:tr>
        <w:tc>
          <w:tcPr>
            <w:tcW w:type="dxa" w:w="2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w:t>
            </w:r>
          </w:p>
        </w:tc>
        <w:tc>
          <w:tcPr>
            <w:tcW w:type="dxa" w:w="1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100</w:t>
            </w:r>
          </w:p>
        </w:tc>
        <w:tc>
          <w:tcPr>
            <w:tcW w:type="dxa" w:w="55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100 course assignments. Courses are matched to each faculty member's department.</w:t>
            </w:r>
          </w:p>
        </w:tc>
      </w:tr>
      <w:tr>
        <w:tc>
          <w:tcPr>
            <w:tcW w:type="dxa" w:w="2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w:t>
            </w:r>
          </w:p>
        </w:tc>
        <w:tc>
          <w:tcPr>
            <w:tcW w:type="dxa" w:w="1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50</w:t>
            </w:r>
          </w:p>
        </w:tc>
        <w:tc>
          <w:tcPr>
            <w:tcW w:type="dxa" w:w="55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5 admin accounts (no faculty link) + 45 faculty portal accounts (linked by faculty_id).</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2 — Dataflow Description</w:t>
      </w:r>
    </w:p>
    <w:p>
      <w:pPr>
        <w:spacing w:after="80" w:before="60"/>
        <w:jc w:val="both"/>
      </w:pPr>
      <w:r>
        <w:rPr>
          <w:rFonts w:ascii="Arial" w:cs="Arial" w:eastAsia="Arial" w:hAnsi="Arial"/>
          <w:b w:val="false"/>
          <w:bCs w:val="false"/>
          <w:color w:val="1C1C1C"/>
          <w:sz w:val="22"/>
          <w:szCs w:val="22"/>
        </w:rPr>
        <w:t xml:space="preserve">This dataflow is written specifically for the Faculty Information Storage System. It covers exactly where data enters, how it flows through each table, how tables depend on one another, and what outputs the system produces.</w:t>
      </w:r>
    </w:p>
    <w:p>
      <w:pPr>
        <w:spacing w:after="0" w:before="80"/>
      </w:pPr>
      <w:r>
        <w:t xml:space="preserve"/>
      </w:r>
    </w:p>
    <w:p>
      <w:pPr>
        <w:pStyle w:val="Heading2"/>
        <w:spacing w:after="100" w:before="240"/>
      </w:pPr>
      <w:r>
        <w:rPr>
          <w:rFonts w:ascii="Arial" w:cs="Arial" w:eastAsia="Arial" w:hAnsi="Arial"/>
          <w:b/>
          <w:bCs/>
          <w:color w:val="2471A3"/>
          <w:sz w:val="27"/>
          <w:szCs w:val="27"/>
        </w:rPr>
        <w:t xml:space="preserve">2.1  Data Entry Points</w:t>
      </w:r>
    </w:p>
    <w:p>
      <w:pPr>
        <w:spacing w:after="80" w:before="60"/>
        <w:jc w:val="both"/>
      </w:pPr>
      <w:r>
        <w:rPr>
          <w:rFonts w:ascii="Arial" w:cs="Arial" w:eastAsia="Arial" w:hAnsi="Arial"/>
          <w:b w:val="false"/>
          <w:bCs w:val="false"/>
          <w:color w:val="1C1C1C"/>
          <w:sz w:val="22"/>
          <w:szCs w:val="22"/>
        </w:rPr>
        <w:t xml:space="preserve">Data enters the Faculty Information Storage System through two channels: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Bulk CSV Import (initial load) — Pre-cleaned CSV files are loaded into MySQL in dependency order using LOAD DATA INFILE. This is the method used in Milestone 5.</w:t>
      </w:r>
    </w:p>
    <w:p>
      <w:pPr>
        <w:pStyle w:val="ListParagraph"/>
        <w:numPr>
          <w:ilvl w:val="0"/>
          <w:numId w:val="2"/>
        </w:numPr>
        <w:spacing w:after="40" w:before="40"/>
      </w:pPr>
      <w:r>
        <w:rPr>
          <w:rFonts w:ascii="Arial" w:cs="Arial" w:eastAsia="Arial" w:hAnsi="Arial"/>
          <w:b w:val="false"/>
          <w:bCs w:val="false"/>
          <w:color w:val="1C1C1C"/>
          <w:sz w:val="22"/>
          <w:szCs w:val="22"/>
        </w:rPr>
        <w:t xml:space="preserve">Administrator Portal (ongoing operation) — A logged-in admin creates or updates records for departments, faculty members, qualifications, workload assignments, and user accounts through the system's management interface.</w:t>
      </w:r>
    </w:p>
    <w:p>
      <w:pPr>
        <w:spacing w:after="0" w:before="80"/>
      </w:pPr>
      <w:r>
        <w:t xml:space="preserve"/>
      </w:r>
    </w:p>
    <w:p>
      <w:pPr>
        <w:pStyle w:val="Heading2"/>
        <w:spacing w:after="100" w:before="240"/>
      </w:pPr>
      <w:r>
        <w:rPr>
          <w:rFonts w:ascii="Arial" w:cs="Arial" w:eastAsia="Arial" w:hAnsi="Arial"/>
          <w:b/>
          <w:bCs/>
          <w:color w:val="2471A3"/>
          <w:sz w:val="27"/>
          <w:szCs w:val="27"/>
        </w:rPr>
        <w:t xml:space="preserve">2.2  Insertion Order &amp; Table Dependencies</w:t>
      </w:r>
    </w:p>
    <w:p>
      <w:pPr>
        <w:spacing w:after="80" w:before="60"/>
        <w:jc w:val="both"/>
      </w:pPr>
      <w:r>
        <w:rPr>
          <w:rFonts w:ascii="Arial" w:cs="Arial" w:eastAsia="Arial" w:hAnsi="Arial"/>
          <w:b w:val="false"/>
          <w:bCs w:val="false"/>
          <w:color w:val="1C1C1C"/>
          <w:sz w:val="22"/>
          <w:szCs w:val="22"/>
        </w:rPr>
        <w:t xml:space="preserve">Because of foreign key constraints, data must be inserted in the following strict order. Inserting out of order causes FK constraint violations.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4860"/>
      </w:tblGrid>
      <w:tr>
        <w:tc>
          <w:tcPr>
            <w:tcW w:type="dxa" w:w="7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Table</w:t>
            </w:r>
          </w:p>
        </w:tc>
        <w:tc>
          <w:tcPr>
            <w:tcW w:type="dxa" w:w="1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Depends On</w:t>
            </w:r>
          </w:p>
        </w:tc>
        <w:tc>
          <w:tcPr>
            <w:tcW w:type="dxa" w:w="48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Reason</w:t>
            </w:r>
          </w:p>
        </w:tc>
      </w:tr>
      <w:tr>
        <w:tc>
          <w:tcPr>
            <w:tcW w:type="dxa" w:w="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department</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None</w:t>
            </w:r>
          </w:p>
        </w:tc>
        <w:tc>
          <w:tcPr>
            <w:tcW w:type="dxa" w:w="48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 foreign keys. dept_id is generated here and used by faculty.</w:t>
            </w:r>
          </w:p>
        </w:tc>
      </w:tr>
      <w:tr>
        <w:tc>
          <w:tcPr>
            <w:tcW w:type="dxa" w:w="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department</w:t>
            </w:r>
          </w:p>
        </w:tc>
        <w:tc>
          <w:tcPr>
            <w:tcW w:type="dxa" w:w="48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faculty.dept_id must reference a valid dept_id. Each faculty belongs to one department.</w:t>
            </w:r>
          </w:p>
        </w:tc>
      </w:tr>
      <w:tr>
        <w:tc>
          <w:tcPr>
            <w:tcW w:type="dxa" w:w="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w:t>
            </w:r>
          </w:p>
        </w:tc>
        <w:tc>
          <w:tcPr>
            <w:tcW w:type="dxa" w:w="48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qualifications.faculty_id must reference a valid faculty_id.</w:t>
            </w:r>
          </w:p>
        </w:tc>
      </w:tr>
      <w:tr>
        <w:tc>
          <w:tcPr>
            <w:tcW w:type="dxa" w:w="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4</w:t>
            </w:r>
          </w:p>
        </w:tc>
        <w:tc>
          <w:tcPr>
            <w:tcW w:type="dxa" w:w="20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w:t>
            </w:r>
          </w:p>
        </w:tc>
        <w:tc>
          <w:tcPr>
            <w:tcW w:type="dxa" w:w="1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w:t>
            </w:r>
          </w:p>
        </w:tc>
        <w:tc>
          <w:tcPr>
            <w:tcW w:type="dxa" w:w="48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workload.faculty_id must reference a valid faculty_id.</w:t>
            </w:r>
          </w:p>
        </w:tc>
      </w:tr>
      <w:tr>
        <w:tc>
          <w:tcPr>
            <w:tcW w:type="dxa" w:w="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w:t>
            </w:r>
          </w:p>
        </w:tc>
        <w:tc>
          <w:tcPr>
            <w:tcW w:type="dxa" w:w="20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w:t>
            </w:r>
          </w:p>
        </w:tc>
        <w:tc>
          <w:tcPr>
            <w:tcW w:type="dxa" w:w="1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 (optional)</w:t>
            </w:r>
          </w:p>
        </w:tc>
        <w:tc>
          <w:tcPr>
            <w:tcW w:type="dxa" w:w="48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users.faculty_id is NULL for admin accounts; faculty role accounts reference a valid faculty_id.</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2.3  Data Processing Inside the System</w:t>
      </w:r>
    </w:p>
    <w:p>
      <w:pPr>
        <w:spacing w:after="80" w:before="60"/>
        <w:jc w:val="both"/>
      </w:pPr>
      <w:r>
        <w:rPr>
          <w:rFonts w:ascii="Arial" w:cs="Arial" w:eastAsia="Arial" w:hAnsi="Arial"/>
          <w:b w:val="false"/>
          <w:bCs w:val="false"/>
          <w:color w:val="1C1C1C"/>
          <w:sz w:val="22"/>
          <w:szCs w:val="22"/>
        </w:rPr>
        <w:t xml:space="preserve">Once data is loaded, the following operations process and transform it:</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Authentication — On login, the users table is queried by username. The password hash is verified. If role = 'admin', full system access is granted. If role = 'faculty', the linked faculty_id scopes the user to their own profile and workload only.</w:t>
      </w:r>
    </w:p>
    <w:p>
      <w:pPr>
        <w:pStyle w:val="ListParagraph"/>
        <w:numPr>
          <w:ilvl w:val="0"/>
          <w:numId w:val="2"/>
        </w:numPr>
        <w:spacing w:after="40" w:before="40"/>
      </w:pPr>
      <w:r>
        <w:rPr>
          <w:rFonts w:ascii="Arial" w:cs="Arial" w:eastAsia="Arial" w:hAnsi="Arial"/>
          <w:b w:val="false"/>
          <w:bCs w:val="false"/>
          <w:color w:val="1C1C1C"/>
          <w:sz w:val="22"/>
          <w:szCs w:val="22"/>
        </w:rPr>
        <w:t xml:space="preserve">Faculty directory queries — faculty is joined with department to produce department-wise faculty listings (e.g., all faculty in Computer Science with their contact details and qualifications).</w:t>
      </w:r>
    </w:p>
    <w:p>
      <w:pPr>
        <w:pStyle w:val="ListParagraph"/>
        <w:numPr>
          <w:ilvl w:val="0"/>
          <w:numId w:val="2"/>
        </w:numPr>
        <w:spacing w:after="40" w:before="40"/>
      </w:pPr>
      <w:r>
        <w:rPr>
          <w:rFonts w:ascii="Arial" w:cs="Arial" w:eastAsia="Arial" w:hAnsi="Arial"/>
          <w:b w:val="false"/>
          <w:bCs w:val="false"/>
          <w:color w:val="1C1C1C"/>
          <w:sz w:val="22"/>
          <w:szCs w:val="22"/>
        </w:rPr>
        <w:t xml:space="preserve">Qualification lookups — faculty is joined with qualifications to display academic profiles, supporting filters like 'show all PhD holders' or 'faculty with MS from NUST'.</w:t>
      </w:r>
    </w:p>
    <w:p>
      <w:pPr>
        <w:pStyle w:val="ListParagraph"/>
        <w:numPr>
          <w:ilvl w:val="0"/>
          <w:numId w:val="2"/>
        </w:numPr>
        <w:spacing w:after="40" w:before="40"/>
      </w:pPr>
      <w:r>
        <w:rPr>
          <w:rFonts w:ascii="Arial" w:cs="Arial" w:eastAsia="Arial" w:hAnsi="Arial"/>
          <w:b w:val="false"/>
          <w:bCs w:val="false"/>
          <w:color w:val="1C1C1C"/>
          <w:sz w:val="22"/>
          <w:szCs w:val="22"/>
        </w:rPr>
        <w:t xml:space="preserve">Workload reports — faculty is joined with workload to generate per-faculty teaching load summaries, including total credit hours per semester.</w:t>
      </w:r>
    </w:p>
    <w:p>
      <w:pPr>
        <w:pStyle w:val="ListParagraph"/>
        <w:numPr>
          <w:ilvl w:val="0"/>
          <w:numId w:val="2"/>
        </w:numPr>
        <w:spacing w:after="40" w:before="40"/>
      </w:pPr>
      <w:r>
        <w:rPr>
          <w:rFonts w:ascii="Arial" w:cs="Arial" w:eastAsia="Arial" w:hAnsi="Arial"/>
          <w:b w:val="false"/>
          <w:bCs w:val="false"/>
          <w:color w:val="1C1C1C"/>
          <w:sz w:val="22"/>
          <w:szCs w:val="22"/>
        </w:rPr>
        <w:t xml:space="preserve">Department headcount — Since faculty_count was removed from department (M2 normalization fix), the count is derived at query time: SELECT dept_id, COUNT(*) AS total FROM faculty GROUP BY dept_id.</w:t>
      </w:r>
    </w:p>
    <w:p>
      <w:pPr>
        <w:spacing w:after="0" w:before="80"/>
      </w:pPr>
      <w:r>
        <w:t xml:space="preserve"/>
      </w:r>
    </w:p>
    <w:p>
      <w:pPr>
        <w:pStyle w:val="Heading2"/>
        <w:spacing w:after="100" w:before="240"/>
      </w:pPr>
      <w:r>
        <w:rPr>
          <w:rFonts w:ascii="Arial" w:cs="Arial" w:eastAsia="Arial" w:hAnsi="Arial"/>
          <w:b/>
          <w:bCs/>
          <w:color w:val="2471A3"/>
          <w:sz w:val="27"/>
          <w:szCs w:val="27"/>
        </w:rPr>
        <w:t xml:space="preserve">2.4  System Outputs</w:t>
      </w:r>
    </w:p>
    <w:p>
      <w:pPr>
        <w:spacing w:after="80" w:before="60"/>
        <w:jc w:val="both"/>
      </w:pPr>
      <w:r>
        <w:rPr>
          <w:rFonts w:ascii="Arial" w:cs="Arial" w:eastAsia="Arial" w:hAnsi="Arial"/>
          <w:b w:val="false"/>
          <w:bCs w:val="false"/>
          <w:color w:val="1C1C1C"/>
          <w:sz w:val="22"/>
          <w:szCs w:val="22"/>
        </w:rPr>
        <w:t xml:space="preserve">The Faculty Information Storage System produces the following outputs: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Faculty profiles — Full detail view per faculty member (personal info, qualifications, current workload).</w:t>
      </w:r>
    </w:p>
    <w:p>
      <w:pPr>
        <w:pStyle w:val="ListParagraph"/>
        <w:numPr>
          <w:ilvl w:val="0"/>
          <w:numId w:val="2"/>
        </w:numPr>
        <w:spacing w:after="40" w:before="40"/>
      </w:pPr>
      <w:r>
        <w:rPr>
          <w:rFonts w:ascii="Arial" w:cs="Arial" w:eastAsia="Arial" w:hAnsi="Arial"/>
          <w:b w:val="false"/>
          <w:bCs w:val="false"/>
          <w:color w:val="1C1C1C"/>
          <w:sz w:val="22"/>
          <w:szCs w:val="22"/>
        </w:rPr>
        <w:t xml:space="preserve">Department dashboards — Faculty list per department, HOD name, and dynamically computed headcount.</w:t>
      </w:r>
    </w:p>
    <w:p>
      <w:pPr>
        <w:pStyle w:val="ListParagraph"/>
        <w:numPr>
          <w:ilvl w:val="0"/>
          <w:numId w:val="2"/>
        </w:numPr>
        <w:spacing w:after="40" w:before="40"/>
      </w:pPr>
      <w:r>
        <w:rPr>
          <w:rFonts w:ascii="Arial" w:cs="Arial" w:eastAsia="Arial" w:hAnsi="Arial"/>
          <w:b w:val="false"/>
          <w:bCs w:val="false"/>
          <w:color w:val="1C1C1C"/>
          <w:sz w:val="22"/>
          <w:szCs w:val="22"/>
        </w:rPr>
        <w:t xml:space="preserve">Workload reports — Per-faculty or per-semester teaching assignment summaries with total credit hours.</w:t>
      </w:r>
    </w:p>
    <w:p>
      <w:pPr>
        <w:pStyle w:val="ListParagraph"/>
        <w:numPr>
          <w:ilvl w:val="0"/>
          <w:numId w:val="2"/>
        </w:numPr>
        <w:spacing w:after="40" w:before="40"/>
      </w:pPr>
      <w:r>
        <w:rPr>
          <w:rFonts w:ascii="Arial" w:cs="Arial" w:eastAsia="Arial" w:hAnsi="Arial"/>
          <w:b w:val="false"/>
          <w:bCs w:val="false"/>
          <w:color w:val="1C1C1C"/>
          <w:sz w:val="22"/>
          <w:szCs w:val="22"/>
        </w:rPr>
        <w:t xml:space="preserve">Qualification reports — Lists of faculty filtered by degree type, institution, or year of completion.</w:t>
      </w:r>
    </w:p>
    <w:p>
      <w:pPr>
        <w:pStyle w:val="ListParagraph"/>
        <w:numPr>
          <w:ilvl w:val="0"/>
          <w:numId w:val="2"/>
        </w:numPr>
        <w:spacing w:after="40" w:before="40"/>
      </w:pPr>
      <w:r>
        <w:rPr>
          <w:rFonts w:ascii="Arial" w:cs="Arial" w:eastAsia="Arial" w:hAnsi="Arial"/>
          <w:b w:val="false"/>
          <w:bCs w:val="false"/>
          <w:color w:val="1C1C1C"/>
          <w:sz w:val="22"/>
          <w:szCs w:val="22"/>
        </w:rPr>
        <w:t xml:space="preserve">Validation outputs (Milestone 5) — COUNT(*) per table, NULL checks on key columns, JOIN-based FK integrity checks.</w:t>
      </w:r>
    </w:p>
    <w:p>
      <w:pPr>
        <w:spacing w:after="0" w:before="80"/>
      </w:pPr>
      <w:r>
        <w:t xml:space="preserve"/>
      </w:r>
    </w:p>
    <w:p>
      <w:pPr>
        <w:pStyle w:val="Heading2"/>
        <w:spacing w:after="100" w:before="240"/>
      </w:pPr>
      <w:r>
        <w:rPr>
          <w:rFonts w:ascii="Arial" w:cs="Arial" w:eastAsia="Arial" w:hAnsi="Arial"/>
          <w:b/>
          <w:bCs/>
          <w:color w:val="2471A3"/>
          <w:sz w:val="27"/>
          <w:szCs w:val="27"/>
        </w:rPr>
        <w:t xml:space="preserve">2.5  Dataflow Diagram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80"/>
              <w:left w:type="dxa" w:w="280"/>
              <w:bottom w:type="dxa" w:w="180"/>
              <w:right w:type="dxa" w:w="280"/>
            </w:tcMar>
          </w:tcPr>
          <w:p>
            <w:pPr>
              <w:spacing w:after="30" w:before="0"/>
            </w:pPr>
            <w:r>
              <w:rPr>
                <w:rFonts w:ascii="Courier New" w:cs="Courier New" w:eastAsia="Courier New" w:hAnsi="Courier New"/>
                <w:b/>
                <w:bCs/>
                <w:color w:val="3FB950"/>
                <w:sz w:val="22"/>
                <w:szCs w:val="22"/>
              </w:rPr>
              <w:t xml:space="preserve">INPUT</w:t>
            </w:r>
          </w:p>
          <w:p>
            <w:pPr>
              <w:spacing w:after="10" w:before="0"/>
            </w:pPr>
            <w:r>
              <w:rPr>
                <w:rFonts w:ascii="Courier New" w:cs="Courier New" w:eastAsia="Courier New" w:hAnsi="Courier New"/>
                <w:color w:val="79C0FF"/>
                <w:sz w:val="20"/>
                <w:szCs w:val="20"/>
              </w:rPr>
              <w:t xml:space="preserve">  CSV Files (LOAD DATA INFILE) ──────────┐</w:t>
            </w:r>
          </w:p>
          <w:p>
            <w:pPr>
              <w:spacing w:after="40" w:before="0"/>
            </w:pPr>
            <w:r>
              <w:rPr>
                <w:rFonts w:ascii="Courier New" w:cs="Courier New" w:eastAsia="Courier New" w:hAnsi="Courier New"/>
                <w:color w:val="79C0FF"/>
                <w:sz w:val="20"/>
                <w:szCs w:val="20"/>
              </w:rPr>
              <w:t xml:space="preserve">  Admin Portal (INSERT / UPDATE) ────────┤</w:t>
            </w:r>
          </w:p>
          <w:p>
            <w:pPr>
              <w:spacing w:after="30" w:before="0"/>
            </w:pPr>
            <w:r>
              <w:rPr>
                <w:rFonts w:ascii="Courier New" w:cs="Courier New" w:eastAsia="Courier New" w:hAnsi="Courier New"/>
                <w:b/>
                <w:bCs/>
                <w:color w:val="3FB950"/>
                <w:sz w:val="22"/>
                <w:szCs w:val="22"/>
              </w:rPr>
              <w:t xml:space="preserve">DATABASE (Insertion Order)</w:t>
            </w:r>
          </w:p>
          <w:p>
            <w:pPr>
              <w:spacing w:after="10" w:before="0"/>
            </w:pPr>
            <w:r>
              <w:rPr>
                <w:rFonts w:ascii="Courier New" w:cs="Courier New" w:eastAsia="Courier New" w:hAnsi="Courier New"/>
                <w:color w:val="E3B341"/>
                <w:sz w:val="20"/>
                <w:szCs w:val="20"/>
              </w:rPr>
              <w:t xml:space="preserve">  [1] department</w:t>
            </w:r>
          </w:p>
          <w:p>
            <w:pPr>
              <w:spacing w:after="10" w:before="0"/>
            </w:pPr>
            <w:r>
              <w:rPr>
                <w:rFonts w:ascii="Courier New" w:cs="Courier New" w:eastAsia="Courier New" w:hAnsi="Courier New"/>
                <w:color w:val="8B949E"/>
                <w:sz w:val="20"/>
                <w:szCs w:val="20"/>
              </w:rPr>
              <w:t xml:space="preserve">       ↓</w:t>
            </w:r>
          </w:p>
          <w:p>
            <w:pPr>
              <w:spacing w:after="10" w:before="0"/>
            </w:pPr>
            <w:r>
              <w:rPr>
                <w:rFonts w:ascii="Courier New" w:cs="Courier New" w:eastAsia="Courier New" w:hAnsi="Courier New"/>
                <w:color w:val="E3B341"/>
                <w:sz w:val="20"/>
                <w:szCs w:val="20"/>
              </w:rPr>
              <w:t xml:space="preserve">  [2] faculty  (FK: dept_id → department)</w:t>
            </w:r>
          </w:p>
          <w:p>
            <w:pPr>
              <w:spacing w:after="10" w:before="0"/>
            </w:pPr>
            <w:r>
              <w:rPr>
                <w:rFonts w:ascii="Courier New" w:cs="Courier New" w:eastAsia="Courier New" w:hAnsi="Courier New"/>
                <w:color w:val="E3B341"/>
                <w:sz w:val="20"/>
                <w:szCs w:val="20"/>
              </w:rPr>
              <w:t xml:space="preserve">       ├──→ [3] qualifications  (FK: faculty_id → faculty)</w:t>
            </w:r>
          </w:p>
          <w:p>
            <w:pPr>
              <w:spacing w:after="10" w:before="0"/>
            </w:pPr>
            <w:r>
              <w:rPr>
                <w:rFonts w:ascii="Courier New" w:cs="Courier New" w:eastAsia="Courier New" w:hAnsi="Courier New"/>
                <w:color w:val="E3B341"/>
                <w:sz w:val="20"/>
                <w:szCs w:val="20"/>
              </w:rPr>
              <w:t xml:space="preserve">       ├──→ [4] workload        (FK: faculty_id → faculty)</w:t>
            </w:r>
          </w:p>
          <w:p>
            <w:pPr>
              <w:spacing w:after="40" w:before="0"/>
            </w:pPr>
            <w:r>
              <w:rPr>
                <w:rFonts w:ascii="Courier New" w:cs="Courier New" w:eastAsia="Courier New" w:hAnsi="Courier New"/>
                <w:color w:val="E3B341"/>
                <w:sz w:val="20"/>
                <w:szCs w:val="20"/>
              </w:rPr>
              <w:t xml:space="preserve">       └──→ [5] users           (FK: faculty_id → faculty, nullable)</w:t>
            </w:r>
          </w:p>
          <w:p>
            <w:pPr>
              <w:spacing w:after="30" w:before="0"/>
            </w:pPr>
            <w:r>
              <w:rPr>
                <w:rFonts w:ascii="Courier New" w:cs="Courier New" w:eastAsia="Courier New" w:hAnsi="Courier New"/>
                <w:b/>
                <w:bCs/>
                <w:color w:val="3FB950"/>
                <w:sz w:val="22"/>
                <w:szCs w:val="22"/>
              </w:rPr>
              <w:t xml:space="preserve">PROCESSING</w:t>
            </w:r>
          </w:p>
          <w:p>
            <w:pPr>
              <w:spacing w:after="40" w:before="0"/>
            </w:pPr>
            <w:r>
              <w:rPr>
                <w:rFonts w:ascii="Courier New" w:cs="Courier New" w:eastAsia="Courier New" w:hAnsi="Courier New"/>
                <w:color w:val="79C0FF"/>
                <w:sz w:val="20"/>
                <w:szCs w:val="20"/>
              </w:rPr>
              <w:t xml:space="preserve">  JOIN queries │ AUTH checks │ COUNT(*) aggregates │ Filtered SELECTs</w:t>
            </w:r>
          </w:p>
          <w:p>
            <w:pPr>
              <w:spacing w:after="30" w:before="0"/>
            </w:pPr>
            <w:r>
              <w:rPr>
                <w:rFonts w:ascii="Courier New" w:cs="Courier New" w:eastAsia="Courier New" w:hAnsi="Courier New"/>
                <w:b/>
                <w:bCs/>
                <w:color w:val="3FB950"/>
                <w:sz w:val="22"/>
                <w:szCs w:val="22"/>
              </w:rPr>
              <w:t xml:space="preserve">OUTPUT</w:t>
            </w:r>
          </w:p>
          <w:p>
            <w:pPr>
              <w:spacing w:after="0" w:before="0"/>
            </w:pPr>
            <w:r>
              <w:rPr>
                <w:rFonts w:ascii="Courier New" w:cs="Courier New" w:eastAsia="Courier New" w:hAnsi="Courier New"/>
                <w:color w:val="79C0FF"/>
                <w:sz w:val="20"/>
                <w:szCs w:val="20"/>
              </w:rPr>
              <w:t xml:space="preserve">  Faculty Profiles │ Dept Dashboards │ Workload Reports │ Qualification Lists</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3 — Synthetic Dataset Details</w:t>
      </w:r>
    </w:p>
    <w:p>
      <w:pPr>
        <w:spacing w:after="80" w:before="60"/>
        <w:jc w:val="both"/>
      </w:pPr>
      <w:r>
        <w:rPr>
          <w:rFonts w:ascii="Arial" w:cs="Arial" w:eastAsia="Arial" w:hAnsi="Arial"/>
          <w:b w:val="false"/>
          <w:bCs w:val="false"/>
          <w:color w:val="1C1C1C"/>
          <w:sz w:val="22"/>
          <w:szCs w:val="22"/>
        </w:rPr>
        <w:t xml:space="preserve">Each table's generated data is documented below with sample rows, column coverage, and the reasoning behind key design decisions.</w:t>
      </w:r>
    </w:p>
    <w:p>
      <w:pPr>
        <w:spacing w:after="0" w:before="80"/>
      </w:pPr>
      <w:r>
        <w:t xml:space="preserve"/>
      </w:r>
    </w:p>
    <w:p>
      <w:pPr>
        <w:pStyle w:val="Heading2"/>
        <w:spacing w:after="100" w:before="240"/>
      </w:pPr>
      <w:r>
        <w:rPr>
          <w:rFonts w:ascii="Arial" w:cs="Arial" w:eastAsia="Arial" w:hAnsi="Arial"/>
          <w:b/>
          <w:bCs/>
          <w:color w:val="2471A3"/>
          <w:sz w:val="27"/>
          <w:szCs w:val="27"/>
        </w:rPr>
        <w:t xml:space="preserve">3.1  department  —  50 rows</w:t>
      </w:r>
    </w:p>
    <w:p>
      <w:pPr>
        <w:spacing w:after="80" w:before="60"/>
        <w:jc w:val="both"/>
      </w:pPr>
      <w:r>
        <w:rPr>
          <w:rFonts w:ascii="Arial" w:cs="Arial" w:eastAsia="Arial" w:hAnsi="Arial"/>
          <w:b w:val="false"/>
          <w:bCs w:val="false"/>
          <w:color w:val="1C1C1C"/>
          <w:sz w:val="22"/>
          <w:szCs w:val="22"/>
        </w:rPr>
        <w:t xml:space="preserve">50 departments representing a full Pakistani university structure — covering Computer Science, Engineering, Sciences, Business, Social Sciences, Languages, Education, Media, and Health. Each row has a dept_name (UNIQUE, NOT NULL) and a hod_name. </w:t>
      </w:r>
      <w:r>
        <w:rPr>
          <w:rFonts w:ascii="Arial" w:cs="Arial" w:eastAsia="Arial" w:hAnsi="Arial"/>
          <w:b/>
          <w:bCs/>
          <w:color w:val="B03A2E"/>
          <w:sz w:val="22"/>
          <w:szCs w:val="22"/>
        </w:rPr>
        <w:t xml:space="preserve">faculty_count has been intentionally excluded</w:t>
      </w:r>
      <w:r>
        <w:rPr>
          <w:rFonts w:ascii="Arial" w:cs="Arial" w:eastAsia="Arial" w:hAnsi="Arial"/>
          <w:b w:val="false"/>
          <w:bCs w:val="false"/>
          <w:color w:val="1C1C1C"/>
          <w:sz w:val="22"/>
          <w:szCs w:val="22"/>
        </w:rPr>
        <w:t xml:space="preserve"> as it was removed during M2 normalization as a derived/computed attribute.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4400"/>
      </w:tblGrid>
      <w:tr>
        <w:tc>
          <w:tcPr>
            <w:tcW w:type="dxa" w:w="1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dept_id</w:t>
            </w:r>
          </w:p>
        </w:tc>
        <w:tc>
          <w:tcPr>
            <w:tcW w:type="dxa" w:w="3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dept_name</w:t>
            </w:r>
          </w:p>
        </w:tc>
        <w:tc>
          <w:tcPr>
            <w:tcW w:type="dxa" w:w="44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hod_name</w:t>
            </w:r>
          </w:p>
        </w:tc>
      </w:tr>
      <w:tr>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Computer Science</w:t>
            </w:r>
          </w:p>
        </w:tc>
        <w:tc>
          <w:tcPr>
            <w:tcW w:type="dxa" w:w="4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Dr. Tariq Mahmood</w:t>
            </w:r>
          </w:p>
        </w:tc>
      </w:tr>
      <w:tr>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Software Engineering</w:t>
            </w:r>
          </w:p>
        </w:tc>
        <w:tc>
          <w:tcPr>
            <w:tcW w:type="dxa" w:w="4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Dr. Sana Mirza</w:t>
            </w:r>
          </w:p>
        </w:tc>
      </w:tr>
      <w:tr>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Information Technology</w:t>
            </w:r>
          </w:p>
        </w:tc>
        <w:tc>
          <w:tcPr>
            <w:tcW w:type="dxa" w:w="4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Dr. Kamran Shah</w:t>
            </w:r>
          </w:p>
        </w:tc>
      </w:tr>
      <w:tr>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4</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Artificial Intelligence</w:t>
            </w:r>
          </w:p>
        </w:tc>
        <w:tc>
          <w:tcPr>
            <w:tcW w:type="dxa" w:w="4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Dr. Hira Baig</w:t>
            </w:r>
          </w:p>
        </w:tc>
      </w:tr>
      <w:tr>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Cyber Security</w:t>
            </w:r>
          </w:p>
        </w:tc>
        <w:tc>
          <w:tcPr>
            <w:tcW w:type="dxa" w:w="4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Dr. Waqar Hussain</w:t>
            </w:r>
          </w:p>
        </w:tc>
      </w:tr>
      <w:tr>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c>
          <w:tcPr>
            <w:tcW w:type="dxa" w:w="4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 (50 total departments)</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3.2  faculty  —  80 rows</w:t>
      </w:r>
    </w:p>
    <w:p>
      <w:pPr>
        <w:spacing w:after="80" w:before="60"/>
        <w:jc w:val="both"/>
      </w:pPr>
      <w:r>
        <w:rPr>
          <w:rFonts w:ascii="Arial" w:cs="Arial" w:eastAsia="Arial" w:hAnsi="Arial"/>
          <w:b w:val="false"/>
          <w:bCs w:val="false"/>
          <w:color w:val="1C1C1C"/>
          <w:sz w:val="22"/>
          <w:szCs w:val="22"/>
        </w:rPr>
        <w:t xml:space="preserve">80 faculty members using Pakistani naming conventions. CNIC format: XXXXX-XXXXXXX-X (unique). Phone format: 03XX-XXXXXXX (unique). Emails are institutional (@university.edu.pk, unique). </w:t>
      </w:r>
      <w:r>
        <w:rPr>
          <w:rFonts w:ascii="Arial" w:cs="Arial" w:eastAsia="Arial" w:hAnsi="Arial"/>
          <w:b/>
          <w:bCs/>
          <w:color w:val="1F4E79"/>
          <w:sz w:val="22"/>
          <w:szCs w:val="22"/>
        </w:rPr>
        <w:t xml:space="preserve">dept_id</w:t>
      </w:r>
      <w:r>
        <w:rPr>
          <w:rFonts w:ascii="Arial" w:cs="Arial" w:eastAsia="Arial" w:hAnsi="Arial"/>
          <w:b w:val="false"/>
          <w:bCs w:val="false"/>
          <w:color w:val="1C1C1C"/>
          <w:sz w:val="22"/>
          <w:szCs w:val="22"/>
        </w:rPr>
        <w:t xml:space="preserve"> links each faculty member to their department (FK → department.dept_id), implementing the Many-to-One relationship defined in Milestone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500"/>
        <w:gridCol w:w="1100"/>
        <w:gridCol w:w="1260"/>
        <w:gridCol w:w="1700"/>
      </w:tblGrid>
      <w:tr>
        <w:tc>
          <w:tcPr>
            <w:tcW w:type="dxa" w:w="9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fac_id</w:t>
            </w:r>
          </w:p>
        </w:tc>
        <w:tc>
          <w:tcPr>
            <w:tcW w:type="dxa" w:w="19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name</w:t>
            </w:r>
          </w:p>
        </w:tc>
        <w:tc>
          <w:tcPr>
            <w:tcW w:type="dxa" w:w="25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email</w:t>
            </w:r>
          </w:p>
        </w:tc>
        <w:tc>
          <w:tcPr>
            <w:tcW w:type="dxa" w:w="11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gender</w:t>
            </w:r>
          </w:p>
        </w:tc>
        <w:tc>
          <w:tcPr>
            <w:tcW w:type="dxa" w:w="12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dept_id</w:t>
            </w:r>
          </w:p>
        </w:tc>
        <w:tc>
          <w:tcPr>
            <w:tcW w:type="dxa" w:w="17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date_of_birth</w:t>
            </w:r>
          </w:p>
        </w:tc>
      </w:tr>
      <w:tr>
        <w:tc>
          <w:tcPr>
            <w:tcW w:type="dxa" w:w="9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19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Fatima Raza</w:t>
            </w:r>
          </w:p>
        </w:tc>
        <w:tc>
          <w:tcPr>
            <w:tcW w:type="dxa" w:w="2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fatima.raza1@...</w:t>
            </w:r>
          </w:p>
        </w:tc>
        <w:tc>
          <w:tcPr>
            <w:tcW w:type="dxa" w:w="11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Female</w:t>
            </w:r>
          </w:p>
        </w:tc>
        <w:tc>
          <w:tcPr>
            <w:tcW w:type="dxa" w:w="12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7</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1986-12-18</w:t>
            </w:r>
          </w:p>
        </w:tc>
      </w:tr>
      <w:tr>
        <w:tc>
          <w:tcPr>
            <w:tcW w:type="dxa" w:w="9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w:t>
            </w:r>
          </w:p>
        </w:tc>
        <w:tc>
          <w:tcPr>
            <w:tcW w:type="dxa" w:w="19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Hassan Chaudhry</w:t>
            </w:r>
          </w:p>
        </w:tc>
        <w:tc>
          <w:tcPr>
            <w:tcW w:type="dxa" w:w="2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hassan.ch2@...</w:t>
            </w:r>
          </w:p>
        </w:tc>
        <w:tc>
          <w:tcPr>
            <w:tcW w:type="dxa" w:w="11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Male</w:t>
            </w:r>
          </w:p>
        </w:tc>
        <w:tc>
          <w:tcPr>
            <w:tcW w:type="dxa" w:w="12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22</w:t>
            </w:r>
          </w:p>
        </w:tc>
        <w:tc>
          <w:tcPr>
            <w:tcW w:type="dxa" w:w="1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1972-08-19</w:t>
            </w:r>
          </w:p>
        </w:tc>
      </w:tr>
      <w:tr>
        <w:tc>
          <w:tcPr>
            <w:tcW w:type="dxa" w:w="9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9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c>
          <w:tcPr>
            <w:tcW w:type="dxa" w:w="2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c>
          <w:tcPr>
            <w:tcW w:type="dxa" w:w="11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2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3.3  qualifications  —  100 rows</w:t>
      </w:r>
    </w:p>
    <w:p>
      <w:pPr>
        <w:spacing w:after="80" w:before="60"/>
        <w:jc w:val="both"/>
      </w:pPr>
      <w:r>
        <w:rPr>
          <w:rFonts w:ascii="Arial" w:cs="Arial" w:eastAsia="Arial" w:hAnsi="Arial"/>
          <w:b w:val="false"/>
          <w:bCs w:val="false"/>
          <w:color w:val="1C1C1C"/>
          <w:sz w:val="22"/>
          <w:szCs w:val="22"/>
        </w:rPr>
        <w:t xml:space="preserve">Every faculty member has at least one qualification. 20 faculty members have two degrees, giving exactly 100 rows. Degrees include PhD, MS, MPhil, MBA, MSc, BE, BS, and MEd. Institutions are real Pakistani universities: FAST-NUCES, NUST, IBA, LUMS, NED, COMSATS, UET, GCU, LUMS, Bahria University, and others.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700"/>
        <w:gridCol w:w="3760"/>
        <w:gridCol w:w="1200"/>
      </w:tblGrid>
      <w:tr>
        <w:tc>
          <w:tcPr>
            <w:tcW w:type="dxa" w:w="1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qual_id</w:t>
            </w:r>
          </w:p>
        </w:tc>
        <w:tc>
          <w:tcPr>
            <w:tcW w:type="dxa" w:w="15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faculty_id</w:t>
            </w:r>
          </w:p>
        </w:tc>
        <w:tc>
          <w:tcPr>
            <w:tcW w:type="dxa" w:w="17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degree</w:t>
            </w:r>
          </w:p>
        </w:tc>
        <w:tc>
          <w:tcPr>
            <w:tcW w:type="dxa" w:w="3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institution</w:t>
            </w:r>
          </w:p>
        </w:tc>
        <w:tc>
          <w:tcPr>
            <w:tcW w:type="dxa" w:w="1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year</w:t>
            </w:r>
          </w:p>
        </w:tc>
      </w:tr>
      <w:tr>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PhD</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NUST Islamabad</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2010</w:t>
            </w:r>
          </w:p>
        </w:tc>
      </w:tr>
      <w:tr>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12</w:t>
            </w:r>
          </w:p>
        </w:tc>
        <w:tc>
          <w:tcPr>
            <w:tcW w:type="dxa" w:w="1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MS</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FAST-NUCES Karachi</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2015</w:t>
            </w:r>
          </w:p>
        </w:tc>
      </w:tr>
      <w:tr>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MBA</w:t>
            </w:r>
          </w:p>
        </w:tc>
        <w:tc>
          <w:tcPr>
            <w:tcW w:type="dxa" w:w="3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IBA Karachi</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2016</w:t>
            </w:r>
          </w:p>
        </w:tc>
      </w:tr>
      <w:tr>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c>
          <w:tcPr>
            <w:tcW w:type="dxa" w:w="3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 (100 total)</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3.4  workload  —  100 rows</w:t>
      </w:r>
    </w:p>
    <w:p>
      <w:pPr>
        <w:spacing w:after="80" w:before="60"/>
        <w:jc w:val="both"/>
      </w:pPr>
      <w:r>
        <w:rPr>
          <w:rFonts w:ascii="Arial" w:cs="Arial" w:eastAsia="Arial" w:hAnsi="Arial"/>
          <w:b w:val="false"/>
          <w:bCs w:val="false"/>
          <w:color w:val="1C1C1C"/>
          <w:sz w:val="22"/>
          <w:szCs w:val="22"/>
        </w:rPr>
        <w:t xml:space="preserve">100 course assignment records across three semesters: Fall 2024, Spring 2025, and Fall 2025. Courses are </w:t>
      </w:r>
      <w:r>
        <w:rPr>
          <w:rFonts w:ascii="Arial" w:cs="Arial" w:eastAsia="Arial" w:hAnsi="Arial"/>
          <w:b/>
          <w:bCs/>
          <w:color w:val="1F4E79"/>
          <w:sz w:val="22"/>
          <w:szCs w:val="22"/>
        </w:rPr>
        <w:t xml:space="preserve">matched to each faculty member's department</w:t>
      </w:r>
      <w:r>
        <w:rPr>
          <w:rFonts w:ascii="Arial" w:cs="Arial" w:eastAsia="Arial" w:hAnsi="Arial"/>
          <w:b w:val="false"/>
          <w:bCs w:val="false"/>
          <w:color w:val="1C1C1C"/>
          <w:sz w:val="22"/>
          <w:szCs w:val="22"/>
        </w:rPr>
        <w:t xml:space="preserve"> — a Computer Science faculty is only assigned CS courses, an Economics faculty only Economics courses, etc. No faculty member teaches the same course twice in the same semester. Credit hours are 2, 3, or 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360"/>
        <w:gridCol w:w="1500"/>
        <w:gridCol w:w="1700"/>
      </w:tblGrid>
      <w:tr>
        <w:tc>
          <w:tcPr>
            <w:tcW w:type="dxa" w:w="13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workload_id</w:t>
            </w:r>
          </w:p>
        </w:tc>
        <w:tc>
          <w:tcPr>
            <w:tcW w:type="dxa" w:w="15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faculty_id</w:t>
            </w:r>
          </w:p>
        </w:tc>
        <w:tc>
          <w:tcPr>
            <w:tcW w:type="dxa" w:w="33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course_name</w:t>
            </w:r>
          </w:p>
        </w:tc>
        <w:tc>
          <w:tcPr>
            <w:tcW w:type="dxa" w:w="15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credits</w:t>
            </w:r>
          </w:p>
        </w:tc>
        <w:tc>
          <w:tcPr>
            <w:tcW w:type="dxa" w:w="17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semester</w:t>
            </w:r>
          </w:p>
        </w:tc>
      </w:tr>
      <w:tr>
        <w:tc>
          <w:tcPr>
            <w:tcW w:type="dxa" w:w="13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38</w:t>
            </w:r>
          </w:p>
        </w:tc>
        <w:tc>
          <w:tcPr>
            <w:tcW w:type="dxa" w:w="3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Machine Learning</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Fall 2025</w:t>
            </w:r>
          </w:p>
        </w:tc>
      </w:tr>
      <w:tr>
        <w:tc>
          <w:tcPr>
            <w:tcW w:type="dxa" w:w="13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15</w:t>
            </w:r>
          </w:p>
        </w:tc>
        <w:tc>
          <w:tcPr>
            <w:tcW w:type="dxa" w:w="3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Fluid Mechanics</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1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Spring 2025</w:t>
            </w:r>
          </w:p>
        </w:tc>
      </w:tr>
      <w:tr>
        <w:tc>
          <w:tcPr>
            <w:tcW w:type="dxa" w:w="13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52</w:t>
            </w:r>
          </w:p>
        </w:tc>
        <w:tc>
          <w:tcPr>
            <w:tcW w:type="dxa" w:w="3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Marketing Management</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Fall 2024</w:t>
            </w:r>
          </w:p>
        </w:tc>
      </w:tr>
      <w:tr>
        <w:tc>
          <w:tcPr>
            <w:tcW w:type="dxa" w:w="13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3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 (100 total)</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r>
    </w:tbl>
    <w:p>
      <w:pPr>
        <w:spacing w:after="0" w:before="100"/>
      </w:pPr>
      <w:r>
        <w:t xml:space="preserve"/>
      </w:r>
    </w:p>
    <w:p>
      <w:pPr>
        <w:pStyle w:val="Heading2"/>
        <w:spacing w:after="100" w:before="240"/>
      </w:pPr>
      <w:r>
        <w:rPr>
          <w:rFonts w:ascii="Arial" w:cs="Arial" w:eastAsia="Arial" w:hAnsi="Arial"/>
          <w:b/>
          <w:bCs/>
          <w:color w:val="2471A3"/>
          <w:sz w:val="27"/>
          <w:szCs w:val="27"/>
        </w:rPr>
        <w:t xml:space="preserve">3.5  users  —  50 rows</w:t>
      </w:r>
    </w:p>
    <w:p>
      <w:pPr>
        <w:spacing w:after="80" w:before="60"/>
        <w:jc w:val="both"/>
      </w:pPr>
      <w:r>
        <w:rPr>
          <w:rFonts w:ascii="Arial" w:cs="Arial" w:eastAsia="Arial" w:hAnsi="Arial"/>
          <w:b w:val="false"/>
          <w:bCs w:val="false"/>
          <w:color w:val="1C1C1C"/>
          <w:sz w:val="22"/>
          <w:szCs w:val="22"/>
        </w:rPr>
        <w:t xml:space="preserve">5 admin accounts with faculty_id = NULL (full system access) and 45 faculty portal accounts each linked to a unique faculty_id. All passwords are stored in bcrypt hash format ($2b$12$...). Usernames are unique and derived from faculty names. Role is restricted to ENUM('admin','faculty').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800"/>
        <w:gridCol w:w="1100"/>
        <w:gridCol w:w="1360"/>
        <w:gridCol w:w="1500"/>
      </w:tblGrid>
      <w:tr>
        <w:tc>
          <w:tcPr>
            <w:tcW w:type="dxa" w:w="9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uid</w:t>
            </w:r>
          </w:p>
        </w:tc>
        <w:tc>
          <w:tcPr>
            <w:tcW w:type="dxa" w:w="17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username</w:t>
            </w:r>
          </w:p>
        </w:tc>
        <w:tc>
          <w:tcPr>
            <w:tcW w:type="dxa" w:w="2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password</w:t>
            </w:r>
          </w:p>
        </w:tc>
        <w:tc>
          <w:tcPr>
            <w:tcW w:type="dxa" w:w="11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role</w:t>
            </w:r>
          </w:p>
        </w:tc>
        <w:tc>
          <w:tcPr>
            <w:tcW w:type="dxa" w:w="13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fac_id</w:t>
            </w:r>
          </w:p>
        </w:tc>
        <w:tc>
          <w:tcPr>
            <w:tcW w:type="dxa" w:w="15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last_login</w:t>
            </w:r>
          </w:p>
        </w:tc>
      </w:tr>
      <w:tr>
        <w:tc>
          <w:tcPr>
            <w:tcW w:type="dxa" w:w="9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admin01</w:t>
            </w:r>
          </w:p>
        </w:tc>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$2b$12$32032e48... (hashed)</w:t>
            </w:r>
          </w:p>
        </w:tc>
        <w:tc>
          <w:tcPr>
            <w:tcW w:type="dxa" w:w="11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admin</w:t>
            </w:r>
          </w:p>
        </w:tc>
        <w:tc>
          <w:tcPr>
            <w:tcW w:type="dxa" w:w="1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NULL</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2025-01-01</w:t>
            </w:r>
          </w:p>
        </w:tc>
      </w:tr>
      <w:tr>
        <w:tc>
          <w:tcPr>
            <w:tcW w:type="dxa" w:w="9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6</w:t>
            </w:r>
          </w:p>
        </w:tc>
        <w:tc>
          <w:tcPr>
            <w:tcW w:type="dxa" w:w="17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fhassan23</w:t>
            </w:r>
          </w:p>
        </w:tc>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$2b$12$a9c3f8d2... (hashed)</w:t>
            </w:r>
          </w:p>
        </w:tc>
        <w:tc>
          <w:tcPr>
            <w:tcW w:type="dxa" w:w="11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faculty</w:t>
            </w:r>
          </w:p>
        </w:tc>
        <w:tc>
          <w:tcPr>
            <w:tcW w:type="dxa" w:w="1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23</w:t>
            </w:r>
          </w:p>
        </w:tc>
        <w:tc>
          <w:tcPr>
            <w:tcW w:type="dxa" w:w="15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2024-11-15</w:t>
            </w:r>
          </w:p>
        </w:tc>
      </w:tr>
      <w:tr>
        <w:tc>
          <w:tcPr>
            <w:tcW w:type="dxa" w:w="9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7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c>
          <w:tcPr>
            <w:tcW w:type="dxa" w:w="11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w:t>
            </w:r>
          </w:p>
        </w:tc>
        <w:tc>
          <w:tcPr>
            <w:tcW w:type="dxa" w:w="15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4 — Data Quality &amp; Consistency Checks</w:t>
      </w:r>
    </w:p>
    <w:p>
      <w:pPr>
        <w:spacing w:after="80" w:before="60"/>
        <w:jc w:val="both"/>
      </w:pPr>
      <w:r>
        <w:rPr>
          <w:rFonts w:ascii="Arial" w:cs="Arial" w:eastAsia="Arial" w:hAnsi="Arial"/>
          <w:b w:val="false"/>
          <w:bCs w:val="false"/>
          <w:color w:val="1C1C1C"/>
          <w:sz w:val="22"/>
          <w:szCs w:val="22"/>
        </w:rPr>
        <w:t xml:space="preserve">The following checks were applied programmatically before exporting CSV files. All checks passed with zero violations.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Check</w:t>
            </w:r>
          </w:p>
        </w:tc>
        <w:tc>
          <w:tcPr>
            <w:tcW w:type="dxa" w:w="1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Result</w:t>
            </w:r>
          </w:p>
        </w:tc>
        <w:tc>
          <w:tcPr>
            <w:tcW w:type="dxa" w:w="47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Detail</w:t>
            </w:r>
          </w:p>
        </w:tc>
      </w:tr>
      <w:tr>
        <w:tc>
          <w:tcPr>
            <w:tcW w:type="dxa" w:w="3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faculty.dept_id → department.dept_id</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80 faculty rows reference a valid dept_id (1–50)</w:t>
            </w:r>
          </w:p>
        </w:tc>
      </w:tr>
      <w:tr>
        <w:tc>
          <w:tcPr>
            <w:tcW w:type="dxa" w:w="3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qualifications.faculty_id → faculty.faculty_id</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100 qualification rows reference a valid faculty_id (1–80)</w:t>
            </w:r>
          </w:p>
        </w:tc>
      </w:tr>
      <w:tr>
        <w:tc>
          <w:tcPr>
            <w:tcW w:type="dxa" w:w="3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workload.faculty_id → faculty.faculty_id</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100 workload rows reference a valid faculty_id (1–80)</w:t>
            </w:r>
          </w:p>
        </w:tc>
      </w:tr>
      <w:tr>
        <w:tc>
          <w:tcPr>
            <w:tcW w:type="dxa" w:w="3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users.faculty_id → faculty.faculty_id</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45 faculty-role users reference a unique, valid faculty_id</w:t>
            </w:r>
          </w:p>
        </w:tc>
      </w:tr>
      <w:tr>
        <w:tc>
          <w:tcPr>
            <w:tcW w:type="dxa" w:w="3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CNIC uniqueness (faculty)</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80 CNICs are distinct; format XXXXX-XXXXXXX-X</w:t>
            </w:r>
          </w:p>
        </w:tc>
      </w:tr>
      <w:tr>
        <w:tc>
          <w:tcPr>
            <w:tcW w:type="dxa" w:w="3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Email uniqueness (faculty)</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80 emails are distinct; format name.surnameid@university.edu.pk</w:t>
            </w:r>
          </w:p>
        </w:tc>
      </w:tr>
      <w:tr>
        <w:tc>
          <w:tcPr>
            <w:tcW w:type="dxa" w:w="3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Phone uniqueness (faculty)</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80 phone numbers are distinct; format 03XX-XXXXXXX</w:t>
            </w:r>
          </w:p>
        </w:tc>
      </w:tr>
      <w:tr>
        <w:tc>
          <w:tcPr>
            <w:tcW w:type="dxa" w:w="3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Every faculty has ≥1 qualification</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80 faculty_ids appear at least once in qualifications.csv</w:t>
            </w:r>
          </w:p>
        </w:tc>
      </w:tr>
      <w:tr>
        <w:tc>
          <w:tcPr>
            <w:tcW w:type="dxa" w:w="3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No duplicate workload (same faculty, course, semester)</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(faculty_id, course_name, semester) triplets are unique</w:t>
            </w:r>
          </w:p>
        </w:tc>
      </w:tr>
      <w:tr>
        <w:tc>
          <w:tcPr>
            <w:tcW w:type="dxa" w:w="3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Workload courses match faculty department</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Courses selected only from the department the faculty belongs to</w:t>
            </w:r>
          </w:p>
        </w:tc>
      </w:tr>
      <w:tr>
        <w:tc>
          <w:tcPr>
            <w:tcW w:type="dxa" w:w="3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ENUM values — gender</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Only 'Male' or 'Female' present in faculty.csv</w:t>
            </w:r>
          </w:p>
        </w:tc>
      </w:tr>
      <w:tr>
        <w:tc>
          <w:tcPr>
            <w:tcW w:type="dxa" w:w="3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ENUM values — role</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Only 'admin' or 'faculty' present in users.csv</w:t>
            </w:r>
          </w:p>
        </w:tc>
      </w:tr>
      <w:tr>
        <w:tc>
          <w:tcPr>
            <w:tcW w:type="dxa" w:w="34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Date format consistency</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All dates YYYY-MM-DD; all timestamps YYYY-MM-DD HH:MM:SS</w:t>
            </w:r>
          </w:p>
        </w:tc>
      </w:tr>
      <w:tr>
        <w:tc>
          <w:tcPr>
            <w:tcW w:type="dxa" w:w="34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faculty_count absent from department</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20"/>
                <w:szCs w:val="20"/>
              </w:rPr>
              <w:t xml:space="preserve">✓ PASS</w:t>
            </w:r>
          </w:p>
        </w:tc>
        <w:tc>
          <w:tcPr>
            <w:tcW w:type="dxa" w:w="47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Column correctly removed per M2 3NF normalization</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5 — Exported CSV Files</w:t>
      </w:r>
    </w:p>
    <w:p>
      <w:pPr>
        <w:spacing w:after="80" w:before="60"/>
        <w:jc w:val="both"/>
      </w:pPr>
      <w:r>
        <w:rPr>
          <w:rFonts w:ascii="Arial" w:cs="Arial" w:eastAsia="Arial" w:hAnsi="Arial"/>
          <w:b w:val="false"/>
          <w:bCs w:val="false"/>
          <w:color w:val="1C1C1C"/>
          <w:sz w:val="22"/>
          <w:szCs w:val="22"/>
        </w:rPr>
        <w:t xml:space="preserve">Five CSV files have been exported — one per database table. All files use UTF-8 encoding, comma as the delimiter, and include a header row. Files are ready for LOAD DATA INFILE in Milestone 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Filename</w:t>
            </w:r>
          </w:p>
        </w:tc>
        <w:tc>
          <w:tcPr>
            <w:tcW w:type="dxa" w:w="120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Rows</w:t>
            </w:r>
          </w:p>
        </w:tc>
        <w:tc>
          <w:tcPr>
            <w:tcW w:type="dxa" w:w="5360"/>
            <w:tcBorders>
              <w:top w:val="single" w:color="1F4E79" w:sz="5"/>
              <w:left w:val="single" w:color="1F4E79" w:sz="5"/>
              <w:bottom w:val="single" w:color="1F4E79" w:sz="5"/>
              <w:right w:val="single" w:color="1F4E79" w:sz="5"/>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Loads Into / Notes</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department.csv</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50</w:t>
            </w:r>
          </w:p>
        </w:tc>
        <w:tc>
          <w:tcPr>
            <w:tcW w:type="dxa" w:w="5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department — dept_id, dept_name, hod_name (faculty_count excluded)</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faculty.csv</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80</w:t>
            </w:r>
          </w:p>
        </w:tc>
        <w:tc>
          <w:tcPr>
            <w:tcW w:type="dxa" w:w="5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faculty — includes dept_id FK linking to department</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qualifications.csv</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100</w:t>
            </w:r>
          </w:p>
        </w:tc>
        <w:tc>
          <w:tcPr>
            <w:tcW w:type="dxa" w:w="5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qualifications — at least 1 row per faculty; 20 faculty have 2</w:t>
            </w:r>
          </w:p>
        </w:tc>
      </w:tr>
      <w:tr>
        <w:tc>
          <w:tcPr>
            <w:tcW w:type="dxa" w:w="28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workload.csv</w:t>
            </w:r>
          </w:p>
        </w:tc>
        <w:tc>
          <w:tcPr>
            <w:tcW w:type="dxa" w:w="120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100</w:t>
            </w:r>
          </w:p>
        </w:tc>
        <w:tc>
          <w:tcPr>
            <w:tcW w:type="dxa" w:w="5360"/>
            <w:tcBorders>
              <w:top w:val="single" w:color="A9CCE3" w:sz="4"/>
              <w:left w:val="single" w:color="A9CCE3" w:sz="4"/>
              <w:bottom w:val="single" w:color="A9CCE3" w:sz="4"/>
              <w:right w:val="single" w:color="A9CCE3"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workload — department-matched courses, 3 semesters</w:t>
            </w:r>
          </w:p>
        </w:tc>
      </w:tr>
      <w:tr>
        <w:tc>
          <w:tcPr>
            <w:tcW w:type="dxa" w:w="28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users.csv</w:t>
            </w:r>
          </w:p>
        </w:tc>
        <w:tc>
          <w:tcPr>
            <w:tcW w:type="dxa" w:w="120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50</w:t>
            </w:r>
          </w:p>
        </w:tc>
        <w:tc>
          <w:tcPr>
            <w:tcW w:type="dxa" w:w="5360"/>
            <w:tcBorders>
              <w:top w:val="single" w:color="A9CCE3" w:sz="4"/>
              <w:left w:val="single" w:color="A9CCE3" w:sz="4"/>
              <w:bottom w:val="single" w:color="A9CCE3" w:sz="4"/>
              <w:right w:val="single" w:color="A9CCE3" w:sz="4"/>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users — 5 admin + 45 faculty portal accounts with hashed passwords</w:t>
            </w:r>
          </w:p>
        </w:tc>
      </w:tr>
    </w:tbl>
    <w:p>
      <w:pPr>
        <w:spacing w:after="0" w:before="80"/>
      </w:pPr>
      <w:r>
        <w:t xml:space="preserve"/>
      </w:r>
    </w:p>
    <w:p>
      <w:pPr>
        <w:spacing w:after="80" w:before="60"/>
        <w:jc w:val="both"/>
      </w:pPr>
      <w:r>
        <w:rPr>
          <w:rFonts w:ascii="Arial" w:cs="Arial" w:eastAsia="Arial" w:hAnsi="Arial"/>
          <w:b/>
          <w:bCs/>
          <w:color w:val="1F4E79"/>
          <w:sz w:val="22"/>
          <w:szCs w:val="22"/>
        </w:rPr>
        <w:t xml:space="preserve">Milestone 5 Loading Order: </w:t>
      </w:r>
      <w:r>
        <w:rPr>
          <w:rFonts w:ascii="Arial" w:cs="Arial" w:eastAsia="Arial" w:hAnsi="Arial"/>
          <w:b w:val="false"/>
          <w:bCs w:val="false"/>
          <w:color w:val="1C1C1C"/>
          <w:sz w:val="22"/>
          <w:szCs w:val="22"/>
        </w:rPr>
        <w:t xml:space="preserve">department → faculty → qualifications → workload → users</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6 — GitHub Commit</w:t>
      </w:r>
    </w:p>
    <w:p>
      <w:pPr>
        <w:spacing w:after="80" w:before="60"/>
        <w:jc w:val="both"/>
      </w:pPr>
      <w:r>
        <w:rPr>
          <w:rFonts w:ascii="Arial" w:cs="Arial" w:eastAsia="Arial" w:hAnsi="Arial"/>
          <w:b w:val="false"/>
          <w:bCs w:val="false"/>
          <w:color w:val="1C1C1C"/>
          <w:sz w:val="22"/>
          <w:szCs w:val="22"/>
        </w:rPr>
        <w:t xml:space="preserve">All CSV files and this documentation have been committed to the project repository with the following message as specified in the course instructions: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5"/>
              <w:left w:val="single" w:color="1F4E79" w:sz="5"/>
              <w:bottom w:val="single" w:color="1F4E79" w:sz="5"/>
              <w:right w:val="single" w:color="1F4E79" w:sz="5"/>
            </w:tcBorders>
            <w:shd w:fill="0D1117" w:val="clear"/>
            <w:tcMar>
              <w:top w:type="dxa" w:w="160"/>
              <w:left w:type="dxa" w:w="280"/>
              <w:bottom w:type="dxa" w:w="160"/>
              <w:right w:type="dxa" w:w="280"/>
            </w:tcMar>
          </w:tcPr>
          <w:p>
            <w:r>
              <w:rPr>
                <w:rFonts w:ascii="Courier New" w:cs="Courier New" w:eastAsia="Courier New" w:hAnsi="Courier New"/>
                <w:b/>
                <w:bCs/>
                <w:color w:val="3FB950"/>
                <w:sz w:val="23"/>
                <w:szCs w:val="23"/>
              </w:rPr>
              <w:t xml:space="preserve">git commit -m "M3: Synthetic data generated; dataflow documented"</w:t>
            </w:r>
          </w:p>
        </w:tc>
      </w:tr>
    </w:tbl>
    <w:p>
      <w:pPr>
        <w:spacing w:after="0" w:before="80"/>
      </w:pPr>
      <w:r>
        <w:t xml:space="preserve"/>
      </w:r>
    </w:p>
    <w:p>
      <w:pPr>
        <w:spacing w:after="80" w:before="60"/>
        <w:jc w:val="both"/>
      </w:pPr>
      <w:r>
        <w:rPr>
          <w:rFonts w:ascii="Arial" w:cs="Arial" w:eastAsia="Arial" w:hAnsi="Arial"/>
          <w:b w:val="false"/>
          <w:bCs w:val="false"/>
          <w:color w:val="1C1C1C"/>
          <w:sz w:val="22"/>
          <w:szCs w:val="22"/>
        </w:rPr>
        <w:t xml:space="preserve">Files committed to the repository:</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department.csv — 50 rows</w:t>
      </w:r>
    </w:p>
    <w:p>
      <w:pPr>
        <w:pStyle w:val="ListParagraph"/>
        <w:numPr>
          <w:ilvl w:val="0"/>
          <w:numId w:val="2"/>
        </w:numPr>
        <w:spacing w:after="40" w:before="40"/>
      </w:pPr>
      <w:r>
        <w:rPr>
          <w:rFonts w:ascii="Arial" w:cs="Arial" w:eastAsia="Arial" w:hAnsi="Arial"/>
          <w:b w:val="false"/>
          <w:bCs w:val="false"/>
          <w:color w:val="1C1C1C"/>
          <w:sz w:val="22"/>
          <w:szCs w:val="22"/>
        </w:rPr>
        <w:t xml:space="preserve">faculty.csv — 80 rows</w:t>
      </w:r>
    </w:p>
    <w:p>
      <w:pPr>
        <w:pStyle w:val="ListParagraph"/>
        <w:numPr>
          <w:ilvl w:val="0"/>
          <w:numId w:val="2"/>
        </w:numPr>
        <w:spacing w:after="40" w:before="40"/>
      </w:pPr>
      <w:r>
        <w:rPr>
          <w:rFonts w:ascii="Arial" w:cs="Arial" w:eastAsia="Arial" w:hAnsi="Arial"/>
          <w:b w:val="false"/>
          <w:bCs w:val="false"/>
          <w:color w:val="1C1C1C"/>
          <w:sz w:val="22"/>
          <w:szCs w:val="22"/>
        </w:rPr>
        <w:t xml:space="preserve">qualifications.csv — 100 rows</w:t>
      </w:r>
    </w:p>
    <w:p>
      <w:pPr>
        <w:pStyle w:val="ListParagraph"/>
        <w:numPr>
          <w:ilvl w:val="0"/>
          <w:numId w:val="2"/>
        </w:numPr>
        <w:spacing w:after="40" w:before="40"/>
      </w:pPr>
      <w:r>
        <w:rPr>
          <w:rFonts w:ascii="Arial" w:cs="Arial" w:eastAsia="Arial" w:hAnsi="Arial"/>
          <w:b w:val="false"/>
          <w:bCs w:val="false"/>
          <w:color w:val="1C1C1C"/>
          <w:sz w:val="22"/>
          <w:szCs w:val="22"/>
        </w:rPr>
        <w:t xml:space="preserve">workload.csv — 100 rows</w:t>
      </w:r>
    </w:p>
    <w:p>
      <w:pPr>
        <w:pStyle w:val="ListParagraph"/>
        <w:numPr>
          <w:ilvl w:val="0"/>
          <w:numId w:val="2"/>
        </w:numPr>
        <w:spacing w:after="40" w:before="40"/>
      </w:pPr>
      <w:r>
        <w:rPr>
          <w:rFonts w:ascii="Arial" w:cs="Arial" w:eastAsia="Arial" w:hAnsi="Arial"/>
          <w:b w:val="false"/>
          <w:bCs w:val="false"/>
          <w:color w:val="1C1C1C"/>
          <w:sz w:val="22"/>
          <w:szCs w:val="22"/>
        </w:rPr>
        <w:t xml:space="preserve">users.csv — 50 rows</w:t>
      </w:r>
    </w:p>
    <w:p>
      <w:pPr>
        <w:pStyle w:val="ListParagraph"/>
        <w:numPr>
          <w:ilvl w:val="0"/>
          <w:numId w:val="2"/>
        </w:numPr>
        <w:spacing w:after="40" w:before="40"/>
      </w:pPr>
      <w:r>
        <w:rPr>
          <w:rFonts w:ascii="Arial" w:cs="Arial" w:eastAsia="Arial" w:hAnsi="Arial"/>
          <w:b w:val="false"/>
          <w:bCs w:val="false"/>
          <w:color w:val="1C1C1C"/>
          <w:sz w:val="22"/>
          <w:szCs w:val="22"/>
        </w:rPr>
        <w:t xml:space="preserve">Milestone 3 documentation (this document)</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SECTION 7 — Conclusion</w:t>
      </w:r>
    </w:p>
    <w:p>
      <w:pPr>
        <w:spacing w:after="80" w:before="60"/>
        <w:jc w:val="both"/>
      </w:pPr>
      <w:r>
        <w:rPr>
          <w:rFonts w:ascii="Arial" w:cs="Arial" w:eastAsia="Arial" w:hAnsi="Arial"/>
          <w:b w:val="false"/>
          <w:bCs w:val="false"/>
          <w:color w:val="1C1C1C"/>
          <w:sz w:val="22"/>
          <w:szCs w:val="22"/>
        </w:rPr>
        <w:t xml:space="preserve">Milestone 3 is complete. A total of </w:t>
      </w:r>
      <w:r>
        <w:rPr>
          <w:rFonts w:ascii="Arial" w:cs="Arial" w:eastAsia="Arial" w:hAnsi="Arial"/>
          <w:b/>
          <w:bCs/>
          <w:color w:val="1F4E79"/>
          <w:sz w:val="22"/>
          <w:szCs w:val="22"/>
        </w:rPr>
        <w:t xml:space="preserve">380 rows</w:t>
      </w:r>
      <w:r>
        <w:rPr>
          <w:rFonts w:ascii="Arial" w:cs="Arial" w:eastAsia="Arial" w:hAnsi="Arial"/>
          <w:b w:val="false"/>
          <w:bCs w:val="false"/>
          <w:color w:val="1C1C1C"/>
          <w:sz w:val="22"/>
          <w:szCs w:val="22"/>
        </w:rPr>
        <w:t xml:space="preserve"> of structured synthetic data have been generated across five tables, satisfying the instructor's requirement of a minimum 50–100 rows per core table. The data is realistic, uses proper Pakistani institutional context, and is internally consistent with zero foreign key violations.</w:t>
      </w:r>
    </w:p>
    <w:p>
      <w:pPr>
        <w:spacing w:after="0" w:before="60"/>
      </w:pPr>
      <w:r>
        <w:t xml:space="preserve"/>
      </w:r>
    </w:p>
    <w:p>
      <w:pPr>
        <w:spacing w:after="80" w:before="60"/>
        <w:jc w:val="both"/>
      </w:pPr>
      <w:r>
        <w:rPr>
          <w:rFonts w:ascii="Arial" w:cs="Arial" w:eastAsia="Arial" w:hAnsi="Arial"/>
          <w:b w:val="false"/>
          <w:bCs w:val="false"/>
          <w:color w:val="1C1C1C"/>
          <w:sz w:val="22"/>
          <w:szCs w:val="22"/>
        </w:rPr>
        <w:t xml:space="preserve">The dataflow description is written specifically for the Faculty Information Storage System. It explains the exact insertion order required by foreign key constraints, how data is processed inside the system through JOIN queries, authentication checks, and aggregate computations, and what output the system produces for administrators and faculty users.</w:t>
      </w:r>
    </w:p>
    <w:p>
      <w:pPr>
        <w:spacing w:after="0" w:before="60"/>
      </w:pPr>
      <w:r>
        <w:t xml:space="preserve"/>
      </w:r>
    </w:p>
    <w:p>
      <w:pPr>
        <w:spacing w:after="80" w:before="60"/>
        <w:jc w:val="both"/>
      </w:pPr>
      <w:r>
        <w:rPr>
          <w:rFonts w:ascii="Arial" w:cs="Arial" w:eastAsia="Arial" w:hAnsi="Arial"/>
          <w:b w:val="false"/>
          <w:bCs w:val="false"/>
          <w:color w:val="1C1C1C"/>
          <w:sz w:val="22"/>
          <w:szCs w:val="22"/>
        </w:rPr>
        <w:t xml:space="preserve">All CSV files are ready for Milestone 5 (DML / Data Population). They must be loaded in the following order to satisfy FK constraints: </w:t>
      </w:r>
      <w:r>
        <w:rPr>
          <w:rFonts w:ascii="Arial" w:cs="Arial" w:eastAsia="Arial" w:hAnsi="Arial"/>
          <w:b/>
          <w:bCs/>
          <w:color w:val="1F4E79"/>
          <w:sz w:val="22"/>
          <w:szCs w:val="22"/>
        </w:rPr>
        <w:t xml:space="preserve">department → faculty → qualifications → workload → users</w:t>
      </w:r>
      <w:r>
        <w:rPr>
          <w:rFonts w:ascii="Arial" w:cs="Arial" w:eastAsia="Arial" w:hAnsi="Arial"/>
          <w:b w:val="false"/>
          <w:bCs w:val="false"/>
          <w:color w:val="1C1C1C"/>
          <w:sz w:val="22"/>
          <w:szCs w:val="22"/>
        </w:rPr>
        <w:t xml:space="preserve">.</w:t>
      </w:r>
    </w:p>
    <w:p>
      <w:pPr>
        <w:spacing w:after="0" w:before="100"/>
      </w:pPr>
      <w:r>
        <w:t xml:space="preserve"/>
      </w:r>
    </w:p>
    <w:p>
      <w:pPr>
        <w:pBdr>
          <w:bottom w:val="single" w:color="A9CCE3" w:sz="6" w:space="1"/>
        </w:pBdr>
        <w:spacing w:after="140" w:before="140"/>
      </w:pPr>
      <w:r>
        <w:t xml:space="preserve"/>
      </w:r>
    </w:p>
    <w:p>
      <w:pPr>
        <w:spacing w:after="0" w:before="40"/>
      </w:pPr>
      <w:r>
        <w:t xml:space="preserve"/>
      </w:r>
    </w:p>
    <w:p>
      <w:pPr>
        <w:spacing w:after="0" w:before="0"/>
        <w:jc w:val="center"/>
      </w:pPr>
      <w:r>
        <w:rPr>
          <w:rFonts w:ascii="Arial" w:cs="Arial" w:eastAsia="Arial" w:hAnsi="Arial"/>
          <w:b w:val="false"/>
          <w:bCs w:val="false"/>
          <w:color w:val="1C1C1C"/>
          <w:sz w:val="18"/>
          <w:szCs w:val="18"/>
        </w:rPr>
        <w:t xml:space="preserve">Faculty Information Storage System  ·  Milestone 3  ·  Muhammad Ali Bilal &amp; Muhammad Gulsher  ·  BSSE-A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CCE3" w:sz="4" w:space="1"/>
      </w:pBdr>
      <w:tabs>
        <w:tab w:val="right" w:pos="9026"/>
      </w:tabs>
      <w:spacing w:after="0" w:before="80"/>
    </w:pPr>
    <w:r>
      <w:rPr>
        <w:rFonts w:ascii="Arial" w:cs="Arial" w:eastAsia="Arial" w:hAnsi="Arial"/>
        <w:color w:val="888888"/>
        <w:sz w:val="18"/>
        <w:szCs w:val="18"/>
      </w:rPr>
      <w:t xml:space="preserve">Muhammad Ali Bilal &amp; Muhammad Gulsher  ·  BSSE-A</w:t>
    </w:r>
    <w:r>
      <w:rPr>
        <w:rFonts w:ascii="Arial" w:cs="Arial" w:eastAsia="Arial" w:hAnsi="Arial"/>
        <w:color w:val="1F4E79"/>
        <w:sz w:val="18"/>
        <w:szCs w:val="18"/>
      </w:rPr>
      <w:t xml:space="preserve">	Milestone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pPr>
    <w:r>
      <w:rPr>
        <w:rFonts w:ascii="Arial" w:cs="Arial" w:eastAsia="Arial" w:hAnsi="Arial"/>
        <w:b/>
        <w:bCs/>
        <w:color w:val="1F4E79"/>
        <w:sz w:val="18"/>
        <w:szCs w:val="18"/>
      </w:rPr>
      <w:t xml:space="preserve">Faculty Information Storage System  —  Milestone 3</w:t>
    </w:r>
    <w:r>
      <w:rPr>
        <w:rFonts w:ascii="Arial" w:cs="Arial" w:eastAsia="Arial" w:hAnsi="Arial"/>
        <w:color w:val="5D8AA8"/>
        <w:sz w:val="18"/>
        <w:szCs w:val="18"/>
      </w:rPr>
      <w:t xml:space="preserve">   |   Dataset Preprocessing &amp; Dataflow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4"/>
      <w:szCs w:val="34"/>
    </w:rPr>
  </w:style>
  <w:style w:type="paragraph" w:styleId="Heading2">
    <w:name w:val="Heading 2"/>
    <w:basedOn w:val="Normal"/>
    <w:next w:val="Normal"/>
    <w:qFormat/>
    <w:pPr>
      <w:spacing w:after="100" w:before="240"/>
      <w:outlineLvl w:val="1"/>
    </w:pPr>
    <w:rPr>
      <w:rFonts w:ascii="Arial" w:cs="Arial" w:eastAsia="Arial" w:hAnsi="Arial"/>
      <w:b/>
      <w:bCs/>
      <w:sz w:val="27"/>
      <w:szCs w:val="27"/>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2026-05-16T09:36:04.414Z</dcterms:created>
  <dcterms:modified xsi:type="dcterms:W3CDTF">2026-05-16T09:36:04.414Z</dcterms:modified>
</cp:coreProperties>
</file>

<file path=docProps/custom.xml><?xml version="1.0" encoding="utf-8"?>
<Properties xmlns="http://schemas.openxmlformats.org/officeDocument/2006/custom-properties" xmlns:vt="http://schemas.openxmlformats.org/officeDocument/2006/docPropsVTypes"/>
</file>